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gadget-alpha-module"/>
    <w:p>
      <w:pPr>
        <w:pStyle w:val="Heading1"/>
      </w:pPr>
      <w:r>
        <w:t xml:space="preserve">Gadget Alpha Module</w:t>
      </w:r>
    </w:p>
    <w:p>
      <w:pPr>
        <w:pStyle w:val="FirstParagraph"/>
      </w:pPr>
      <w:r>
        <w:t xml:space="preserve">Introductory text for the Gadget Alpha Module, describing its purpose within</w:t>
      </w:r>
      <w:r>
        <w:t xml:space="preserve"> </w:t>
      </w:r>
      <w:r>
        <w:t xml:space="preserve">the placeholder manual used for testing chunked-strategy recommendation.</w:t>
      </w:r>
    </w:p>
    <w:bookmarkStart w:id="12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Steps to begin working with the Gadget Alpha Module.</w:t>
      </w:r>
    </w:p>
    <w:p>
      <w:pPr>
        <w:pStyle w:val="CaptionedFigure"/>
      </w:pPr>
      <w:r>
        <w:drawing>
          <wp:inline>
            <wp:extent cx="25400" cy="25400"/>
            <wp:effectExtent b="0" l="0" r="0" t="0"/>
            <wp:docPr descr="placeholder diagram" title="" id="10" name="Picture"/>
            <a:graphic>
              <a:graphicData uri="http://schemas.openxmlformats.org/drawingml/2006/picture">
                <pic:pic>
                  <pic:nvPicPr>
                    <pic:cNvPr descr="placeholder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" cy="25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placeholder diagram</w:t>
      </w:r>
    </w:p>
    <w:bookmarkEnd w:id="12"/>
    <w:bookmarkStart w:id="14" w:name="configuration"/>
    <w:p>
      <w:pPr>
        <w:pStyle w:val="Heading2"/>
      </w:pPr>
      <w:r>
        <w:t xml:space="preserve">Configuration</w:t>
      </w:r>
    </w:p>
    <w:p>
      <w:pPr>
        <w:pStyle w:val="FirstParagraph"/>
      </w:pPr>
      <w:r>
        <w:t xml:space="preserve">Details about configuring the Gadget Alpha Module.</w:t>
      </w:r>
    </w:p>
    <w:bookmarkStart w:id="13" w:name="advanced-options"/>
    <w:p>
      <w:pPr>
        <w:pStyle w:val="Heading3"/>
      </w:pPr>
      <w:r>
        <w:t xml:space="preserve">Advanced Options</w:t>
      </w:r>
    </w:p>
    <w:p>
      <w:pPr>
        <w:pStyle w:val="FirstParagraph"/>
      </w:pPr>
      <w:r>
        <w:t xml:space="preserve">More detail on advanced configuration options for Gadget Alpha.</w:t>
      </w:r>
    </w:p>
    <w:bookmarkEnd w:id="13"/>
    <w:bookmarkEnd w:id="14"/>
    <w:bookmarkStart w:id="15" w:name="troubleshooting"/>
    <w:p>
      <w:pPr>
        <w:pStyle w:val="Heading2"/>
      </w:pPr>
      <w:r>
        <w:t xml:space="preserve">Troubleshooting</w:t>
      </w:r>
    </w:p>
    <w:p>
      <w:pPr>
        <w:pStyle w:val="FirstParagraph"/>
      </w:pPr>
      <w:r>
        <w:t xml:space="preserve">Common problems and resolutions for the Gadget Alpha Module.</w:t>
      </w:r>
    </w:p>
    <w:bookmarkEnd w:id="15"/>
    <w:bookmarkEnd w:id="16"/>
    <w:bookmarkStart w:id="21" w:name="gadget-beta-module"/>
    <w:p>
      <w:pPr>
        <w:pStyle w:val="Heading1"/>
      </w:pPr>
      <w:r>
        <w:t xml:space="preserve">Gadget Beta Module</w:t>
      </w:r>
    </w:p>
    <w:p>
      <w:pPr>
        <w:pStyle w:val="FirstParagraph"/>
      </w:pPr>
      <w:r>
        <w:t xml:space="preserve">Introductory text for the Gadget Beta Module, a second top-level section</w:t>
      </w:r>
      <w:r>
        <w:t xml:space="preserve"> </w:t>
      </w:r>
      <w:r>
        <w:t xml:space="preserve">covering a different placeholder subsystem.</w:t>
      </w:r>
    </w:p>
    <w:bookmarkStart w:id="17" w:name="getting-started-1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Steps to begin working with the Gadget Beta Module. This heading text is</w:t>
      </w:r>
      <w:r>
        <w:t xml:space="preserve"> </w:t>
      </w:r>
      <w:r>
        <w:t xml:space="preserve">identical to the</w:t>
      </w:r>
      <w:r>
        <w:t xml:space="preserve"> </w:t>
      </w:r>
      <w:r>
        <w:t xml:space="preserve">“Getting Started”</w:t>
      </w:r>
      <w:r>
        <w:t xml:space="preserve"> </w:t>
      </w:r>
      <w:r>
        <w:t xml:space="preserve">heading under Gadget Alpha Module above,</w:t>
      </w:r>
      <w:r>
        <w:t xml:space="preserve"> </w:t>
      </w:r>
      <w:r>
        <w:t xml:space="preserve">but it lives under a different parent heading, exercising repeated-heading</w:t>
      </w:r>
      <w:r>
        <w:t xml:space="preserve"> </w:t>
      </w:r>
      <w:r>
        <w:t xml:space="preserve">detection and occurrence disambiguation.</w:t>
      </w:r>
    </w:p>
    <w:bookmarkEnd w:id="17"/>
    <w:bookmarkStart w:id="19" w:name="configuration-1"/>
    <w:p>
      <w:pPr>
        <w:pStyle w:val="Heading2"/>
      </w:pPr>
      <w:r>
        <w:t xml:space="preserve">Configuration</w:t>
      </w:r>
    </w:p>
    <w:p>
      <w:pPr>
        <w:pStyle w:val="FirstParagraph"/>
      </w:pPr>
      <w:r>
        <w:t xml:space="preserve">Details about configuring the Gadget Beta Module.</w:t>
      </w:r>
    </w:p>
    <w:bookmarkStart w:id="18" w:name="advanced-options-1"/>
    <w:p>
      <w:pPr>
        <w:pStyle w:val="Heading3"/>
      </w:pPr>
      <w:r>
        <w:t xml:space="preserve">Advanced Options</w:t>
      </w:r>
    </w:p>
    <w:p>
      <w:pPr>
        <w:pStyle w:val="FirstParagraph"/>
      </w:pPr>
      <w:r>
        <w:t xml:space="preserve">More detail on advanced configuration options for Gadget Beta.</w:t>
      </w:r>
    </w:p>
    <w:bookmarkEnd w:id="18"/>
    <w:bookmarkEnd w:id="19"/>
    <w:bookmarkStart w:id="20" w:name="troubleshooting-1"/>
    <w:p>
      <w:pPr>
        <w:pStyle w:val="Heading2"/>
      </w:pPr>
      <w:r>
        <w:t xml:space="preserve">Troubleshooting</w:t>
      </w:r>
    </w:p>
    <w:p>
      <w:pPr>
        <w:pStyle w:val="FirstParagraph"/>
      </w:pPr>
      <w:r>
        <w:t xml:space="preserve">Common problems and resolutions for the Gadget Beta Module.</w:t>
      </w:r>
    </w:p>
    <w:bookmarkEnd w:id="20"/>
    <w:bookmarkEnd w:id="21"/>
    <w:bookmarkStart w:id="24" w:name="gadget-gamma-module"/>
    <w:p>
      <w:pPr>
        <w:pStyle w:val="Heading1"/>
      </w:pPr>
      <w:r>
        <w:t xml:space="preserve">Gadget Gamma Module</w:t>
      </w:r>
    </w:p>
    <w:p>
      <w:pPr>
        <w:pStyle w:val="FirstParagraph"/>
      </w:pPr>
      <w:r>
        <w:t xml:space="preserve">Introductory text for the Gadget Gamma Module, a third top-level section.</w:t>
      </w:r>
    </w:p>
    <w:bookmarkStart w:id="22" w:name="getting-started-2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Steps to begin working with the Gadget Gamma Module.</w:t>
      </w:r>
    </w:p>
    <w:bookmarkEnd w:id="22"/>
    <w:bookmarkStart w:id="23" w:name="reference"/>
    <w:p>
      <w:pPr>
        <w:pStyle w:val="Heading2"/>
      </w:pPr>
      <w:r>
        <w:t xml:space="preserve">Reference</w:t>
      </w:r>
    </w:p>
    <w:p>
      <w:pPr>
        <w:pStyle w:val="FirstParagraph"/>
      </w:pPr>
      <w:r>
        <w:t xml:space="preserve">Reference material for the Gadget Gamma Module.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2026-07-26T03:56:15Z</dcterms:created>
  <dcterms:modified xsi:type="dcterms:W3CDTF">2026-07-26T03:56:15Z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