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NOTA ESTRATÉGICA — ESTRUTURA DA CONTRATAÇÃO DE ZELADORIA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p>
      <w:r>
        <w:rPr>
          <w:b/>
        </w:rPr>
        <w:t>Data:</w:t>
      </w:r>
      <w:r>
        <w:rPr>
          <w:b w:val="0"/>
        </w:rPr>
        <w:t xml:space="preserve"> 30/08/2026 · </w:t>
      </w:r>
      <w:r>
        <w:rPr>
          <w:b/>
        </w:rPr>
        <w:t>Uso interno</w:t>
      </w:r>
      <w:r>
        <w:rPr>
          <w:b w:val="0"/>
        </w:rPr>
        <w:t xml:space="preserve"> · </w:t>
      </w:r>
      <w:r>
        <w:rPr>
          <w:b/>
        </w:rPr>
        <w:t>Não substitui parecer de advogado trabalhista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 xml:space="preserve">1. Anual ou mês a mês? — Resposta: </w:t>
      </w:r>
      <w:r>
        <w:rPr>
          <w:b/>
          <w:color w:val="C9A84C"/>
          <w:sz w:val="25"/>
        </w:rPr>
        <w:t>anual, com renovação automática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mês a mês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Contrato anual (recomendado)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Aviso prévio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Não existe. Ela sai dia 30 e você acorda sem zeladoria em plena alta temporada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60 dias contratuais, com multa se descumprido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Blindagem trabalhista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Pior.</w:t>
            </w:r>
            <w:r>
              <w:rPr>
                <w:b w:val="0"/>
                <w:sz w:val="18"/>
              </w:rPr>
              <w:t xml:space="preserve"> Renovar 12 vezes o mesmo contrato prova continuidade e ainda parece tentativa de disfarce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Prazo determinado, empresarial, com escopo por resultado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Desocupação da casa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Frágil, discutível a cada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Cláusula de comodato vinculada a um contrato firme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Reajuste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Renegociação constante, atrito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IPCA automático no aniversário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Custo administrativo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12 contratos, 12 assinaturas, 12 riscos de erro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 contrato + 12 recibos</w:t>
            </w:r>
          </w:p>
        </w:tc>
      </w:tr>
    </w:tbl>
    <w:p/>
    <w:p>
      <w:r>
        <w:rPr>
          <w:b/>
        </w:rPr>
        <w:t>O ponto que costuma confundir:</w:t>
      </w:r>
      <w:r>
        <w:rPr>
          <w:b w:val="0"/>
        </w:rPr>
        <w:t xml:space="preserve"> fazer mês a mês não reduz risco trabalhista. A Justiça do Trabalho aplica o </w:t>
      </w:r>
      <w:r>
        <w:rPr>
          <w:b/>
        </w:rPr>
        <w:t>princípio da primazia da realidade</w:t>
      </w:r>
      <w:r>
        <w:rPr>
          <w:b w:val="0"/>
        </w:rPr>
        <w:t xml:space="preserve"> — ela olha o que acontece na operação, não o papel. Doze contratos mensais seguidos provam exatamente a continuidade que você queria evitar, e ainda te deixam sem aviso prévio e sem instrumento firme para exigir a devolução da casa.</w:t>
      </w:r>
    </w:p>
    <w:p>
      <w:r>
        <w:rPr>
          <w:b/>
        </w:rPr>
        <w:t>Estrutura recomendada:</w:t>
      </w:r>
    </w:p>
    <w:p>
      <w:pPr>
        <w:pStyle w:val="ListBullet"/>
        <w:spacing w:after="60"/>
      </w:pPr>
      <w:r>
        <w:rPr>
          <w:b/>
        </w:rPr>
        <w:t>1 contrato anual</w:t>
      </w:r>
      <w:r>
        <w:rPr>
          <w:b w:val="0"/>
        </w:rPr>
        <w:t xml:space="preserve"> (12 meses), renovação automática por iguais períodos</w:t>
      </w:r>
    </w:p>
    <w:p>
      <w:pPr>
        <w:pStyle w:val="ListBullet"/>
        <w:spacing w:after="60"/>
      </w:pPr>
      <w:r>
        <w:rPr>
          <w:b/>
        </w:rPr>
        <w:t>+ 12 pacotes mensais anexados:</w:t>
      </w:r>
      <w:r>
        <w:rPr>
          <w:b w:val="0"/>
        </w:rPr>
        <w:t xml:space="preserve"> NFS-e + Relatório de Serviços (Anexo II-A) + Recibo com Termo de Quitação (Anexo II-B) + certidões (Anexo IV)</w:t>
      </w:r>
    </w:p>
    <w:p>
      <w:pPr>
        <w:pStyle w:val="ListBullet"/>
        <w:spacing w:after="60"/>
      </w:pPr>
      <w:r>
        <w:rPr>
          <w:b/>
        </w:rPr>
        <w:t>+ aditivo</w:t>
      </w:r>
      <w:r>
        <w:rPr>
          <w:b w:val="0"/>
        </w:rPr>
        <w:t xml:space="preserve"> só quando mudar preço fora do IPCA ou mudar escopo</w:t>
      </w:r>
    </w:p>
    <w:p>
      <w:r>
        <w:rPr>
          <w:b/>
        </w:rPr>
        <w:t>Sim, anexe os recibos todo mês.</w:t>
      </w:r>
      <w:r>
        <w:rPr>
          <w:b w:val="0"/>
        </w:rPr>
        <w:t xml:space="preserve"> O recibo mensal com quitação plena é uma das peças mais fortes da defesa: são 12 documentos por ano, assinados por ela, dizendo que prestou serviço de forma autônoma, sem subordinação, e que nada mais tem a reclamar. Guarde tudo em pasta digital organizada por competência.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Como blindar do risco trabalhista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2.1. O que o contrato já faz (cláusulas)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Risco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Cláusula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Reconhecimento de vínculo (pejotização)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</w:t>
            </w:r>
            <w:r>
              <w:rPr>
                <w:b w:val="0"/>
                <w:sz w:val="18"/>
              </w:rPr>
              <w:t xml:space="preserve"> — declaração dos 4 requisitos ausentes: subordinação, pessoalidade, exclusividade, habitualidade pessoal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Ordem direta aos funcionários dela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2.4 + 3.3 + Anexo V</w:t>
            </w:r>
            <w:r>
              <w:rPr>
                <w:b w:val="0"/>
                <w:sz w:val="18"/>
              </w:rPr>
              <w:t xml:space="preserve"> — todo contato passa pelo Preposto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"Ela era tratada como funcionária"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2.5</w:t>
            </w:r>
            <w:r>
              <w:rPr>
                <w:b w:val="0"/>
                <w:sz w:val="18"/>
              </w:rPr>
              <w:t xml:space="preserve"> — proibido uniforme da marca, reunião de equipe, meta, vale, adiantamento, ponto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Responsabilidade subsidiária (Súmula 331 TST)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7</w:t>
            </w:r>
            <w:r>
              <w:rPr>
                <w:b w:val="0"/>
                <w:sz w:val="18"/>
              </w:rPr>
              <w:t xml:space="preserve"> — responsabilidade exclusiva dela + direito de regresso integral + obrigação de assumir o polo passivo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sumir e deixar dívida trabalhista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4.9</w:t>
            </w:r>
            <w:r>
              <w:rPr>
                <w:b w:val="0"/>
                <w:sz w:val="18"/>
              </w:rPr>
              <w:t xml:space="preserve"> — retenção de 5% de cada fatura, liberada 90 dias após o fim, contra CNDT e quitação dos empregados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Falta de fiscalização (culpa in vigilando)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5.12 + Anexo IV</w:t>
            </w:r>
            <w:r>
              <w:rPr>
                <w:b w:val="0"/>
                <w:sz w:val="18"/>
              </w:rPr>
              <w:t xml:space="preserve"> — checklist mensal de certidões como condição de pagamento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Casa vira "salário-utilidade"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8.2 (c)</w:t>
            </w:r>
            <w:r>
              <w:rPr>
                <w:b w:val="0"/>
                <w:sz w:val="18"/>
              </w:rPr>
              <w:t xml:space="preserve"> — comodato instrumental, não remuneração, art. 458 CLT afastado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sair da casa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8.8</w:t>
            </w:r>
            <w:r>
              <w:rPr>
                <w:b w:val="0"/>
                <w:sz w:val="18"/>
              </w:rPr>
              <w:t xml:space="preserve"> — extinção automática, 10 dias, multa diária, taxa de ocupação, reintegração de posse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Sair sem avisar na alta temporada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Cl. 9.3</w:t>
            </w:r>
            <w:r>
              <w:rPr>
                <w:b w:val="0"/>
                <w:sz w:val="18"/>
              </w:rPr>
              <w:t xml:space="preserve"> — 60 dias + multa de 2 mensalidades + bloqueio de saída entre 15/dez e 28/fev</w:t>
            </w:r>
          </w:p>
        </w:tc>
      </w:tr>
    </w:tbl>
    <w:p/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 xml:space="preserve">2.2. O que o contrato </w:t>
      </w:r>
      <w:r>
        <w:rPr>
          <w:b/>
          <w:color w:val="0A0A0A"/>
          <w:sz w:val="22"/>
        </w:rPr>
        <w:t>não</w:t>
      </w:r>
      <w:r>
        <w:rPr>
          <w:b/>
          <w:color w:val="0A0A0A"/>
          <w:sz w:val="22"/>
        </w:rPr>
        <w:t xml:space="preserve"> faz — e é onde você realmente se protege</w:t>
      </w:r>
    </w:p>
    <w:p>
      <w:r>
        <w:rPr>
          <w:b w:val="0"/>
        </w:rPr>
        <w:t xml:space="preserve">Nenhuma cláusula blinda contra a realidade dos fatos. Se a operação do dia a dia parecer emprego, o juiz reconhece vínculo e o contrato vira só um indício contrário. </w:t>
      </w:r>
      <w:r>
        <w:rPr>
          <w:b/>
        </w:rPr>
        <w:t>Estas são as regras de operação que valem mais que o papel:</w:t>
      </w:r>
    </w:p>
    <w:p>
      <w:pPr>
        <w:pStyle w:val="ListNumber"/>
        <w:spacing w:after="60"/>
      </w:pPr>
      <w:r>
        <w:rPr>
          <w:b/>
        </w:rPr>
        <w:t>Nunca dê ordem direta</w:t>
      </w:r>
      <w:r>
        <w:rPr>
          <w:b w:val="0"/>
        </w:rPr>
        <w:t xml:space="preserve"> a ninguém da equipe dela. Fale só com o Preposto, por escrito (WhatsApp serve, desde que seja o canal do contrato).</w:t>
      </w:r>
    </w:p>
    <w:p>
      <w:pPr>
        <w:pStyle w:val="ListNumber"/>
        <w:spacing w:after="60"/>
      </w:pPr>
      <w:r>
        <w:rPr>
          <w:b/>
        </w:rPr>
        <w:t>Nunca controle horário.</w:t>
      </w:r>
      <w:r>
        <w:rPr>
          <w:b w:val="0"/>
        </w:rPr>
        <w:t xml:space="preserve"> Nada de ponto, escala, "chega às 8h", pedido de autorização para faltar, controle de férias.</w:t>
      </w:r>
    </w:p>
    <w:p>
      <w:pPr>
        <w:pStyle w:val="ListNumber"/>
        <w:spacing w:after="60"/>
      </w:pPr>
      <w:r>
        <w:rPr>
          <w:b/>
        </w:rPr>
        <w:t>Nunca pague em conta de pessoa física, nem em espécie, nem toda sexta-feira.</w:t>
      </w:r>
      <w:r>
        <w:rPr>
          <w:b w:val="0"/>
        </w:rPr>
        <w:t xml:space="preserve"> Só PIX/TED para o CNPJ, uma vez por mês, contra nota fiscal.</w:t>
      </w:r>
    </w:p>
    <w:p>
      <w:pPr>
        <w:pStyle w:val="ListNumber"/>
        <w:spacing w:after="60"/>
      </w:pPr>
      <w:r>
        <w:rPr>
          <w:b/>
        </w:rPr>
        <w:t>Nunca dê vale, adiantamento, empréstimo, cesta, plano de saúde, vale-transporte.</w:t>
      </w:r>
      <w:r>
        <w:rPr>
          <w:b w:val="0"/>
        </w:rPr>
        <w:t xml:space="preserve"> Qualquer uma dessas coisas isolada já é prova de vínculo.</w:t>
      </w:r>
    </w:p>
    <w:p>
      <w:pPr>
        <w:pStyle w:val="ListNumber"/>
        <w:spacing w:after="60"/>
      </w:pPr>
      <w:r>
        <w:rPr>
          <w:b/>
        </w:rPr>
        <w:t>Nunca coloque ela em reunião de equipe, treinamento interno, meta, premiação ou grupo de funcionários.</w:t>
      </w:r>
    </w:p>
    <w:p>
      <w:pPr>
        <w:pStyle w:val="ListNumber"/>
        <w:spacing w:after="60"/>
      </w:pPr>
      <w:r>
        <w:rPr>
          <w:b/>
        </w:rPr>
        <w:t>Não exija uniforme com a marca Mediterrâneo/Zion.</w:t>
      </w:r>
      <w:r>
        <w:rPr>
          <w:b w:val="0"/>
        </w:rPr>
        <w:t xml:space="preserve"> Se precisar de identificação por segurança, o crachá tem que dizer o nome da empresa dela.</w:t>
      </w:r>
    </w:p>
    <w:p>
      <w:pPr>
        <w:pStyle w:val="ListNumber"/>
        <w:spacing w:after="60"/>
      </w:pPr>
      <w:r>
        <w:rPr>
          <w:b/>
        </w:rPr>
        <w:t>Documente as substituições.</w:t>
      </w:r>
      <w:r>
        <w:rPr>
          <w:b w:val="0"/>
        </w:rPr>
        <w:t xml:space="preserve"> Toda vez que ela mandar outra pessoa no lugar dela, registre. Substituição documentada destrói o requisito da pessoalidade — é a prova mais forte que existe.</w:t>
      </w:r>
    </w:p>
    <w:p>
      <w:pPr>
        <w:pStyle w:val="ListNumber"/>
        <w:spacing w:after="60"/>
      </w:pPr>
      <w:r>
        <w:rPr>
          <w:b/>
        </w:rPr>
        <w:t>Cobre as certidões todo mês, por escrito.</w:t>
      </w:r>
      <w:r>
        <w:rPr>
          <w:b w:val="0"/>
        </w:rPr>
        <w:t xml:space="preserve"> A fiscalização documentada é o que afasta a culpa in vigilando e limita a responsabilidade subsidiária.</w:t>
      </w:r>
    </w:p>
    <w:p>
      <w:pPr>
        <w:pStyle w:val="ListNumber"/>
        <w:spacing w:after="60"/>
      </w:pPr>
      <w:r>
        <w:rPr>
          <w:b/>
        </w:rPr>
        <w:t>Aponte falhas por escrito, ao Preposto, sempre como "não conformidade de resultado"</w:t>
      </w:r>
      <w:r>
        <w:rPr>
          <w:b w:val="0"/>
        </w:rPr>
        <w:t xml:space="preserve"> — nunca como advertência disciplinar a pessoa.</w:t>
      </w:r>
    </w:p>
    <w:p>
      <w:pPr>
        <w:pStyle w:val="ListNumber"/>
        <w:spacing w:after="60"/>
      </w:pPr>
      <w:r>
        <w:rPr>
          <w:b/>
        </w:rPr>
        <w:t>Guarde tudo:</w:t>
      </w:r>
      <w:r>
        <w:rPr>
          <w:b w:val="0"/>
        </w:rPr>
        <w:t xml:space="preserve"> notas, recibos, relatórios, certidões, fotos das vistorias, prints das conversas. Arquivo organizado por mês, por 5 anos.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2.3. Três pontos de atenção nos documentos que você me mandou</w:t>
      </w:r>
    </w:p>
    <w:p>
      <w:r>
        <w:rPr>
          <w:b/>
        </w:rPr>
        <w:t>a) O CNAE principal dela é 97.00-5-00 — "Serviços domésticos".</w:t>
      </w:r>
    </w:p>
    <w:p>
      <w:r>
        <w:rPr>
          <w:b w:val="0"/>
        </w:rPr>
        <w:t xml:space="preserve">Esse é o CNAE de </w:t>
      </w:r>
      <w:r>
        <w:rPr>
          <w:b/>
        </w:rPr>
        <w:t>empregador doméstico</w:t>
      </w:r>
      <w:r>
        <w:rPr>
          <w:b w:val="0"/>
        </w:rPr>
        <w:t>, não de prestadora de serviço empresarial. Se cair uma reclamação, a defesa fica visivelmente pior: o próprio cadastro dela sugere trabalho doméstico. Ela tem os CNAEs certos como secundários (81.29-0-00 limpeza, 81.30-3-00 paisagismo).</w:t>
      </w:r>
    </w:p>
    <w:p>
      <w:r>
        <w:rPr>
          <w:b/>
        </w:rPr>
        <w:t>Ação:</w:t>
      </w:r>
      <w:r>
        <w:rPr>
          <w:b w:val="0"/>
        </w:rPr>
        <w:t xml:space="preserve"> peça que ela altere o </w:t>
      </w:r>
      <w:r>
        <w:rPr>
          <w:b/>
        </w:rPr>
        <w:t>CNAE principal</w:t>
      </w:r>
      <w:r>
        <w:rPr>
          <w:b w:val="0"/>
        </w:rPr>
        <w:t xml:space="preserve"> para </w:t>
      </w:r>
      <w:r>
        <w:rPr>
          <w:b/>
        </w:rPr>
        <w:t>81.21-4-00</w:t>
      </w:r>
      <w:r>
        <w:rPr>
          <w:b w:val="0"/>
        </w:rPr>
        <w:t xml:space="preserve"> (limpeza em prédios e domicílios) ou </w:t>
      </w:r>
      <w:r>
        <w:rPr>
          <w:b/>
        </w:rPr>
        <w:t>81.29-0-00</w:t>
      </w:r>
      <w:r>
        <w:rPr>
          <w:b w:val="0"/>
        </w:rPr>
        <w:t xml:space="preserve"> antes de assinar, e que a NFS-e seja emitida sob esse código. É gratuito e leva poucos dias na Junta/Receita. Está previsto na </w:t>
      </w:r>
      <w:r>
        <w:rPr>
          <w:b/>
        </w:rPr>
        <w:t>Cl. 2.6</w:t>
      </w:r>
      <w:r>
        <w:rPr>
          <w:b w:val="0"/>
        </w:rPr>
        <w:t xml:space="preserve"> com prazo de 30 dias.</w:t>
      </w:r>
    </w:p>
    <w:p>
      <w:r>
        <w:rPr>
          <w:b/>
        </w:rPr>
        <w:t>b) A sede da empresa dela é o mesmo endereço do empreendimento</w:t>
      </w:r>
      <w:r>
        <w:rPr>
          <w:b w:val="0"/>
        </w:rPr>
        <w:t xml:space="preserve"> (Est. Manoel Leôncio de Souza Brito, 1475).</w:t>
      </w:r>
    </w:p>
    <w:p>
      <w:r>
        <w:rPr>
          <w:b w:val="0"/>
        </w:rPr>
        <w:t>Empresa sediada dentro do cliente é um dos indícios mais citados em sentenças de pejotização, e ainda enfraquece o argumento de que a casa é cessão precária — se o endereço dela é ali, ela "mora e trabalha" ali por direito próprio.</w:t>
      </w:r>
    </w:p>
    <w:p>
      <w:r>
        <w:rPr>
          <w:b/>
        </w:rPr>
        <w:t>Ação:</w:t>
      </w:r>
      <w:r>
        <w:rPr>
          <w:b w:val="0"/>
        </w:rPr>
        <w:t xml:space="preserve"> exigir alteração do endereço no CNPJ para endereço próprio dela </w:t>
      </w:r>
      <w:r>
        <w:rPr>
          <w:b/>
        </w:rPr>
        <w:t>antes da assinatura</w:t>
      </w:r>
      <w:r>
        <w:rPr>
          <w:b w:val="0"/>
        </w:rPr>
        <w:t>, e proibir o uso do endereço do empreendimento como sede (</w:t>
      </w:r>
      <w:r>
        <w:rPr>
          <w:b/>
        </w:rPr>
        <w:t>Cl. 8.4 (vii)</w:t>
      </w:r>
      <w:r>
        <w:rPr>
          <w:b w:val="0"/>
        </w:rPr>
        <w:t>). Este é o ponto mais urgente dos três.</w:t>
      </w:r>
    </w:p>
    <w:p>
      <w:r>
        <w:rPr>
          <w:b/>
        </w:rPr>
        <w:t>c) Se a Camila é a única pessoa que presta o serviço, o risco é estruturalmente alto.</w:t>
      </w:r>
    </w:p>
    <w:p>
      <w:r>
        <w:rPr>
          <w:b w:val="0"/>
        </w:rPr>
        <w:t>Empresa individual + uma única pessoa física + presença diária + morando no local = o cenário clássico de reconhecimento de vínculo, por mais bem escrito que seja o contrato.</w:t>
      </w:r>
    </w:p>
    <w:p>
      <w:r>
        <w:rPr>
          <w:b/>
        </w:rPr>
        <w:t>Ação:</w:t>
      </w:r>
      <w:r>
        <w:rPr>
          <w:b w:val="0"/>
        </w:rPr>
        <w:t xml:space="preserve"> o ideal é que ela tenha ao menos </w:t>
      </w:r>
      <w:r>
        <w:rPr>
          <w:b/>
        </w:rPr>
        <w:t>um empregado registrado ou substituto habitual</w:t>
      </w:r>
      <w:r>
        <w:rPr>
          <w:b w:val="0"/>
        </w:rPr>
        <w:t xml:space="preserve"> e que isso apareça nos relatórios mensais. Se na prática for só ela, sozinha, todos os dias, morando na casa, avalie com um advogado trabalhista se não é mais barato e mais seguro </w:t>
      </w:r>
      <w:r>
        <w:rPr>
          <w:b/>
        </w:rPr>
        <w:t>contratá-la pela CLT</w:t>
      </w:r>
      <w:r>
        <w:rPr>
          <w:b w:val="0"/>
        </w:rPr>
        <w:t xml:space="preserve"> — o custo do vínculo assumido é previsível; o custo do vínculo reconhecido em juízo (com horas extras, adicional noturno, FGTS, multas, honorários e reflexos sobre anos) costuma ser várias vezes maior.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A casa de operações — como sair sem briga</w:t>
      </w:r>
    </w:p>
    <w:p>
      <w:r>
        <w:rPr>
          <w:b w:val="0"/>
        </w:rPr>
        <w:t>A cláusula de comodato (Cl. 8 + Anexo III) foi montada em cinco camadas, para que cada argumento dela caia numa trave diferente: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que impede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Comodato, não locação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invocar a Lei do Inquilinato, renovação, nem prazos de despejo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Detenção, não posse</w:t>
            </w:r>
            <w:r>
              <w:rPr>
                <w:b w:val="0"/>
                <w:sz w:val="18"/>
              </w:rPr>
              <w:t xml:space="preserve"> (art. 1.198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alegar posse, usucapião nem entrar com ação possessória contra você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Vinculada ao contrato de serviço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Acabou o serviço, acabou o direito de estar lá — automaticamente, sem notificação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Não é salário-utilidade</w:t>
            </w:r>
            <w:r>
              <w:rPr>
                <w:b w:val="0"/>
                <w:sz w:val="18"/>
              </w:rPr>
              <w:t xml:space="preserve"> (art. 458 CLT)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pedir que o valor do aluguel seja integrado à "remuneração" numa ação trabalhista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Renúncia a benfeitorias</w:t>
            </w:r>
            <w:r>
              <w:rPr>
                <w:b w:val="0"/>
                <w:sz w:val="18"/>
              </w:rPr>
              <w:t xml:space="preserve"> (art. 584 CC)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Ela não pode reter o imóvel cobrando pela pintura, pelo armário ou pela reforma que fez</w:t>
            </w:r>
          </w:p>
        </w:tc>
      </w:tr>
    </w:tbl>
    <w:p/>
    <w:p>
      <w:r>
        <w:rPr>
          <w:b/>
        </w:rPr>
        <w:t>A trava prática que faz a diferença:</w:t>
      </w:r>
      <w:r>
        <w:rPr>
          <w:b w:val="0"/>
        </w:rPr>
        <w:t xml:space="preserve"> desocupação em </w:t>
      </w:r>
      <w:r>
        <w:rPr>
          <w:b/>
        </w:rPr>
        <w:t>10 dias</w:t>
      </w:r>
      <w:r>
        <w:rPr>
          <w:b w:val="0"/>
        </w:rPr>
        <w:t xml:space="preserve">, com </w:t>
      </w:r>
      <w:r>
        <w:rPr>
          <w:b/>
        </w:rPr>
        <w:t>multa diária</w:t>
      </w:r>
      <w:r>
        <w:rPr>
          <w:b w:val="0"/>
        </w:rPr>
        <w:t xml:space="preserve"> e </w:t>
      </w:r>
      <w:r>
        <w:rPr>
          <w:b/>
        </w:rPr>
        <w:t>taxa de ocupação</w:t>
      </w:r>
      <w:r>
        <w:rPr>
          <w:b w:val="0"/>
        </w:rPr>
        <w:t xml:space="preserve"> mensal, mais a </w:t>
      </w:r>
      <w:r>
        <w:rPr>
          <w:b/>
        </w:rPr>
        <w:t>perda da garantia retida</w:t>
      </w:r>
      <w:r>
        <w:rPr>
          <w:b w:val="0"/>
        </w:rPr>
        <w:t xml:space="preserve"> (os 5%). Sem valor em dinheiro travado, a cláusula é só texto. Com a garantia retida, ela tem incentivo financeiro imediato para entregar as chaves no prazo.</w:t>
      </w:r>
    </w:p>
    <w:p>
      <w:r>
        <w:rPr>
          <w:b/>
        </w:rPr>
        <w:t>Duas exigências operacionais que você não pode pular:</w:t>
      </w:r>
    </w:p>
    <w:p>
      <w:pPr>
        <w:pStyle w:val="ListNumber"/>
        <w:spacing w:after="60"/>
      </w:pPr>
      <w:r>
        <w:rPr>
          <w:b/>
        </w:rPr>
        <w:t>Vistoria de entrada com fotos datadas, assinada</w:t>
      </w:r>
      <w:r>
        <w:rPr>
          <w:b w:val="0"/>
        </w:rPr>
        <w:t xml:space="preserve"> (Anexo III-B). Sem isso você não consegue provar dano nenhum na saída.</w:t>
      </w:r>
    </w:p>
    <w:p>
      <w:pPr>
        <w:pStyle w:val="ListNumber"/>
        <w:spacing w:after="60"/>
      </w:pPr>
      <w:r>
        <w:rPr>
          <w:b/>
        </w:rPr>
        <w:t>Declaração de domicílio próprio de cada ocupante</w:t>
      </w:r>
      <w:r>
        <w:rPr>
          <w:b w:val="0"/>
        </w:rPr>
        <w:t xml:space="preserve"> (Anexo III-A, item 3). É o que impede a tese de "eu morava lá, aquela era minha casa, não tenho para onde ir" — que é justamente o argumento que trava reintegração de posse na prática.</w:t>
      </w:r>
    </w:p>
    <w:p>
      <w:r>
        <w:rPr>
          <w:b w:val="0"/>
        </w:rPr>
        <w:t xml:space="preserve">Reforço a </w:t>
      </w:r>
      <w:r>
        <w:rPr>
          <w:b/>
        </w:rPr>
        <w:t>Cl. 8.10</w:t>
      </w:r>
      <w:r>
        <w:rPr>
          <w:b w:val="0"/>
        </w:rPr>
        <w:t>: a casa pode ser retomada isoladamente, com 30 dias, sem mexer no contrato de serviço. Isso te dá uma saída intermediária se a convivência azedar mas o serviço estiver bom.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Aviso prévio — como ficou</w:t>
      </w:r>
    </w:p>
    <w:p>
      <w:pPr>
        <w:pStyle w:val="ListBullet"/>
        <w:spacing w:after="60"/>
      </w:pPr>
      <w:r>
        <w:rPr>
          <w:b/>
        </w:rPr>
        <w:t>60 dias corridos</w:t>
      </w:r>
      <w:r>
        <w:rPr>
          <w:b w:val="0"/>
        </w:rPr>
        <w:t>, para as duas partes, por escrito</w:t>
      </w:r>
    </w:p>
    <w:p>
      <w:pPr>
        <w:pStyle w:val="ListBullet"/>
        <w:spacing w:after="60"/>
      </w:pPr>
      <w:r>
        <w:rPr>
          <w:b w:val="0"/>
        </w:rPr>
        <w:t xml:space="preserve">Durante o aviso: </w:t>
      </w:r>
      <w:r>
        <w:rPr>
          <w:b/>
        </w:rPr>
        <w:t>proibido reduzir equipe ou qualidade</w:t>
      </w:r>
      <w:r>
        <w:rPr>
          <w:b w:val="0"/>
        </w:rPr>
        <w:t xml:space="preserve"> (Cl. 9.3.1) — se reduzir, vira justa causa</w:t>
      </w:r>
    </w:p>
    <w:p>
      <w:pPr>
        <w:pStyle w:val="ListBullet"/>
        <w:spacing w:after="60"/>
      </w:pPr>
      <w:r>
        <w:rPr>
          <w:b/>
        </w:rPr>
        <w:t>Obrigação de transição</w:t>
      </w:r>
      <w:r>
        <w:rPr>
          <w:b w:val="0"/>
        </w:rPr>
        <w:t xml:space="preserve"> (Cl. 9.3.2): inventário em 15 dias, entrega de rotinas e contatos, e </w:t>
      </w:r>
      <w:r>
        <w:rPr>
          <w:b/>
        </w:rPr>
        <w:t>até 10 dias treinando a equipe substituta</w:t>
      </w:r>
    </w:p>
    <w:p>
      <w:pPr>
        <w:pStyle w:val="ListBullet"/>
        <w:spacing w:after="60"/>
      </w:pPr>
      <w:r>
        <w:rPr>
          <w:b/>
        </w:rPr>
        <w:t>Multa de 2 mensalidades</w:t>
      </w:r>
      <w:r>
        <w:rPr>
          <w:b w:val="0"/>
        </w:rPr>
        <w:t xml:space="preserve"> se ela sair sem cumprir, proporcional ao que cumpriu, </w:t>
      </w:r>
      <w:r>
        <w:rPr>
          <w:b/>
        </w:rPr>
        <w:t>mais</w:t>
      </w:r>
      <w:r>
        <w:rPr>
          <w:b w:val="0"/>
        </w:rPr>
        <w:t xml:space="preserve"> perdas e danos que excederem (Cl. 12.2 c/c art. 416, § único, CC — essa combinação é o que permite cobrar acima da multa)</w:t>
      </w:r>
    </w:p>
    <w:p>
      <w:pPr>
        <w:pStyle w:val="ListBullet"/>
        <w:spacing w:after="60"/>
      </w:pPr>
      <w:r>
        <w:rPr>
          <w:b/>
        </w:rPr>
        <w:t>Trava de temporada</w:t>
      </w:r>
      <w:r>
        <w:rPr>
          <w:b w:val="0"/>
        </w:rPr>
        <w:t xml:space="preserve"> (Cl. 9.3.4): o aviso dela </w:t>
      </w:r>
      <w:r>
        <w:rPr>
          <w:b/>
        </w:rPr>
        <w:t>não pode vencer entre 15/dez e 28/fev</w:t>
      </w:r>
      <w:r>
        <w:rPr>
          <w:b w:val="0"/>
        </w:rPr>
        <w:t>, nem às vésperas de evento de ocupação total. Se ela avisar em novembro, o prazo estica até 1º de março, com contrato e pagamento mantidos.</w:t>
      </w:r>
    </w:p>
    <w:p>
      <w:r>
        <w:rPr>
          <w:b w:val="0"/>
        </w:rPr>
        <w:t>Essa última é a cláusula que mais protege a operação hoteleira, e é a que menos aparece em modelo de contrato pronto.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Onde o contrato é equilibrado (e por que isso te protege)</w:t>
      </w:r>
    </w:p>
    <w:p>
      <w:r>
        <w:rPr>
          <w:b w:val="0"/>
        </w:rPr>
        <w:t xml:space="preserve">Contrato desequilibrado é contrato que o juiz reescreve. As contrapartidas à Contratada foram desenhadas para que o instrumento se sustente como </w:t>
      </w:r>
      <w:r>
        <w:rPr>
          <w:b/>
        </w:rPr>
        <w:t>contrato civil paritário</w:t>
      </w:r>
      <w:r>
        <w:rPr>
          <w:b w:val="0"/>
        </w:rPr>
        <w:t xml:space="preserve"> (Cl. 17.7):</w:t>
      </w:r>
    </w:p>
    <w:p>
      <w:pPr>
        <w:pStyle w:val="ListBullet"/>
        <w:spacing w:after="60"/>
      </w:pPr>
      <w:r>
        <w:rPr>
          <w:b w:val="0"/>
        </w:rPr>
        <w:t>Multa e juros contra a Mediterrâneo em caso de atraso de pagamento (Cl. 4.6)</w:t>
      </w:r>
    </w:p>
    <w:p>
      <w:pPr>
        <w:pStyle w:val="ListBullet"/>
        <w:spacing w:after="60"/>
      </w:pPr>
      <w:r>
        <w:rPr>
          <w:b w:val="0"/>
        </w:rPr>
        <w:t>Reajuste automático por IPCA, sem depender de negociação (Cl. 4.7)</w:t>
      </w:r>
    </w:p>
    <w:p>
      <w:pPr>
        <w:pStyle w:val="ListBullet"/>
        <w:spacing w:after="60"/>
      </w:pPr>
      <w:r>
        <w:rPr>
          <w:b w:val="0"/>
        </w:rPr>
        <w:t>Direito de rescindir por falta de pagamento (Cl. 10.1.2)</w:t>
      </w:r>
    </w:p>
    <w:p>
      <w:pPr>
        <w:pStyle w:val="ListBullet"/>
        <w:spacing w:after="60"/>
      </w:pPr>
      <w:r>
        <w:rPr>
          <w:b w:val="0"/>
        </w:rPr>
        <w:t>Mediterrâneo fornece água, energia e local de guarda (Cl. 6.3)</w:t>
      </w:r>
    </w:p>
    <w:p>
      <w:pPr>
        <w:pStyle w:val="ListBullet"/>
        <w:spacing w:after="60"/>
      </w:pPr>
      <w:r>
        <w:rPr>
          <w:b w:val="0"/>
        </w:rPr>
        <w:t>Aviso de alta ocupação com 5 dias de antecedência (Cl. 6.4)</w:t>
      </w:r>
    </w:p>
    <w:p>
      <w:pPr>
        <w:pStyle w:val="ListBullet"/>
        <w:spacing w:after="60"/>
      </w:pPr>
      <w:r>
        <w:rPr>
          <w:b w:val="0"/>
        </w:rPr>
        <w:t>Proibição de a Mediterrâneo aliciar a equipe dela (Cl. 6.8)</w:t>
      </w:r>
    </w:p>
    <w:p>
      <w:pPr>
        <w:pStyle w:val="ListBullet"/>
        <w:spacing w:after="60"/>
      </w:pPr>
      <w:r>
        <w:rPr>
          <w:b w:val="0"/>
        </w:rPr>
        <w:t xml:space="preserve">Aviso prévio de 60 dias vale </w:t>
      </w:r>
      <w:r>
        <w:rPr>
          <w:b/>
        </w:rPr>
        <w:t>para os dois lados</w:t>
      </w:r>
    </w:p>
    <w:p>
      <w:pPr>
        <w:pStyle w:val="ListBullet"/>
        <w:spacing w:after="60"/>
      </w:pPr>
      <w:r>
        <w:rPr>
          <w:b w:val="0"/>
        </w:rPr>
        <w:t>Pagamento pro rata dos serviços prestados até a rescisão (Cl. 9.5)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Sequência de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Advogado trabalhista de SC revisa o instrumento (Cl. 2, 7, 8 e 9)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endereço da sede</w:t>
            </w:r>
            <w:r>
              <w:rPr>
                <w:b w:val="0"/>
                <w:sz w:val="18"/>
              </w:rPr>
              <w:t xml:space="preserve"> no CNPJ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Camila altera </w:t>
            </w:r>
            <w:r>
              <w:rPr>
                <w:b/>
                <w:sz w:val="18"/>
              </w:rPr>
              <w:t>CNAE principal</w:t>
            </w:r>
            <w:r>
              <w:rPr>
                <w:b w:val="0"/>
                <w:sz w:val="18"/>
              </w:rPr>
              <w:t xml:space="preserve"> para 81.21-4-00 ou 81.29-0-00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30 dias (Cl. 2.6)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Preencher Anexo I (perímetro, frequências, janelas, SLA) com a operação real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Definir preço, dia de faturamento, dia de pagamento, multas em R$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Antes de assinar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Vistoria da casa com fotos datadas + Anexo III-A e III-B assinados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 dia da assinatura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Assinar contrato + anexos com </w:t>
            </w:r>
            <w:r>
              <w:rPr>
                <w:b/>
                <w:sz w:val="18"/>
              </w:rPr>
              <w:t>2 testemunhas</w:t>
            </w:r>
            <w:r>
              <w:rPr>
                <w:b w:val="0"/>
                <w:sz w:val="18"/>
              </w:rPr>
              <w:t xml:space="preserve"> (título executivo, art. 784 III CPC)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Designar Preposto (Anexo V) e comunicar internamente a regra do canal único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Abrir pasta digital `contratos/zeladoria/2026/[mês]` para o pacote mensal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Semana 1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Rotina mensal: NFS-e + Anexo II-A + Anexo II-B + Anexo IV, conferidos antes de pagar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Ressalva</w:t>
      </w:r>
    </w:p>
    <w:p>
      <w:r>
        <w:rPr>
          <w:b w:val="0"/>
        </w:rPr>
        <w:t xml:space="preserve">Este material foi preparado como estruturação de negócio e minuta de trabalho, com base nos dois cartões CNPJ fornecidos. </w:t>
      </w:r>
      <w:r>
        <w:rPr>
          <w:b/>
        </w:rPr>
        <w:t>Não é parecer jurídico.</w:t>
      </w:r>
      <w:r>
        <w:rPr>
          <w:b w:val="0"/>
        </w:rPr>
        <w:t xml:space="preserve"> Contrato de prestação de serviço com pessoa física por trás de CNPJ individual, prestando serviço contínuo e morando no local, é exatamente o perfil que a Justiça do Trabalho examina com mais rigor. </w:t>
      </w:r>
      <w:r>
        <w:rPr>
          <w:b/>
        </w:rPr>
        <w:t>Faça a revisão com advogado trabalhista antes de assinar</w:t>
      </w:r>
      <w:r>
        <w:rPr>
          <w:b w:val="0"/>
        </w:rPr>
        <w:t xml:space="preserve"> — especialmente quanto ao ponto 2.3 (c).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