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NOTA ESTRATÉGICA — ESTRUTURA DA CONTRATAÇÃO DE ZELADORIA E HOSPITALIDADE</w:t>
      </w: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Mediterrâneo Empreendimentos Turísticos Ltda × 19.525.600 Camila Rabelo Glicerio Gois</w:t>
      </w:r>
    </w:p>
    <w:p>
      <w:r>
        <w:rPr>
          <w:b/>
        </w:rPr>
        <w:t>Data:</w:t>
      </w:r>
      <w:r>
        <w:rPr>
          <w:b w:val="0"/>
        </w:rPr>
        <w:t xml:space="preserve"> 30/08/2026 · </w:t>
      </w:r>
      <w:r>
        <w:rPr>
          <w:b/>
        </w:rPr>
        <w:t>Uso interno</w:t>
      </w:r>
      <w:r>
        <w:rPr>
          <w:b w:val="0"/>
        </w:rPr>
        <w:t xml:space="preserve"> · </w:t>
      </w:r>
      <w:r>
        <w:rPr>
          <w:b/>
        </w:rPr>
        <w:t>Não substitui parecer de advogado trabalhista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 xml:space="preserve">1. Anual ou mês a mês? — Resposta: </w:t>
      </w:r>
      <w:r>
        <w:rPr>
          <w:b/>
          <w:color w:val="C9A84C"/>
          <w:sz w:val="25"/>
        </w:rPr>
        <w:t>anual, com renovação automática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Contrato mês a mês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Contrato anual (recomendado)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Aviso prévio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Não existe. Ela sai dia 30 e você acorda sem zeladoria em plena alta temporada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60 dias contratuais, com multa se descumprido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Blindagem trabalhista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Pior.</w:t>
            </w:r>
            <w:r>
              <w:rPr>
                <w:b w:val="0"/>
                <w:sz w:val="18"/>
              </w:rPr>
              <w:t xml:space="preserve"> Renovar 12 vezes o mesmo contrato prova continuidade e ainda parece tentativa de disfarce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Prazo determinado, empresarial, com escopo por resultado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Desocupação da casa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Frágil, discutível a cada mês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Cláusula de comodato vinculada a um contrato firme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Reajuste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Renegociação constante, atrito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IPCA automático no aniversário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Custo administrativo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 contratos, 12 assinaturas, 12 riscos de erro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 contrato + 12 recibos</w:t>
            </w:r>
          </w:p>
        </w:tc>
      </w:tr>
    </w:tbl>
    <w:p/>
    <w:p>
      <w:r>
        <w:rPr>
          <w:b/>
        </w:rPr>
        <w:t>O ponto que costuma confundir:</w:t>
      </w:r>
      <w:r>
        <w:rPr>
          <w:b w:val="0"/>
        </w:rPr>
        <w:t xml:space="preserve"> fazer mês a mês não reduz risco trabalhista. A Justiça do Trabalho aplica o </w:t>
      </w:r>
      <w:r>
        <w:rPr>
          <w:b/>
        </w:rPr>
        <w:t>princípio da primazia da realidade</w:t>
      </w:r>
      <w:r>
        <w:rPr>
          <w:b w:val="0"/>
        </w:rPr>
        <w:t xml:space="preserve"> — ela olha o que acontece na operação, não o papel. Doze contratos mensais seguidos provam exatamente a continuidade que você queria evitar, e ainda te deixam sem aviso prévio e sem instrumento firme para exigir a devolução da casa.</w:t>
      </w:r>
    </w:p>
    <w:p>
      <w:r>
        <w:rPr>
          <w:b/>
        </w:rPr>
        <w:t>Estrutura recomendada:</w:t>
      </w:r>
    </w:p>
    <w:p>
      <w:pPr>
        <w:pStyle w:val="ListBullet"/>
        <w:spacing w:after="60"/>
      </w:pPr>
      <w:r>
        <w:rPr>
          <w:b/>
        </w:rPr>
        <w:t>1 contrato anual</w:t>
      </w:r>
      <w:r>
        <w:rPr>
          <w:b w:val="0"/>
        </w:rPr>
        <w:t xml:space="preserve"> (12 meses), renovação automática por iguais períodos</w:t>
      </w:r>
    </w:p>
    <w:p>
      <w:pPr>
        <w:pStyle w:val="ListBullet"/>
        <w:spacing w:after="60"/>
      </w:pPr>
      <w:r>
        <w:rPr>
          <w:b/>
        </w:rPr>
        <w:t>+ 12 pacotes mensais anexados:</w:t>
      </w:r>
      <w:r>
        <w:rPr>
          <w:b w:val="0"/>
        </w:rPr>
        <w:t xml:space="preserve"> NFS-e + Relatório de Serviços (Anexo II-A) + Recibo com Termo de Quitação (Anexo II-B) + certidões (Anexo IV)</w:t>
      </w:r>
    </w:p>
    <w:p>
      <w:pPr>
        <w:pStyle w:val="ListBullet"/>
        <w:spacing w:after="60"/>
      </w:pPr>
      <w:r>
        <w:rPr>
          <w:b/>
        </w:rPr>
        <w:t>+ aditivo</w:t>
      </w:r>
      <w:r>
        <w:rPr>
          <w:b w:val="0"/>
        </w:rPr>
        <w:t xml:space="preserve"> só quando mudar preço fora do IPCA ou mudar escopo</w:t>
      </w:r>
    </w:p>
    <w:p>
      <w:r>
        <w:rPr>
          <w:b/>
        </w:rPr>
        <w:t>Sim, anexe os recibos todo mês.</w:t>
      </w:r>
      <w:r>
        <w:rPr>
          <w:b w:val="0"/>
        </w:rPr>
        <w:t xml:space="preserve"> O recibo mensal com quitação plena é uma das peças mais fortes da defesa: são 12 documentos por ano, assinados por ela, dizendo que prestou serviço de forma autônoma, sem subordinação, e que nada mais tem a reclamar. Guarde tudo em pasta digital organizada por competência.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2. Como blindar do risco trabalhista</w:t>
      </w: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2.1. O que o contrato já faz (cláusulas)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Cláusula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Reconhecimento de vínculo (pejotização)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Cl. 2</w:t>
            </w:r>
            <w:r>
              <w:rPr>
                <w:b w:val="0"/>
                <w:sz w:val="18"/>
              </w:rPr>
              <w:t xml:space="preserve"> — declaração dos 4 requisitos ausentes: subordinação, pessoalidade, exclusividade, habitualidade pessoal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Ordem direta aos funcionários dela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Cl. 2.4 + 3.3 + Anexo V</w:t>
            </w:r>
            <w:r>
              <w:rPr>
                <w:b w:val="0"/>
                <w:sz w:val="18"/>
              </w:rPr>
              <w:t xml:space="preserve"> — todo contato passa pelo Preposto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"Ela era tratada como funcionária"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Cl. 2.5</w:t>
            </w:r>
            <w:r>
              <w:rPr>
                <w:b w:val="0"/>
                <w:sz w:val="18"/>
              </w:rPr>
              <w:t xml:space="preserve"> — proibido uniforme da marca, reunião de equipe, meta, vale, adiantamento, ponto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Responsabilidade subsidiária (Súmula 331 TST)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Cl. 7</w:t>
            </w:r>
            <w:r>
              <w:rPr>
                <w:b w:val="0"/>
                <w:sz w:val="18"/>
              </w:rPr>
              <w:t xml:space="preserve"> — responsabilidade exclusiva dela + direito de regresso integral + obrigação de assumir o polo passivo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Ela sumir e deixar dívida trabalhista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Cl. 4.9</w:t>
            </w:r>
            <w:r>
              <w:rPr>
                <w:b w:val="0"/>
                <w:sz w:val="18"/>
              </w:rPr>
              <w:t xml:space="preserve"> — retenção de 5% de cada fatura, liberada 90 dias após o fim, contra CNDT e quitação dos empregados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Falta de fiscalização (culpa in vigilando)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Cl. 5.12 + Anexo IV</w:t>
            </w:r>
            <w:r>
              <w:rPr>
                <w:b w:val="0"/>
                <w:sz w:val="18"/>
              </w:rPr>
              <w:t xml:space="preserve"> — checklist mensal de certidões como condição de pagamento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Terceirizar atividade-fim (recepção, hospitalidade)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Cl. 1.4</w:t>
            </w:r>
            <w:r>
              <w:rPr>
                <w:b w:val="0"/>
                <w:sz w:val="18"/>
              </w:rPr>
              <w:t xml:space="preserve"> — Lei 6.019/74 c/ Lei 13.467/17 + ADPF 324 e RE 958.252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Prestar "segurança" sem ser empresa de segurança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Cl. 1.5 (a) + 3.8</w:t>
            </w:r>
            <w:r>
              <w:rPr>
                <w:b w:val="0"/>
                <w:sz w:val="18"/>
              </w:rPr>
              <w:t xml:space="preserve"> — Módulo E é conservação e presença, nunca vigilância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Disponibilidade noturna virar sobreaviso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Cl. 3.9</w:t>
            </w:r>
            <w:r>
              <w:rPr>
                <w:b w:val="0"/>
                <w:sz w:val="18"/>
              </w:rPr>
              <w:t xml:space="preserve"> — escala sob critério exclusivo dela, já dentro do preço global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Desvio de valores e falha de conciliação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Cl. 3.10 + 14.2</w:t>
            </w:r>
            <w:r>
              <w:rPr>
                <w:b w:val="0"/>
                <w:sz w:val="18"/>
              </w:rPr>
              <w:t xml:space="preserve"> — meios de pagamento da Mediterrâneo, prestação de contas diária, seguro de fidelidade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Intoxicação alimentar e autuação sanitária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Cl. 3.11 + 3.11.1</w:t>
            </w:r>
            <w:r>
              <w:rPr>
                <w:b w:val="0"/>
                <w:sz w:val="18"/>
              </w:rPr>
              <w:t xml:space="preserve"> — RDC 216/2004, amostras por 72h, alergênicos, responsabilidade primária dela com regresso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Casa vira "salário-utilidade"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Cl. 8.2 (c)</w:t>
            </w:r>
            <w:r>
              <w:rPr>
                <w:b w:val="0"/>
                <w:sz w:val="18"/>
              </w:rPr>
              <w:t xml:space="preserve"> — comodato instrumental, não remuneração, art. 458 CLT afastado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Ela não sair da casa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Cl. 8.8</w:t>
            </w:r>
            <w:r>
              <w:rPr>
                <w:b w:val="0"/>
                <w:sz w:val="18"/>
              </w:rPr>
              <w:t xml:space="preserve"> — extinção automática, 10 dias, multa diária, taxa de ocupação, reintegração de posse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Sair sem avisar na alta temporada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Cl. 9.3</w:t>
            </w:r>
            <w:r>
              <w:rPr>
                <w:b w:val="0"/>
                <w:sz w:val="18"/>
              </w:rPr>
              <w:t xml:space="preserve"> — 60 dias + multa de 2 mensalidades + bloqueio de saída entre 15/dez e 28/fev</w:t>
            </w:r>
          </w:p>
        </w:tc>
      </w:tr>
    </w:tbl>
    <w:p/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 xml:space="preserve">2.2. O que o contrato </w:t>
      </w:r>
      <w:r>
        <w:rPr>
          <w:b/>
          <w:color w:val="0A0A0A"/>
          <w:sz w:val="22"/>
        </w:rPr>
        <w:t>não</w:t>
      </w:r>
      <w:r>
        <w:rPr>
          <w:b/>
          <w:color w:val="0A0A0A"/>
          <w:sz w:val="22"/>
        </w:rPr>
        <w:t xml:space="preserve"> faz — e é onde você realmente se protege</w:t>
      </w:r>
    </w:p>
    <w:p>
      <w:r>
        <w:rPr>
          <w:b w:val="0"/>
        </w:rPr>
        <w:t xml:space="preserve">Nenhuma cláusula blinda contra a realidade dos fatos. Se a operação do dia a dia parecer emprego, o juiz reconhece vínculo e o contrato vira só um indício contrário. </w:t>
      </w:r>
      <w:r>
        <w:rPr>
          <w:b/>
        </w:rPr>
        <w:t>Estas são as regras de operação que valem mais que o papel:</w:t>
      </w:r>
    </w:p>
    <w:p>
      <w:pPr>
        <w:pStyle w:val="ListNumber"/>
        <w:spacing w:after="60"/>
      </w:pPr>
      <w:r>
        <w:rPr>
          <w:b/>
        </w:rPr>
        <w:t>Nunca dê ordem direta</w:t>
      </w:r>
      <w:r>
        <w:rPr>
          <w:b w:val="0"/>
        </w:rPr>
        <w:t xml:space="preserve"> a ninguém da equipe dela. Fale só com o Preposto, por escrito (WhatsApp serve, desde que seja o canal do contrato).</w:t>
      </w:r>
    </w:p>
    <w:p>
      <w:pPr>
        <w:pStyle w:val="ListNumber"/>
        <w:spacing w:after="60"/>
      </w:pPr>
      <w:r>
        <w:rPr>
          <w:b/>
        </w:rPr>
        <w:t>Nunca controle horário.</w:t>
      </w:r>
      <w:r>
        <w:rPr>
          <w:b w:val="0"/>
        </w:rPr>
        <w:t xml:space="preserve"> Nada de ponto, escala, "chega às 8h", pedido de autorização para faltar, controle de férias.</w:t>
      </w:r>
    </w:p>
    <w:p>
      <w:pPr>
        <w:pStyle w:val="ListNumber"/>
        <w:spacing w:after="60"/>
      </w:pPr>
      <w:r>
        <w:rPr>
          <w:b/>
        </w:rPr>
        <w:t>Nunca pague em conta de pessoa física, nem em espécie, nem toda sexta-feira.</w:t>
      </w:r>
      <w:r>
        <w:rPr>
          <w:b w:val="0"/>
        </w:rPr>
        <w:t xml:space="preserve"> Só PIX/TED para o CNPJ, uma vez por mês, contra nota fiscal.</w:t>
      </w:r>
    </w:p>
    <w:p>
      <w:pPr>
        <w:pStyle w:val="ListNumber"/>
        <w:spacing w:after="60"/>
      </w:pPr>
      <w:r>
        <w:rPr>
          <w:b/>
        </w:rPr>
        <w:t>Nunca dê vale, adiantamento, empréstimo, cesta, plano de saúde, vale-transporte.</w:t>
      </w:r>
      <w:r>
        <w:rPr>
          <w:b w:val="0"/>
        </w:rPr>
        <w:t xml:space="preserve"> Qualquer uma dessas coisas isolada já é prova de vínculo.</w:t>
      </w:r>
    </w:p>
    <w:p>
      <w:pPr>
        <w:pStyle w:val="ListNumber"/>
        <w:spacing w:after="60"/>
      </w:pPr>
      <w:r>
        <w:rPr>
          <w:b/>
        </w:rPr>
        <w:t>Nunca coloque ela em reunião de equipe, treinamento interno, meta, premiação ou grupo de funcionários.</w:t>
      </w:r>
    </w:p>
    <w:p>
      <w:pPr>
        <w:pStyle w:val="ListNumber"/>
        <w:spacing w:after="60"/>
      </w:pPr>
      <w:r>
        <w:rPr>
          <w:b/>
        </w:rPr>
        <w:t>Não exija uniforme com a marca Mediterrâneo/Zion.</w:t>
      </w:r>
      <w:r>
        <w:rPr>
          <w:b w:val="0"/>
        </w:rPr>
        <w:t xml:space="preserve"> Se precisar de identificação por segurança, o crachá tem que dizer o nome da empresa dela.</w:t>
      </w:r>
    </w:p>
    <w:p>
      <w:pPr>
        <w:pStyle w:val="ListNumber"/>
        <w:spacing w:after="60"/>
      </w:pPr>
      <w:r>
        <w:rPr>
          <w:b/>
        </w:rPr>
        <w:t>Documente as substituições.</w:t>
      </w:r>
      <w:r>
        <w:rPr>
          <w:b w:val="0"/>
        </w:rPr>
        <w:t xml:space="preserve"> Toda vez que ela mandar outra pessoa no lugar dela, registre. Substituição documentada destrói o requisito da pessoalidade — é a prova mais forte que existe.</w:t>
      </w:r>
    </w:p>
    <w:p>
      <w:pPr>
        <w:pStyle w:val="ListNumber"/>
        <w:spacing w:after="60"/>
      </w:pPr>
      <w:r>
        <w:rPr>
          <w:b/>
        </w:rPr>
        <w:t>Cobre as certidões todo mês, por escrito.</w:t>
      </w:r>
      <w:r>
        <w:rPr>
          <w:b w:val="0"/>
        </w:rPr>
        <w:t xml:space="preserve"> A fiscalização documentada é o que afasta a culpa in vigilando e limita a responsabilidade subsidiária.</w:t>
      </w:r>
    </w:p>
    <w:p>
      <w:pPr>
        <w:pStyle w:val="ListNumber"/>
        <w:spacing w:after="60"/>
      </w:pPr>
      <w:r>
        <w:rPr>
          <w:b/>
        </w:rPr>
        <w:t>Aponte falhas por escrito, ao Preposto, sempre como "não conformidade de resultado"</w:t>
      </w:r>
      <w:r>
        <w:rPr>
          <w:b w:val="0"/>
        </w:rPr>
        <w:t xml:space="preserve"> — nunca como advertência disciplinar a pessoa.</w:t>
      </w:r>
    </w:p>
    <w:p>
      <w:pPr>
        <w:pStyle w:val="ListNumber"/>
        <w:spacing w:after="60"/>
      </w:pPr>
      <w:r>
        <w:rPr>
          <w:b/>
        </w:rPr>
        <w:t>Guarde tudo:</w:t>
      </w:r>
      <w:r>
        <w:rPr>
          <w:b w:val="0"/>
        </w:rPr>
        <w:t xml:space="preserve"> notas, recibos, relatórios, certidões, fotos das vistorias, prints das conversas. Arquivo organizado por mês, por 5 anos.</w:t>
      </w: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2.3. Três pontos de atenção nos documentos que você me mandou</w:t>
      </w:r>
    </w:p>
    <w:p>
      <w:r>
        <w:rPr>
          <w:b/>
        </w:rPr>
        <w:t>a) O CNAE principal dela é 97.00-5-00 — "Serviços domésticos".</w:t>
      </w:r>
    </w:p>
    <w:p>
      <w:r>
        <w:rPr>
          <w:b w:val="0"/>
        </w:rPr>
        <w:t xml:space="preserve">Esse é o CNAE de </w:t>
      </w:r>
      <w:r>
        <w:rPr>
          <w:b/>
        </w:rPr>
        <w:t>empregador doméstico</w:t>
      </w:r>
      <w:r>
        <w:rPr>
          <w:b w:val="0"/>
        </w:rPr>
        <w:t>, não de prestadora de serviço empresarial. Se cair uma reclamação, a defesa fica visivelmente pior: o próprio cadastro dela sugere trabalho doméstico. Ela tem os CNAEs certos como secundários (81.29-0-00 limpeza, 81.30-3-00 paisagismo).</w:t>
      </w:r>
    </w:p>
    <w:p>
      <w:r>
        <w:rPr>
          <w:b/>
        </w:rPr>
        <w:t>Ação:</w:t>
      </w:r>
      <w:r>
        <w:rPr>
          <w:b w:val="0"/>
        </w:rPr>
        <w:t xml:space="preserve"> peça que ela altere o </w:t>
      </w:r>
      <w:r>
        <w:rPr>
          <w:b/>
        </w:rPr>
        <w:t>CNAE principal</w:t>
      </w:r>
      <w:r>
        <w:rPr>
          <w:b w:val="0"/>
        </w:rPr>
        <w:t xml:space="preserve"> para </w:t>
      </w:r>
      <w:r>
        <w:rPr>
          <w:b/>
        </w:rPr>
        <w:t>81.21-4-00</w:t>
      </w:r>
      <w:r>
        <w:rPr>
          <w:b w:val="0"/>
        </w:rPr>
        <w:t xml:space="preserve"> (limpeza em prédios e domicílios) ou </w:t>
      </w:r>
      <w:r>
        <w:rPr>
          <w:b/>
        </w:rPr>
        <w:t>81.29-0-00</w:t>
      </w:r>
      <w:r>
        <w:rPr>
          <w:b w:val="0"/>
        </w:rPr>
        <w:t xml:space="preserve"> antes de assinar, e que a NFS-e seja emitida sob esse código. É gratuito e leva poucos dias na Junta/Receita. Está previsto na </w:t>
      </w:r>
      <w:r>
        <w:rPr>
          <w:b/>
        </w:rPr>
        <w:t>Cl. 2.6</w:t>
      </w:r>
      <w:r>
        <w:rPr>
          <w:b w:val="0"/>
        </w:rPr>
        <w:t xml:space="preserve"> com prazo de 30 dias.</w:t>
      </w:r>
    </w:p>
    <w:p>
      <w:r>
        <w:rPr>
          <w:b/>
        </w:rPr>
        <w:t>b) A sede da empresa dela é o mesmo endereço do empreendimento</w:t>
      </w:r>
      <w:r>
        <w:rPr>
          <w:b w:val="0"/>
        </w:rPr>
        <w:t xml:space="preserve"> (Est. Manoel Leôncio de Souza Brito, 1475).</w:t>
      </w:r>
    </w:p>
    <w:p>
      <w:r>
        <w:rPr>
          <w:b w:val="0"/>
        </w:rPr>
        <w:t>Empresa sediada dentro do cliente é um dos indícios mais citados em sentenças de pejotização, e ainda enfraquece o argumento de que a casa é cessão precária — se o endereço dela é ali, ela "mora e trabalha" ali por direito próprio.</w:t>
      </w:r>
    </w:p>
    <w:p>
      <w:r>
        <w:rPr>
          <w:b/>
        </w:rPr>
        <w:t>Ação:</w:t>
      </w:r>
      <w:r>
        <w:rPr>
          <w:b w:val="0"/>
        </w:rPr>
        <w:t xml:space="preserve"> exigir alteração do endereço no CNPJ para endereço próprio dela </w:t>
      </w:r>
      <w:r>
        <w:rPr>
          <w:b/>
        </w:rPr>
        <w:t>antes da assinatura</w:t>
      </w:r>
      <w:r>
        <w:rPr>
          <w:b w:val="0"/>
        </w:rPr>
        <w:t>, e proibir o uso do endereço do empreendimento como sede (</w:t>
      </w:r>
      <w:r>
        <w:rPr>
          <w:b/>
        </w:rPr>
        <w:t>Cl. 8.4 (vii)</w:t>
      </w:r>
      <w:r>
        <w:rPr>
          <w:b w:val="0"/>
        </w:rPr>
        <w:t>). Este é o ponto mais urgente dos três.</w:t>
      </w:r>
    </w:p>
    <w:p>
      <w:r>
        <w:rPr>
          <w:b/>
        </w:rPr>
        <w:t>c) Se a Camila é a única pessoa que presta o serviço, o risco é estruturalmente alto.</w:t>
      </w:r>
    </w:p>
    <w:p>
      <w:r>
        <w:rPr>
          <w:b w:val="0"/>
        </w:rPr>
        <w:t>Empresa individual + uma única pessoa física + presença diária + morando no local = o cenário clássico de reconhecimento de vínculo, por mais bem escrito que seja o contrato.</w:t>
      </w:r>
    </w:p>
    <w:p>
      <w:r>
        <w:rPr>
          <w:b/>
        </w:rPr>
        <w:t>Ação:</w:t>
      </w:r>
      <w:r>
        <w:rPr>
          <w:b w:val="0"/>
        </w:rPr>
        <w:t xml:space="preserve"> o ideal é que ela tenha ao menos </w:t>
      </w:r>
      <w:r>
        <w:rPr>
          <w:b/>
        </w:rPr>
        <w:t>um empregado registrado ou substituto habitual</w:t>
      </w:r>
      <w:r>
        <w:rPr>
          <w:b w:val="0"/>
        </w:rPr>
        <w:t xml:space="preserve"> e que isso apareça nos relatórios mensais. Se na prática for só ela, sozinha, todos os dias, morando na casa, avalie com um advogado trabalhista se não é mais barato e mais seguro </w:t>
      </w:r>
      <w:r>
        <w:rPr>
          <w:b/>
        </w:rPr>
        <w:t>contratá-la pela CLT</w:t>
      </w:r>
      <w:r>
        <w:rPr>
          <w:b w:val="0"/>
        </w:rPr>
        <w:t xml:space="preserve"> — o custo do vínculo assumido é previsível; o custo do vínculo reconhecido em juízo (com horas extras, adicional noturno, FGTS, multas, honorários e reflexos sobre anos) costuma ser várias vezes maior.</w:t>
      </w: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2.4. Ela também recebe hóspede, faz reparo, ronda e mexe com pagamento — pode?</w:t>
      </w:r>
    </w:p>
    <w:p>
      <w:r>
        <w:rPr>
          <w:b w:val="0"/>
        </w:rPr>
        <w:t xml:space="preserve">Pode. A primeira versão excluía essas funções por conservadorismo, e isso estava errado para a sua operação real. Um glamping pequeno não tem recepcionista, camareira, zelador e manutentor separados: tem uma pessoa que faz tudo. O contrato agora reflete isso, com o objeto dividido em </w:t>
      </w:r>
      <w:r>
        <w:rPr>
          <w:b/>
        </w:rPr>
        <w:t>seis módulos</w:t>
      </w:r>
      <w:r>
        <w:rPr>
          <w:b w:val="0"/>
        </w:rPr>
        <w:t xml:space="preserve"> (Cláusula 1.2) que você assinala no Anexo I conforme o que ela realmente faz.</w:t>
      </w:r>
    </w:p>
    <w:p>
      <w:r>
        <w:rPr>
          <w:b/>
        </w:rPr>
        <w:t>Terceirizar atividade-fim é legal desde 2017.</w:t>
      </w:r>
      <w:r>
        <w:rPr>
          <w:b w:val="0"/>
        </w:rPr>
        <w:t xml:space="preserve"> A Lei 13.429/2017 e a Lei 13.467/2017 alteraram a Lei 6.019/1974, e o STF confirmou na </w:t>
      </w:r>
      <w:r>
        <w:rPr>
          <w:b/>
        </w:rPr>
        <w:t>ADPF 324</w:t>
      </w:r>
      <w:r>
        <w:rPr>
          <w:b w:val="0"/>
        </w:rPr>
        <w:t xml:space="preserve"> e no </w:t>
      </w:r>
      <w:r>
        <w:rPr>
          <w:b/>
        </w:rPr>
        <w:t>RE 958.252 (Tema 725)</w:t>
      </w:r>
      <w:r>
        <w:rPr>
          <w:b w:val="0"/>
        </w:rPr>
        <w:t xml:space="preserve"> que qualquer atividade pode ser terceirizada, meio ou fim. Recepcionar hóspede em hotel terceirizado é lícito. Isso está afirmado na Cláusula 1.4, citando os precedentes — não como enfeite, mas porque um juiz que leia o contrato já encontra a base pronta.</w:t>
      </w:r>
    </w:p>
    <w:p>
      <w:r>
        <w:rPr>
          <w:b/>
        </w:rPr>
        <w:t>Só três coisas ficaram fora, e por motivo de lei, não de estratégia: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Fica fora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Por quê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 que ela faz no lugar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Vigilância e segurança patrimonial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Lei 7.102/1983 — atividade privativa de empresa de segurança autorizada pela PF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Módulo E: ronda de </w:t>
            </w:r>
            <w:r>
              <w:rPr>
                <w:b/>
                <w:sz w:val="18"/>
              </w:rPr>
              <w:t>conservação</w:t>
            </w:r>
            <w:r>
              <w:rPr>
                <w:b w:val="0"/>
                <w:sz w:val="18"/>
              </w:rPr>
              <w:t>, verificação do imóvel e dos acessos. Vedado portar arma, revistar, abordar ou conter. Diante de ocorrência: aciona você e a polícia, não intervém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Elétrica energizada, gás, hidráulica de rede, estrutura, obras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Exigem habilitação e ART/RRT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Módulo D: ela </w:t>
            </w:r>
            <w:r>
              <w:rPr>
                <w:b/>
                <w:sz w:val="18"/>
              </w:rPr>
              <w:t>identifica, isola e comunica</w:t>
            </w:r>
            <w:r>
              <w:rPr>
                <w:b w:val="0"/>
                <w:sz w:val="18"/>
              </w:rPr>
              <w:t>. Quem executa é profissional habilitado que você contrata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Decisões comerciais (preço, reserva, desconto, fornecedor)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Não é limite legal, é limite de risco seu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Módulo C: ela executa dentro dos critérios que você definiu por escrito</w:t>
            </w:r>
          </w:p>
        </w:tc>
      </w:tr>
    </w:tbl>
    <w:p/>
    <w:p>
      <w:r>
        <w:rPr>
          <w:b/>
        </w:rPr>
        <w:t>A diferença entre "zeladoria" e "vigilância" não é semântica.</w:t>
      </w:r>
      <w:r>
        <w:rPr>
          <w:b w:val="0"/>
        </w:rPr>
        <w:t xml:space="preserve"> Se o contrato disser que ela é responsável pela segurança do local, você contratou serviço de segurança de quem não pode prestá-lo, e passa a responder por isso. Se disser que ela faz ronda de conservação e comunica anormalidades, é zeladoria, que qualquer empresa pode prestar. A redação da Cláusula 1.5 (a) e do Módulo E foi construída sobre essa linha.</w:t>
      </w:r>
    </w:p>
    <w:p>
      <w:r>
        <w:rPr>
          <w:b/>
        </w:rPr>
        <w:t>O módulo de recebimento de valores (F) é o mais perigoso — e é opcional.</w:t>
      </w:r>
      <w:r>
        <w:rPr>
          <w:b w:val="0"/>
        </w:rPr>
        <w:t xml:space="preserve"> Se ela recebe pagamento de hóspede, três riscos entram de uma vez: apropriação indébita, dificuldade de conciliação, e o reforço da aparência de empregada com acesso a caixa. As travas da Cláusula 3.10:</w:t>
      </w:r>
    </w:p>
    <w:p>
      <w:pPr>
        <w:pStyle w:val="ListBullet"/>
        <w:spacing w:after="60"/>
      </w:pPr>
      <w:r>
        <w:rPr>
          <w:b w:val="0"/>
        </w:rPr>
        <w:t xml:space="preserve">só link, maquininha e PIX </w:t>
      </w:r>
      <w:r>
        <w:rPr>
          <w:b/>
        </w:rPr>
        <w:t>no CNPJ da Mediterrâneo</w:t>
      </w:r>
      <w:r>
        <w:rPr>
          <w:b w:val="0"/>
        </w:rPr>
        <w:t xml:space="preserve"> — nunca na conta dela;</w:t>
      </w:r>
    </w:p>
    <w:p>
      <w:pPr>
        <w:pStyle w:val="ListBullet"/>
        <w:spacing w:after="60"/>
      </w:pPr>
      <w:r>
        <w:rPr>
          <w:b w:val="0"/>
        </w:rPr>
        <w:t>dinheiro em espécie proibido, salvo autorização escrita, com depósito em 24h;</w:t>
      </w:r>
    </w:p>
    <w:p>
      <w:pPr>
        <w:pStyle w:val="ListBullet"/>
        <w:spacing w:after="60"/>
      </w:pPr>
      <w:r>
        <w:rPr>
          <w:b w:val="0"/>
        </w:rPr>
        <w:t>prestação de contas diária e conciliação mensal;</w:t>
      </w:r>
    </w:p>
    <w:p>
      <w:pPr>
        <w:pStyle w:val="ListBullet"/>
        <w:spacing w:after="60"/>
      </w:pPr>
      <w:r>
        <w:rPr>
          <w:b w:val="0"/>
        </w:rPr>
        <w:t>proibido guardar numerário na Casa de Operações;</w:t>
      </w:r>
    </w:p>
    <w:p>
      <w:pPr>
        <w:pStyle w:val="ListBullet"/>
        <w:spacing w:after="60"/>
      </w:pPr>
      <w:r>
        <w:rPr>
          <w:b w:val="0"/>
        </w:rPr>
        <w:t>seguro de fidelidade funcional obrigatório (Cláusula 14.2).</w:t>
      </w:r>
    </w:p>
    <w:p>
      <w:r>
        <w:rPr>
          <w:b w:val="0"/>
        </w:rPr>
        <w:t xml:space="preserve">Se der para não contratar o Módulo F — hóspede pagando antecipado no link, sem caixa no local — </w:t>
      </w:r>
      <w:r>
        <w:rPr>
          <w:b/>
        </w:rPr>
        <w:t>não contrate</w:t>
      </w:r>
      <w:r>
        <w:rPr>
          <w:b w:val="0"/>
        </w:rPr>
        <w:t>. É o único módulo que eu deixaria de fora se a operação permitir.</w:t>
      </w:r>
    </w:p>
    <w:p>
      <w:r>
        <w:rPr>
          <w:b/>
        </w:rPr>
        <w:t>O custo dessa ampliação:</w:t>
      </w:r>
      <w:r>
        <w:rPr>
          <w:b w:val="0"/>
        </w:rPr>
        <w:t xml:space="preserve"> quanto mais central ela é na operação, maior a chance de um juiz enxergar vínculo. Isso não decorre da ilicitude da terceirização, e sim do fato de ser </w:t>
      </w:r>
      <w:r>
        <w:rPr>
          <w:b/>
        </w:rPr>
        <w:t>uma pessoa física, todo dia, morando no local, fazendo tudo</w:t>
      </w:r>
      <w:r>
        <w:rPr>
          <w:b w:val="0"/>
        </w:rPr>
        <w:t xml:space="preserve">. Aumentar o escopo torna o item 2.3 (c) mais urgente, não menos: ou ela passa a ter equipe própria registrada aparecendo nos relatórios mensais, ou você avalia a contratação CLT com um trabalhista. As duas coisas que mais seguram o contrato de pé aqui são a </w:t>
      </w:r>
      <w:r>
        <w:rPr>
          <w:b/>
        </w:rPr>
        <w:t>substituição documentada</w:t>
      </w:r>
      <w:r>
        <w:rPr>
          <w:b w:val="0"/>
        </w:rPr>
        <w:t xml:space="preserve"> (Anexo II-A registra quem executou) e o </w:t>
      </w:r>
      <w:r>
        <w:rPr>
          <w:b/>
        </w:rPr>
        <w:t>canal único pelo Preposto</w:t>
      </w:r>
      <w:r>
        <w:rPr>
          <w:b w:val="0"/>
        </w:rPr>
        <w:t xml:space="preserve"> (Cláusula 2.4).</w:t>
      </w:r>
    </w:p>
    <w:p>
      <w:r>
        <w:rPr>
          <w:b/>
        </w:rPr>
        <w:t>Duas travas novas que valem destaque:</w:t>
      </w:r>
    </w:p>
    <w:p>
      <w:pPr>
        <w:pStyle w:val="ListBullet"/>
        <w:spacing w:after="60"/>
      </w:pPr>
      <w:r>
        <w:rPr>
          <w:b/>
        </w:rPr>
        <w:t>Cláusula 3.9 — sobreaviso.</w:t>
      </w:r>
      <w:r>
        <w:rPr>
          <w:b w:val="0"/>
        </w:rPr>
        <w:t xml:space="preserve"> Chegada noturna e intercorrência de hóspede geram disponibilidade fora de horário, e disponibilidade determinada por você é sobreaviso trabalhista. A cláusula põe a escala de sobreaviso sob critério exclusivo dela, com a remuneração já dentro do preço global. Na prática: nunca diga a ela "fique disponível até meia-noite".</w:t>
      </w:r>
    </w:p>
    <w:p>
      <w:pPr>
        <w:pStyle w:val="ListBullet"/>
        <w:spacing w:after="60"/>
      </w:pPr>
      <w:r>
        <w:rPr>
          <w:b/>
        </w:rPr>
        <w:t>Cláusula 3.6.1 — credenciais nominais.</w:t>
      </w:r>
      <w:r>
        <w:rPr>
          <w:b w:val="0"/>
        </w:rPr>
        <w:t xml:space="preserve"> Cada pessoa da equipe dela acessa o PMS com login próprio, revogável, nunca compartilhado. Isso protege dados de hóspede (LGPD) e cria rastreabilidade de quem fez o quê — que é também prova de que existe equipe, não uma pessoa só.</w:t>
      </w: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2.5. Alimentos e bebidas — Módulo G</w:t>
      </w:r>
    </w:p>
    <w:p>
      <w:r>
        <w:rPr>
          <w:b w:val="0"/>
        </w:rPr>
        <w:t xml:space="preserve">Café da manhã, cortesia de boas-vindas e frigobar entraram como </w:t>
      </w:r>
      <w:r>
        <w:rPr>
          <w:b/>
        </w:rPr>
        <w:t>Módulo G</w:t>
      </w:r>
      <w:r>
        <w:rPr>
          <w:b w:val="0"/>
        </w:rPr>
        <w:t>. O CNPJ dela já cobre isso: CNAE 56.20-1-04, fornecimento de alimentos preparados. Do ponto de vista contratual é o módulo que mais exige documento, porque alimento tem regulador próprio e responsabilidade objetiva perante o hóspede.</w:t>
      </w:r>
    </w:p>
    <w:p>
      <w:r>
        <w:rPr>
          <w:b/>
        </w:rPr>
        <w:t>A pergunta que decide tudo: onde a comida é preparada?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Quem responde pelo alvará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Implicação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Cozinha do empreendimento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Mediterrâneo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 Vigilância Sanitária autua você. Ela responde por regresso, mas a interdição é sua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Cozinha própria dela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Camila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 alvará é dela, a autuação é dela, e você fica um grau mais protegido</w:t>
            </w:r>
          </w:p>
        </w:tc>
      </w:tr>
    </w:tbl>
    <w:p/>
    <w:p>
      <w:r>
        <w:rPr>
          <w:b w:val="0"/>
        </w:rPr>
        <w:t>Se a produção puder sair do empreendimento, sai. Está assinalável na Cláusula 3.11 (c) e no Anexo I.</w:t>
      </w:r>
    </w:p>
    <w:p>
      <w:r>
        <w:rPr>
          <w:b/>
        </w:rPr>
        <w:t>O que a Cláusula 3.11 exige dela:</w:t>
      </w:r>
    </w:p>
    <w:p>
      <w:pPr>
        <w:pStyle w:val="ListBullet"/>
        <w:spacing w:after="60"/>
      </w:pPr>
      <w:r>
        <w:rPr>
          <w:b w:val="0"/>
        </w:rPr>
        <w:t>RDC ANVISA 216/2004, com Manual de Boas Práticas e POPs escritos</w:t>
      </w:r>
    </w:p>
    <w:p>
      <w:pPr>
        <w:pStyle w:val="ListBullet"/>
        <w:spacing w:after="60"/>
      </w:pPr>
      <w:r>
        <w:rPr>
          <w:b w:val="0"/>
        </w:rPr>
        <w:t>Curso de manipulador de alimentos e ASO vigentes para toda a equipe</w:t>
      </w:r>
    </w:p>
    <w:p>
      <w:pPr>
        <w:pStyle w:val="ListBullet"/>
        <w:spacing w:after="60"/>
      </w:pPr>
      <w:r>
        <w:rPr>
          <w:b w:val="0"/>
        </w:rPr>
        <w:t>Controle diário de temperatura, prazos de validade e identificação de produto manipulado</w:t>
      </w:r>
    </w:p>
    <w:p>
      <w:pPr>
        <w:pStyle w:val="ListBullet"/>
        <w:spacing w:after="60"/>
      </w:pPr>
      <w:r>
        <w:rPr>
          <w:b/>
        </w:rPr>
        <w:t>Guarda de amostras por 72 horas</w:t>
      </w:r>
      <w:r>
        <w:rPr>
          <w:b w:val="0"/>
        </w:rPr>
        <w:t xml:space="preserve"> — se um hóspede passar mal, é essa amostra que prova de onde veio (ou não veio) o problema</w:t>
      </w:r>
    </w:p>
    <w:p>
      <w:pPr>
        <w:pStyle w:val="ListBullet"/>
        <w:spacing w:after="60"/>
      </w:pPr>
      <w:r>
        <w:rPr>
          <w:b w:val="0"/>
        </w:rPr>
        <w:t>Informação de alergênicos (RDC 26/2015) e atendimento das restrições da reserva</w:t>
      </w:r>
    </w:p>
    <w:p>
      <w:pPr>
        <w:pStyle w:val="ListBullet"/>
        <w:spacing w:after="60"/>
      </w:pPr>
      <w:r>
        <w:rPr>
          <w:b w:val="0"/>
        </w:rPr>
        <w:t>Proibição de bebida alcoólica a menor de 18 anos (art. 243 do ECA)</w:t>
      </w:r>
    </w:p>
    <w:p>
      <w:pPr>
        <w:pStyle w:val="ListBullet"/>
        <w:spacing w:after="60"/>
      </w:pPr>
      <w:r>
        <w:rPr>
          <w:b w:val="0"/>
        </w:rPr>
        <w:t>Cobertura de A&amp;B expressa na apólice de responsabilidade civil (Cl. 14.3)</w:t>
      </w:r>
    </w:p>
    <w:p>
      <w:r>
        <w:rPr>
          <w:b/>
        </w:rPr>
        <w:t>O ponto que mais importa:</w:t>
      </w:r>
      <w:r>
        <w:rPr>
          <w:b w:val="0"/>
        </w:rPr>
        <w:t xml:space="preserve"> perante o hóspede, quem responde por intoxicação alimentar é a </w:t>
      </w:r>
      <w:r>
        <w:rPr>
          <w:b/>
        </w:rPr>
        <w:t>Mediterrâneo</w:t>
      </w:r>
      <w:r>
        <w:rPr>
          <w:b w:val="0"/>
        </w:rPr>
        <w:t>, por responsabilidade objetiva do fornecedor (CDC, arts. 12 e 14). Não existe cláusula que tire isso de você. O que a Cláusula 3.11.1 faz é deixar escrito que a responsabilidade primária é dela e que o regresso da Cláusula 7.3 se aplica integralmente — você paga o hóspede e cobra dela, com os 5% retidos como primeira garantia.</w:t>
      </w:r>
    </w:p>
    <w:p>
      <w:r>
        <w:rPr>
          <w:b w:val="0"/>
        </w:rPr>
        <w:t>Por isso os três documentos do Anexo IV (alvará sanitário, certificados de manipulador, planilhas de temperatura) não são burocracia: numa ação de consumidor ou numa autuação sanitária, são exatamente eles que mostram que você fiscalizou.</w:t>
      </w: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2.6. O Regimento Operacional — e por que ele é uma faca de dois gumes</w:t>
      </w:r>
    </w:p>
    <w:p>
      <w:r>
        <w:rPr>
          <w:b w:val="0"/>
        </w:rPr>
        <w:t>O Anexo VI reúne as regras da operação: padrão de hospitalidade, conduta em área de hóspede, confidencialidade e redes sociais, chaves e sistemas, regras sanitárias de A&amp;B, uso da Casa de Operações, protocolos de emergência e convivência com o entorno.</w:t>
      </w:r>
    </w:p>
    <w:p>
      <w:r>
        <w:rPr>
          <w:b/>
        </w:rPr>
        <w:t>O risco embutido:</w:t>
      </w:r>
      <w:r>
        <w:rPr>
          <w:b w:val="0"/>
        </w:rPr>
        <w:t xml:space="preserve"> um documento com regras de conduta dirigidas a pessoas é, na leitura de um juiz do trabalho, a fotografia do </w:t>
      </w:r>
      <w:r>
        <w:rPr>
          <w:b/>
        </w:rPr>
        <w:t>poder diretivo e disciplinar</w:t>
      </w:r>
      <w:r>
        <w:rPr>
          <w:b w:val="0"/>
        </w:rPr>
        <w:t xml:space="preserve"> — exatamente o que o contrato inteiro trabalha para afastar. Um regimento mal escrito derruba a Cláusula 2 sozinho.</w:t>
      </w:r>
    </w:p>
    <w:p>
      <w:r>
        <w:rPr>
          <w:b/>
        </w:rPr>
        <w:t>Como foi neutralizado</w:t>
      </w:r>
      <w:r>
        <w:rPr>
          <w:b w:val="0"/>
        </w:rPr>
        <w:t>, e o que você não pode quebrar na prática: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Trava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Onde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 que significa no dia a dia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Regras são especificação técnica do serviço, não norma disciplinar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Art. 3º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Você cobra padrão de entrega, não comportamento pessoal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Nenhuma ordem direta a pessoa física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Art. 4º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Tudo passa pelo Preposto, sempre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Consequência é contratual, exigível da empresa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Arts. 39 e 41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Não conformidade → notificação → multa da Cl. 12 → justa causa. Nunca advertência a pessoa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Afastamento sim, demissão não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Art. 42 e Cl. 6.8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Você pode exigir que alguém não atue mais no empreendimento. Quem decide sobre o emprego é ela</w:t>
            </w:r>
          </w:p>
        </w:tc>
      </w:tr>
    </w:tbl>
    <w:p/>
    <w:p>
      <w:r>
        <w:rPr>
          <w:b w:val="0"/>
        </w:rPr>
        <w:t xml:space="preserve">A regra prática é uma só: </w:t>
      </w:r>
      <w:r>
        <w:rPr>
          <w:b/>
        </w:rPr>
        <w:t>você não adverte, não suspende e não demite ninguém da equipe dela.</w:t>
      </w:r>
      <w:r>
        <w:rPr>
          <w:b w:val="0"/>
        </w:rPr>
        <w:t xml:space="preserve"> Se alguém precisa sair, você comunica o Preposto por escrito que aquela pessoa não pode mais atuar no empreendimento, e a Camila resolve o resto.</w:t>
      </w:r>
    </w:p>
    <w:p>
      <w:r>
        <w:rPr>
          <w:b/>
        </w:rPr>
        <w:t>O Termo de Adesão (Cap. XI) é a peça que mais rende.</w:t>
      </w:r>
      <w:r>
        <w:rPr>
          <w:b w:val="0"/>
        </w:rPr>
        <w:t xml:space="preserve"> Cada pessoa que entra assina declarando que a empregadora é a Camila, que a Mediterrâneo não dirige seu trabalho nem controla sua jornada, e — se for ocupante da Casa de Operações — que a ocupação é precária e que ela tem </w:t>
      </w:r>
      <w:r>
        <w:rPr>
          <w:b/>
        </w:rPr>
        <w:t>domicílio próprio</w:t>
      </w:r>
      <w:r>
        <w:rPr>
          <w:b w:val="0"/>
        </w:rPr>
        <w:t>, com endereço declarado. Numa reclamação futura, essa declaração assinada pela própria pessoa, na data em que entrou, vale mais do que qualquer cláusula que você e a Camila tenham assinado entre si.</w:t>
      </w:r>
    </w:p>
    <w:p>
      <w:r>
        <w:rPr>
          <w:b w:val="0"/>
        </w:rPr>
        <w:t xml:space="preserve">Guarde as vias originais e cobre o termo </w:t>
      </w:r>
      <w:r>
        <w:rPr>
          <w:b/>
        </w:rPr>
        <w:t>antes</w:t>
      </w:r>
      <w:r>
        <w:rPr>
          <w:b w:val="0"/>
        </w:rPr>
        <w:t xml:space="preserve"> de a pessoa começar. Termo assinado depois de instaurado o conflito não vale quase nada.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3. A casa de operações — como sair sem briga</w:t>
      </w:r>
    </w:p>
    <w:p>
      <w:r>
        <w:rPr>
          <w:b w:val="0"/>
        </w:rPr>
        <w:t>A cláusula de comodato (Cl. 8 + Anexo III) foi montada em cinco camadas, para que cada argumento dela caia numa trave diferente: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 que impede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Comodato, não locação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Ela não pode invocar a Lei do Inquilinato, renovação, nem prazos de despejo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Detenção, não posse</w:t>
            </w:r>
            <w:r>
              <w:rPr>
                <w:b w:val="0"/>
                <w:sz w:val="18"/>
              </w:rPr>
              <w:t xml:space="preserve"> (art. 1.198 CC)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Ela não pode alegar posse, usucapião nem entrar com ação possessória contra você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Vinculada ao contrato de serviço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Acabou o serviço, acabou o direito de estar lá — automaticamente, sem notificação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Não é salário-utilidade</w:t>
            </w:r>
            <w:r>
              <w:rPr>
                <w:b w:val="0"/>
                <w:sz w:val="18"/>
              </w:rPr>
              <w:t xml:space="preserve"> (art. 458 CLT)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Ela não pode pedir que o valor do aluguel seja integrado à "remuneração" numa ação trabalhista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Renúncia a benfeitorias</w:t>
            </w:r>
            <w:r>
              <w:rPr>
                <w:b w:val="0"/>
                <w:sz w:val="18"/>
              </w:rPr>
              <w:t xml:space="preserve"> (art. 584 CC)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Ela não pode reter o imóvel cobrando pela pintura, pelo armário ou pela reforma que fez</w:t>
            </w:r>
          </w:p>
        </w:tc>
      </w:tr>
    </w:tbl>
    <w:p/>
    <w:p>
      <w:r>
        <w:rPr>
          <w:b/>
        </w:rPr>
        <w:t>A trava prática que faz a diferença:</w:t>
      </w:r>
      <w:r>
        <w:rPr>
          <w:b w:val="0"/>
        </w:rPr>
        <w:t xml:space="preserve"> desocupação em </w:t>
      </w:r>
      <w:r>
        <w:rPr>
          <w:b/>
        </w:rPr>
        <w:t>10 dias</w:t>
      </w:r>
      <w:r>
        <w:rPr>
          <w:b w:val="0"/>
        </w:rPr>
        <w:t xml:space="preserve">, com </w:t>
      </w:r>
      <w:r>
        <w:rPr>
          <w:b/>
        </w:rPr>
        <w:t>multa diária</w:t>
      </w:r>
      <w:r>
        <w:rPr>
          <w:b w:val="0"/>
        </w:rPr>
        <w:t xml:space="preserve"> e </w:t>
      </w:r>
      <w:r>
        <w:rPr>
          <w:b/>
        </w:rPr>
        <w:t>taxa de ocupação</w:t>
      </w:r>
      <w:r>
        <w:rPr>
          <w:b w:val="0"/>
        </w:rPr>
        <w:t xml:space="preserve"> mensal, mais a </w:t>
      </w:r>
      <w:r>
        <w:rPr>
          <w:b/>
        </w:rPr>
        <w:t>perda da garantia retida</w:t>
      </w:r>
      <w:r>
        <w:rPr>
          <w:b w:val="0"/>
        </w:rPr>
        <w:t xml:space="preserve"> (os 5%). Sem valor em dinheiro travado, a cláusula é só texto. Com a garantia retida, ela tem incentivo financeiro imediato para entregar as chaves no prazo.</w:t>
      </w:r>
    </w:p>
    <w:p>
      <w:r>
        <w:rPr>
          <w:b/>
        </w:rPr>
        <w:t>Duas exigências operacionais que você não pode pular:</w:t>
      </w:r>
    </w:p>
    <w:p>
      <w:pPr>
        <w:pStyle w:val="ListNumber"/>
        <w:spacing w:after="60"/>
      </w:pPr>
      <w:r>
        <w:rPr>
          <w:b/>
        </w:rPr>
        <w:t>Vistoria de entrada com fotos datadas, assinada</w:t>
      </w:r>
      <w:r>
        <w:rPr>
          <w:b w:val="0"/>
        </w:rPr>
        <w:t xml:space="preserve"> (Anexo III-B). Sem isso você não consegue provar dano nenhum na saída.</w:t>
      </w:r>
    </w:p>
    <w:p>
      <w:pPr>
        <w:pStyle w:val="ListNumber"/>
        <w:spacing w:after="60"/>
      </w:pPr>
      <w:r>
        <w:rPr>
          <w:b/>
        </w:rPr>
        <w:t>Declaração de domicílio próprio de cada ocupante</w:t>
      </w:r>
      <w:r>
        <w:rPr>
          <w:b w:val="0"/>
        </w:rPr>
        <w:t xml:space="preserve"> (Anexo III-A, item 3). É o que impede a tese de "eu morava lá, aquela era minha casa, não tenho para onde ir" — que é justamente o argumento que trava reintegração de posse na prática.</w:t>
      </w:r>
    </w:p>
    <w:p>
      <w:r>
        <w:rPr>
          <w:b w:val="0"/>
        </w:rPr>
        <w:t xml:space="preserve">Reforço a </w:t>
      </w:r>
      <w:r>
        <w:rPr>
          <w:b/>
        </w:rPr>
        <w:t>Cl. 8.10</w:t>
      </w:r>
      <w:r>
        <w:rPr>
          <w:b w:val="0"/>
        </w:rPr>
        <w:t>: a casa pode ser retomada isoladamente, com 30 dias, sem mexer no contrato de serviço. Isso te dá uma saída intermediária se a convivência azedar mas o serviço estiver bom.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4. Aviso prévio — como ficou</w:t>
      </w:r>
    </w:p>
    <w:p>
      <w:pPr>
        <w:pStyle w:val="ListBullet"/>
        <w:spacing w:after="60"/>
      </w:pPr>
      <w:r>
        <w:rPr>
          <w:b/>
        </w:rPr>
        <w:t>60 dias corridos</w:t>
      </w:r>
      <w:r>
        <w:rPr>
          <w:b w:val="0"/>
        </w:rPr>
        <w:t>, para as duas partes, por escrito</w:t>
      </w:r>
    </w:p>
    <w:p>
      <w:pPr>
        <w:pStyle w:val="ListBullet"/>
        <w:spacing w:after="60"/>
      </w:pPr>
      <w:r>
        <w:rPr>
          <w:b w:val="0"/>
        </w:rPr>
        <w:t xml:space="preserve">Durante o aviso: </w:t>
      </w:r>
      <w:r>
        <w:rPr>
          <w:b/>
        </w:rPr>
        <w:t>proibido reduzir equipe ou qualidade</w:t>
      </w:r>
      <w:r>
        <w:rPr>
          <w:b w:val="0"/>
        </w:rPr>
        <w:t xml:space="preserve"> (Cl. 9.3.1) — se reduzir, vira justa causa</w:t>
      </w:r>
    </w:p>
    <w:p>
      <w:pPr>
        <w:pStyle w:val="ListBullet"/>
        <w:spacing w:after="60"/>
      </w:pPr>
      <w:r>
        <w:rPr>
          <w:b/>
        </w:rPr>
        <w:t>Obrigação de transição</w:t>
      </w:r>
      <w:r>
        <w:rPr>
          <w:b w:val="0"/>
        </w:rPr>
        <w:t xml:space="preserve"> (Cl. 9.3.2): inventário em 15 dias, entrega de rotinas e contatos, e </w:t>
      </w:r>
      <w:r>
        <w:rPr>
          <w:b/>
        </w:rPr>
        <w:t>até 10 dias treinando a equipe substituta</w:t>
      </w:r>
    </w:p>
    <w:p>
      <w:pPr>
        <w:pStyle w:val="ListBullet"/>
        <w:spacing w:after="60"/>
      </w:pPr>
      <w:r>
        <w:rPr>
          <w:b/>
        </w:rPr>
        <w:t>Multa de 2 mensalidades</w:t>
      </w:r>
      <w:r>
        <w:rPr>
          <w:b w:val="0"/>
        </w:rPr>
        <w:t xml:space="preserve"> se ela sair sem cumprir, proporcional ao que cumpriu, </w:t>
      </w:r>
      <w:r>
        <w:rPr>
          <w:b/>
        </w:rPr>
        <w:t>mais</w:t>
      </w:r>
      <w:r>
        <w:rPr>
          <w:b w:val="0"/>
        </w:rPr>
        <w:t xml:space="preserve"> perdas e danos que excederem (Cl. 12.2 c/c art. 416, § único, CC — essa combinação é o que permite cobrar acima da multa)</w:t>
      </w:r>
    </w:p>
    <w:p>
      <w:pPr>
        <w:pStyle w:val="ListBullet"/>
        <w:spacing w:after="60"/>
      </w:pPr>
      <w:r>
        <w:rPr>
          <w:b/>
        </w:rPr>
        <w:t>Trava de temporada</w:t>
      </w:r>
      <w:r>
        <w:rPr>
          <w:b w:val="0"/>
        </w:rPr>
        <w:t xml:space="preserve"> (Cl. 9.3.4): o aviso dela </w:t>
      </w:r>
      <w:r>
        <w:rPr>
          <w:b/>
        </w:rPr>
        <w:t>não pode vencer entre 15/dez e 28/fev</w:t>
      </w:r>
      <w:r>
        <w:rPr>
          <w:b w:val="0"/>
        </w:rPr>
        <w:t>, nem às vésperas de evento de ocupação total. Se ela avisar em novembro, o prazo estica até 1º de março, com contrato e pagamento mantidos.</w:t>
      </w:r>
    </w:p>
    <w:p>
      <w:r>
        <w:rPr>
          <w:b w:val="0"/>
        </w:rPr>
        <w:t>Essa última é a cláusula que mais protege a operação hoteleira, e é a que menos aparece em modelo de contrato pronto.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5. Onde o contrato é equilibrado (e por que isso te protege)</w:t>
      </w:r>
    </w:p>
    <w:p>
      <w:r>
        <w:rPr>
          <w:b w:val="0"/>
        </w:rPr>
        <w:t xml:space="preserve">Contrato desequilibrado é contrato que o juiz reescreve. As contrapartidas à Contratada foram desenhadas para que o instrumento se sustente como </w:t>
      </w:r>
      <w:r>
        <w:rPr>
          <w:b/>
        </w:rPr>
        <w:t>contrato civil paritário</w:t>
      </w:r>
      <w:r>
        <w:rPr>
          <w:b w:val="0"/>
        </w:rPr>
        <w:t xml:space="preserve"> (Cl. 17.7):</w:t>
      </w:r>
    </w:p>
    <w:p>
      <w:pPr>
        <w:pStyle w:val="ListBullet"/>
        <w:spacing w:after="60"/>
      </w:pPr>
      <w:r>
        <w:rPr>
          <w:b w:val="0"/>
        </w:rPr>
        <w:t>Multa e juros contra a Mediterrâneo em caso de atraso de pagamento (Cl. 4.6)</w:t>
      </w:r>
    </w:p>
    <w:p>
      <w:pPr>
        <w:pStyle w:val="ListBullet"/>
        <w:spacing w:after="60"/>
      </w:pPr>
      <w:r>
        <w:rPr>
          <w:b w:val="0"/>
        </w:rPr>
        <w:t>Reajuste automático por IPCA, sem depender de negociação (Cl. 4.7)</w:t>
      </w:r>
    </w:p>
    <w:p>
      <w:pPr>
        <w:pStyle w:val="ListBullet"/>
        <w:spacing w:after="60"/>
      </w:pPr>
      <w:r>
        <w:rPr>
          <w:b w:val="0"/>
        </w:rPr>
        <w:t>Direito de rescindir por falta de pagamento (Cl. 10.1.2)</w:t>
      </w:r>
    </w:p>
    <w:p>
      <w:pPr>
        <w:pStyle w:val="ListBullet"/>
        <w:spacing w:after="60"/>
      </w:pPr>
      <w:r>
        <w:rPr>
          <w:b w:val="0"/>
        </w:rPr>
        <w:t>Mediterrâneo fornece água, energia e local de guarda (Cl. 6.3)</w:t>
      </w:r>
    </w:p>
    <w:p>
      <w:pPr>
        <w:pStyle w:val="ListBullet"/>
        <w:spacing w:after="60"/>
      </w:pPr>
      <w:r>
        <w:rPr>
          <w:b w:val="0"/>
        </w:rPr>
        <w:t>Aviso de alta ocupação com 5 dias de antecedência (Cl. 6.4)</w:t>
      </w:r>
    </w:p>
    <w:p>
      <w:pPr>
        <w:pStyle w:val="ListBullet"/>
        <w:spacing w:after="60"/>
      </w:pPr>
      <w:r>
        <w:rPr>
          <w:b w:val="0"/>
        </w:rPr>
        <w:t>Proibição de a Mediterrâneo aliciar a equipe dela (Cl. 6.8)</w:t>
      </w:r>
    </w:p>
    <w:p>
      <w:pPr>
        <w:pStyle w:val="ListBullet"/>
        <w:spacing w:after="60"/>
      </w:pPr>
      <w:r>
        <w:rPr>
          <w:b w:val="0"/>
        </w:rPr>
        <w:t xml:space="preserve">Aviso prévio de 60 dias vale </w:t>
      </w:r>
      <w:r>
        <w:rPr>
          <w:b/>
        </w:rPr>
        <w:t>para os dois lados</w:t>
      </w:r>
    </w:p>
    <w:p>
      <w:pPr>
        <w:pStyle w:val="ListBullet"/>
        <w:spacing w:after="60"/>
      </w:pPr>
      <w:r>
        <w:rPr>
          <w:b w:val="0"/>
        </w:rPr>
        <w:t>Pagamento pro rata dos serviços prestados até a rescisão (Cl. 9.5)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6. Sequência de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Prazo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Advogado trabalhista de SC revisa o instrumento (Cl. 2, 7, 8 e 9)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Antes de assinar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Camila altera </w:t>
            </w:r>
            <w:r>
              <w:rPr>
                <w:b/>
                <w:sz w:val="18"/>
              </w:rPr>
              <w:t>endereço da sede</w:t>
            </w:r>
            <w:r>
              <w:rPr>
                <w:b w:val="0"/>
                <w:sz w:val="18"/>
              </w:rPr>
              <w:t xml:space="preserve"> no CNPJ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Antes de assinar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Camila altera </w:t>
            </w:r>
            <w:r>
              <w:rPr>
                <w:b/>
                <w:sz w:val="18"/>
              </w:rPr>
              <w:t>CNAE principal</w:t>
            </w:r>
            <w:r>
              <w:rPr>
                <w:b w:val="0"/>
                <w:sz w:val="18"/>
              </w:rPr>
              <w:t xml:space="preserve"> para 81.21-4-00 ou 81.29-0-00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Até 30 dias (Cl. 2.6)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Assinalar os módulos A a F no Anexo I e preencher perímetro, frequências, janelas e SLA com a operação real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Antes de assinar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4.1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Decidir se o Módulo F (recebimento de valores) entra — se der para não entrar, não entre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Antes de assinar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4.2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Definir onde o A&amp;B é produzido (cozinha do empreendimento ou dela) e conferir o alvará sanitário correspondente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Antes de assinar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Definir preço, dia de faturamento, dia de pagamento, multas em R$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Antes de assinar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Vistoria da casa com fotos datadas + Anexo III-A e III-B assinados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dia da assinatura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Assinar contrato + anexos com </w:t>
            </w:r>
            <w:r>
              <w:rPr>
                <w:b/>
                <w:sz w:val="18"/>
              </w:rPr>
              <w:t>2 testemunhas</w:t>
            </w:r>
            <w:r>
              <w:rPr>
                <w:b w:val="0"/>
                <w:sz w:val="18"/>
              </w:rPr>
              <w:t xml:space="preserve"> (título executivo, art. 784 III CPC)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Designar Preposto (Anexo V) e comunicar internamente a regra do canal único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Semana 1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Abrir pasta digital `contratos/zeladoria/2026/[mês]` para o pacote mensal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Semana 1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Rotina mensal: NFS-e + Anexo II-A + Anexo II-B + Anexo IV, conferidos antes de pagar</w:t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Todo mês</w:t>
            </w:r>
          </w:p>
        </w:tc>
      </w:tr>
    </w:tbl>
    <w:p/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7. Ressalva</w:t>
      </w:r>
    </w:p>
    <w:p>
      <w:r>
        <w:rPr>
          <w:b w:val="0"/>
        </w:rPr>
        <w:t xml:space="preserve">Este material foi preparado como estruturação de negócio e minuta de trabalho, com base nos dois cartões CNPJ fornecidos. </w:t>
      </w:r>
      <w:r>
        <w:rPr>
          <w:b/>
        </w:rPr>
        <w:t>Não é parecer jurídico.</w:t>
      </w:r>
      <w:r>
        <w:rPr>
          <w:b w:val="0"/>
        </w:rPr>
        <w:t xml:space="preserve"> Contrato de prestação de serviço com pessoa física por trás de CNPJ individual, prestando serviço contínuo e morando no local, é exatamente o perfil que a Justiça do Trabalho examina com mais rigor. </w:t>
      </w:r>
      <w:r>
        <w:rPr>
          <w:b/>
        </w:rPr>
        <w:t>Faça a revisão com advogado trabalhista antes de assinar</w:t>
      </w:r>
      <w:r>
        <w:rPr>
          <w:b w:val="0"/>
        </w:rPr>
        <w:t xml:space="preserve"> — especialmente quanto ao ponto 2.3 (c).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