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C8E0" w14:textId="77777777" w:rsidR="00862D30" w:rsidRPr="005666A8" w:rsidRDefault="00862D30" w:rsidP="00862D30">
      <w:pPr>
        <w:jc w:val="both"/>
        <w:rPr>
          <w:lang w:val="es-ES_tradnl"/>
        </w:rPr>
      </w:pPr>
    </w:p>
    <w:p w14:paraId="54250739" w14:textId="1116279D" w:rsidR="00862D30" w:rsidRPr="005666A8" w:rsidRDefault="00862D30" w:rsidP="00862D30">
      <w:pPr>
        <w:spacing w:before="74" w:line="360" w:lineRule="auto"/>
        <w:ind w:left="1157" w:right="1179"/>
        <w:jc w:val="center"/>
        <w:rPr>
          <w:b/>
          <w:lang w:val="es-ES_tradnl"/>
        </w:rPr>
      </w:pPr>
      <w:r w:rsidRPr="005666A8">
        <w:rPr>
          <w:noProof/>
          <w:lang w:val="es-ES_tradnl"/>
        </w:rPr>
        <w:drawing>
          <wp:anchor distT="0" distB="0" distL="114300" distR="114300" simplePos="0" relativeHeight="251661312" behindDoc="0" locked="0" layoutInCell="1" allowOverlap="1" wp14:anchorId="4F74C76B" wp14:editId="66777D7E">
            <wp:simplePos x="0" y="0"/>
            <wp:positionH relativeFrom="column">
              <wp:posOffset>3546475</wp:posOffset>
            </wp:positionH>
            <wp:positionV relativeFrom="paragraph">
              <wp:posOffset>173355</wp:posOffset>
            </wp:positionV>
            <wp:extent cx="2095500" cy="656590"/>
            <wp:effectExtent l="0" t="0" r="0" b="0"/>
            <wp:wrapSquare wrapText="bothSides"/>
            <wp:docPr id="4" name="Picture 4" descr="Description: Description: Resultado de imagen de universidad del pacific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tion: Description: Resultado de imagen de universidad del pacifico logo"/>
                    <pic:cNvPicPr>
                      <a:picLocks noChangeAspect="1" noChangeArrowheads="1"/>
                    </pic:cNvPicPr>
                  </pic:nvPicPr>
                  <pic:blipFill>
                    <a:blip r:embed="rId5">
                      <a:extLst>
                        <a:ext uri="{28A0092B-C50C-407E-A947-70E740481C1C}">
                          <a14:useLocalDpi xmlns:a14="http://schemas.microsoft.com/office/drawing/2010/main" val="0"/>
                        </a:ext>
                      </a:extLst>
                    </a:blip>
                    <a:srcRect l="6631" t="35001" r="6367" b="35001"/>
                    <a:stretch>
                      <a:fillRect/>
                    </a:stretch>
                  </pic:blipFill>
                  <pic:spPr bwMode="auto">
                    <a:xfrm>
                      <a:off x="0" y="0"/>
                      <a:ext cx="2095500" cy="65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6A8">
        <w:rPr>
          <w:noProof/>
          <w:lang w:val="es-ES_tradnl"/>
        </w:rPr>
        <w:drawing>
          <wp:anchor distT="0" distB="0" distL="0" distR="0" simplePos="0" relativeHeight="251659264" behindDoc="0" locked="0" layoutInCell="1" allowOverlap="1" wp14:anchorId="4E1330EE" wp14:editId="0DFD20BA">
            <wp:simplePos x="0" y="0"/>
            <wp:positionH relativeFrom="margin">
              <wp:posOffset>317500</wp:posOffset>
            </wp:positionH>
            <wp:positionV relativeFrom="paragraph">
              <wp:posOffset>172720</wp:posOffset>
            </wp:positionV>
            <wp:extent cx="2057400" cy="657225"/>
            <wp:effectExtent l="0" t="0" r="0" b="9525"/>
            <wp:wrapTopAndBottom/>
            <wp:docPr id="3" name="Picture 3" descr="Description: Description: \\C059041\d$\roxana\Roxana_PUCP\BACKUP_PUCP\2013\LOGOS\LOGOS_PUCP\logo-pucp-color\logo-pucp-color\logo-pucp-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Description: Description: \\C059041\d$\roxana\Roxana_PUCP\BACKUP_PUCP\2013\LOGOS\LOGOS_PUCP\logo-pucp-color\logo-pucp-color\logo-pucp-col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30B59" w14:textId="0CE6F4F3" w:rsidR="00862D30" w:rsidRPr="005666A8" w:rsidRDefault="00862D30" w:rsidP="00862D30">
      <w:pPr>
        <w:spacing w:before="176" w:line="360" w:lineRule="auto"/>
        <w:ind w:right="609"/>
        <w:rPr>
          <w:b/>
          <w:lang w:val="es-ES_tradnl"/>
        </w:rPr>
      </w:pPr>
      <w:r w:rsidRPr="005666A8">
        <w:rPr>
          <w:noProof/>
          <w:lang w:val="es-ES_tradnl"/>
        </w:rPr>
        <w:drawing>
          <wp:anchor distT="0" distB="0" distL="114300" distR="114300" simplePos="0" relativeHeight="251662336" behindDoc="0" locked="0" layoutInCell="1" allowOverlap="1" wp14:anchorId="51490B3A" wp14:editId="081AF2F2">
            <wp:simplePos x="0" y="0"/>
            <wp:positionH relativeFrom="column">
              <wp:posOffset>317500</wp:posOffset>
            </wp:positionH>
            <wp:positionV relativeFrom="paragraph">
              <wp:posOffset>103505</wp:posOffset>
            </wp:positionV>
            <wp:extent cx="2105025" cy="676275"/>
            <wp:effectExtent l="0" t="0" r="9525" b="9525"/>
            <wp:wrapSquare wrapText="bothSides"/>
            <wp:docPr id="2" name="Picture 2" descr="Description: Description: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tion: Description: Inic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6A8">
        <w:rPr>
          <w:noProof/>
          <w:lang w:val="es-ES_tradnl"/>
        </w:rPr>
        <w:drawing>
          <wp:anchor distT="0" distB="0" distL="114300" distR="114300" simplePos="0" relativeHeight="251660288" behindDoc="0" locked="0" layoutInCell="1" allowOverlap="1" wp14:anchorId="7A409811" wp14:editId="4FAAE17A">
            <wp:simplePos x="0" y="0"/>
            <wp:positionH relativeFrom="column">
              <wp:posOffset>3546475</wp:posOffset>
            </wp:positionH>
            <wp:positionV relativeFrom="paragraph">
              <wp:posOffset>100965</wp:posOffset>
            </wp:positionV>
            <wp:extent cx="2095500" cy="636905"/>
            <wp:effectExtent l="0" t="0" r="0" b="0"/>
            <wp:wrapSquare wrapText="bothSides"/>
            <wp:docPr id="1" name="Picture 1" descr="Description: Description: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tion: Description: Inic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70F8D" w14:textId="77777777" w:rsidR="00862D30" w:rsidRPr="005666A8" w:rsidRDefault="00862D30" w:rsidP="00862D30">
      <w:pPr>
        <w:spacing w:before="176" w:line="360" w:lineRule="auto"/>
        <w:ind w:right="609"/>
        <w:rPr>
          <w:b/>
          <w:lang w:val="es-ES_tradnl"/>
        </w:rPr>
      </w:pPr>
    </w:p>
    <w:p w14:paraId="4C8C733B" w14:textId="77777777" w:rsidR="00862D30" w:rsidRPr="005666A8" w:rsidRDefault="00862D30" w:rsidP="00862D30">
      <w:pPr>
        <w:spacing w:before="176" w:line="360" w:lineRule="auto"/>
        <w:ind w:left="591" w:right="609"/>
        <w:jc w:val="center"/>
        <w:rPr>
          <w:b/>
          <w:lang w:val="es-ES_tradnl"/>
        </w:rPr>
      </w:pPr>
    </w:p>
    <w:p w14:paraId="432D8490" w14:textId="77777777" w:rsidR="00862D30" w:rsidRPr="005666A8" w:rsidRDefault="00862D30" w:rsidP="00862D30">
      <w:pPr>
        <w:tabs>
          <w:tab w:val="left" w:pos="1575"/>
        </w:tabs>
        <w:spacing w:before="176"/>
        <w:ind w:left="591" w:right="609"/>
        <w:rPr>
          <w:b/>
          <w:lang w:val="es-ES_tradnl"/>
        </w:rPr>
      </w:pPr>
      <w:r w:rsidRPr="005666A8">
        <w:rPr>
          <w:b/>
          <w:lang w:val="es-ES_tradnl"/>
        </w:rPr>
        <w:tab/>
      </w:r>
    </w:p>
    <w:p w14:paraId="444351E4" w14:textId="77777777" w:rsidR="00862D30" w:rsidRPr="00D25AFF" w:rsidRDefault="00862D30" w:rsidP="00862D30">
      <w:pPr>
        <w:ind w:left="591" w:right="609"/>
        <w:jc w:val="center"/>
        <w:rPr>
          <w:rFonts w:ascii="Times New Roman" w:hAnsi="Times New Roman"/>
          <w:b/>
          <w:lang w:val="es-ES_tradnl"/>
        </w:rPr>
      </w:pPr>
      <w:r w:rsidRPr="00D25AFF">
        <w:rPr>
          <w:rFonts w:ascii="Times New Roman" w:hAnsi="Times New Roman"/>
          <w:b/>
          <w:lang w:val="es-ES_tradnl"/>
        </w:rPr>
        <w:t>CONSORCIO DE UNIVERSIDADES</w:t>
      </w:r>
    </w:p>
    <w:p w14:paraId="65A97FE7" w14:textId="77777777" w:rsidR="00862D30" w:rsidRPr="00D25AFF" w:rsidRDefault="00862D30" w:rsidP="00862D30">
      <w:pPr>
        <w:ind w:left="591" w:right="609"/>
        <w:jc w:val="center"/>
        <w:rPr>
          <w:rFonts w:ascii="Times New Roman" w:hAnsi="Times New Roman"/>
          <w:b/>
          <w:lang w:val="es-ES_tradnl"/>
        </w:rPr>
      </w:pPr>
      <w:r w:rsidRPr="00D25AFF">
        <w:rPr>
          <w:rFonts w:ascii="Times New Roman" w:hAnsi="Times New Roman"/>
          <w:b/>
          <w:lang w:val="es-ES_tradnl"/>
        </w:rPr>
        <w:t>DOCTORADO EN GESTIÓN ESTRATÉGICA</w:t>
      </w:r>
    </w:p>
    <w:p w14:paraId="329CA639" w14:textId="77777777" w:rsidR="00862D30" w:rsidRPr="00D25AFF" w:rsidRDefault="00862D30" w:rsidP="00862D30">
      <w:pPr>
        <w:ind w:left="591" w:right="609"/>
        <w:jc w:val="center"/>
        <w:rPr>
          <w:rFonts w:ascii="Times New Roman" w:hAnsi="Times New Roman"/>
          <w:b/>
          <w:lang w:val="es-ES_tradnl"/>
        </w:rPr>
      </w:pPr>
    </w:p>
    <w:p w14:paraId="3EA1A25D" w14:textId="4E48CEF2" w:rsidR="00862D30" w:rsidRPr="00D25AFF" w:rsidRDefault="00862D30" w:rsidP="00862D30">
      <w:pPr>
        <w:pStyle w:val="BodyText"/>
        <w:jc w:val="center"/>
        <w:rPr>
          <w:rFonts w:ascii="Times New Roman" w:hAnsi="Times New Roman" w:cs="Times New Roman"/>
          <w:b/>
          <w:sz w:val="24"/>
          <w:szCs w:val="24"/>
          <w:lang w:val="es-ES_tradnl"/>
        </w:rPr>
      </w:pPr>
      <w:r>
        <w:rPr>
          <w:rFonts w:ascii="Times New Roman" w:hAnsi="Times New Roman" w:cs="Times New Roman"/>
          <w:b/>
          <w:sz w:val="24"/>
          <w:szCs w:val="24"/>
          <w:lang w:val="es-ES_tradnl"/>
        </w:rPr>
        <w:t xml:space="preserve">Determinantes de la Capacidad de Absorción en </w:t>
      </w:r>
      <w:r>
        <w:rPr>
          <w:rFonts w:ascii="Times New Roman" w:hAnsi="Times New Roman" w:cs="Times New Roman"/>
          <w:b/>
          <w:sz w:val="24"/>
          <w:szCs w:val="24"/>
          <w:lang w:val="es-ES_tradnl"/>
        </w:rPr>
        <w:t>MIPYMES</w:t>
      </w:r>
      <w:r>
        <w:rPr>
          <w:rFonts w:ascii="Times New Roman" w:hAnsi="Times New Roman" w:cs="Times New Roman"/>
          <w:b/>
          <w:sz w:val="24"/>
          <w:szCs w:val="24"/>
          <w:lang w:val="es-ES_tradnl"/>
        </w:rPr>
        <w:t xml:space="preserve"> de Manufactura del Perú</w:t>
      </w:r>
    </w:p>
    <w:p w14:paraId="59DE9277" w14:textId="77777777" w:rsidR="00862D30" w:rsidRPr="00D25AFF" w:rsidRDefault="00862D30" w:rsidP="00862D30">
      <w:pPr>
        <w:pStyle w:val="BodyText"/>
        <w:rPr>
          <w:rFonts w:ascii="Times New Roman" w:hAnsi="Times New Roman" w:cs="Times New Roman"/>
          <w:b/>
          <w:sz w:val="24"/>
          <w:szCs w:val="24"/>
          <w:lang w:val="es-ES_tradnl"/>
        </w:rPr>
      </w:pPr>
    </w:p>
    <w:p w14:paraId="4AA5C06A" w14:textId="77777777" w:rsidR="00862D30" w:rsidRPr="00D25AFF" w:rsidRDefault="00862D30" w:rsidP="00862D30">
      <w:pPr>
        <w:pStyle w:val="Heading1"/>
        <w:rPr>
          <w:rFonts w:ascii="Times New Roman" w:hAnsi="Times New Roman" w:cs="Times New Roman"/>
          <w:sz w:val="24"/>
          <w:szCs w:val="24"/>
          <w:lang w:val="es-ES_tradnl"/>
        </w:rPr>
      </w:pPr>
      <w:r w:rsidRPr="00D25AFF">
        <w:rPr>
          <w:rFonts w:ascii="Times New Roman" w:hAnsi="Times New Roman" w:cs="Times New Roman"/>
          <w:sz w:val="24"/>
          <w:szCs w:val="24"/>
          <w:lang w:val="es-ES_tradnl"/>
        </w:rPr>
        <w:t>Autor</w:t>
      </w:r>
    </w:p>
    <w:p w14:paraId="53D36C89" w14:textId="77777777" w:rsidR="00862D30" w:rsidRPr="00D25AFF" w:rsidRDefault="00862D30" w:rsidP="00862D30">
      <w:pPr>
        <w:pStyle w:val="BodyText"/>
        <w:rPr>
          <w:rFonts w:ascii="Times New Roman" w:hAnsi="Times New Roman" w:cs="Times New Roman"/>
          <w:b/>
          <w:sz w:val="24"/>
          <w:szCs w:val="24"/>
          <w:lang w:val="es-ES_tradnl"/>
        </w:rPr>
      </w:pPr>
    </w:p>
    <w:p w14:paraId="70F7AF4A" w14:textId="77777777" w:rsidR="00862D30" w:rsidRPr="00D25AFF" w:rsidRDefault="00862D30" w:rsidP="00862D30">
      <w:pPr>
        <w:pStyle w:val="BodyText"/>
        <w:ind w:left="1162" w:right="1179"/>
        <w:jc w:val="center"/>
        <w:rPr>
          <w:rFonts w:ascii="Times New Roman" w:hAnsi="Times New Roman" w:cs="Times New Roman"/>
          <w:sz w:val="24"/>
          <w:szCs w:val="24"/>
          <w:lang w:val="es-ES_tradnl"/>
        </w:rPr>
      </w:pPr>
      <w:r w:rsidRPr="00846EEA">
        <w:rPr>
          <w:rFonts w:ascii="Times New Roman" w:hAnsi="Times New Roman" w:cs="Times New Roman"/>
          <w:sz w:val="24"/>
          <w:szCs w:val="24"/>
          <w:lang w:val="es-ES_tradnl"/>
        </w:rPr>
        <w:t>Bruno Chaihuaque Dueñas</w:t>
      </w:r>
    </w:p>
    <w:p w14:paraId="690C9CD2" w14:textId="77777777" w:rsidR="00862D30" w:rsidRPr="00D25AFF" w:rsidRDefault="00862D30" w:rsidP="00862D30">
      <w:pPr>
        <w:pStyle w:val="Heading1"/>
        <w:rPr>
          <w:rFonts w:ascii="Times New Roman" w:hAnsi="Times New Roman" w:cs="Times New Roman"/>
          <w:sz w:val="24"/>
          <w:szCs w:val="24"/>
          <w:lang w:val="es-ES_tradnl"/>
        </w:rPr>
      </w:pPr>
    </w:p>
    <w:p w14:paraId="23E916B5" w14:textId="77777777" w:rsidR="00862D30" w:rsidRPr="00D25AFF" w:rsidRDefault="00862D30" w:rsidP="00862D30">
      <w:pPr>
        <w:pStyle w:val="Heading1"/>
        <w:rPr>
          <w:rFonts w:ascii="Times New Roman" w:hAnsi="Times New Roman" w:cs="Times New Roman"/>
          <w:sz w:val="24"/>
          <w:szCs w:val="24"/>
          <w:lang w:val="es-ES_tradnl"/>
        </w:rPr>
      </w:pPr>
      <w:r w:rsidRPr="00D25AFF">
        <w:rPr>
          <w:rFonts w:ascii="Times New Roman" w:hAnsi="Times New Roman" w:cs="Times New Roman"/>
          <w:sz w:val="24"/>
          <w:szCs w:val="24"/>
          <w:lang w:val="es-ES_tradnl"/>
        </w:rPr>
        <w:t>Profesor</w:t>
      </w:r>
    </w:p>
    <w:p w14:paraId="4018DF3E" w14:textId="77777777" w:rsidR="00862D30" w:rsidRPr="00D25AFF" w:rsidRDefault="00862D30" w:rsidP="00862D30">
      <w:pPr>
        <w:pStyle w:val="BodyText"/>
        <w:rPr>
          <w:rFonts w:ascii="Times New Roman" w:hAnsi="Times New Roman" w:cs="Times New Roman"/>
          <w:b/>
          <w:sz w:val="24"/>
          <w:szCs w:val="24"/>
          <w:lang w:val="es-ES_tradnl"/>
        </w:rPr>
      </w:pPr>
    </w:p>
    <w:p w14:paraId="15391DED" w14:textId="77777777" w:rsidR="00862D30" w:rsidRPr="00D25AFF" w:rsidRDefault="00862D30" w:rsidP="00862D30">
      <w:pPr>
        <w:pStyle w:val="BodyText"/>
        <w:ind w:left="1162" w:right="1179"/>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Dra. Beatrice E. </w:t>
      </w:r>
      <w:proofErr w:type="spellStart"/>
      <w:r>
        <w:rPr>
          <w:rFonts w:ascii="Times New Roman" w:hAnsi="Times New Roman" w:cs="Times New Roman"/>
          <w:sz w:val="24"/>
          <w:szCs w:val="24"/>
          <w:lang w:val="es-ES_tradnl"/>
        </w:rPr>
        <w:t>Avolio</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Alecchi</w:t>
      </w:r>
      <w:proofErr w:type="spellEnd"/>
    </w:p>
    <w:p w14:paraId="4B3DBCC0" w14:textId="77777777" w:rsidR="00862D30" w:rsidRPr="00D25AFF" w:rsidRDefault="00862D30" w:rsidP="00862D30">
      <w:pPr>
        <w:pStyle w:val="BodyText"/>
        <w:rPr>
          <w:rFonts w:ascii="Times New Roman" w:hAnsi="Times New Roman" w:cs="Times New Roman"/>
          <w:b/>
          <w:sz w:val="24"/>
          <w:szCs w:val="24"/>
          <w:lang w:val="es-ES_tradnl"/>
        </w:rPr>
      </w:pPr>
    </w:p>
    <w:p w14:paraId="1A7EFFAC" w14:textId="77777777" w:rsidR="00862D30" w:rsidRPr="00D25AFF" w:rsidRDefault="00862D30" w:rsidP="00862D30">
      <w:pPr>
        <w:pStyle w:val="BodyText"/>
        <w:rPr>
          <w:rFonts w:ascii="Times New Roman" w:hAnsi="Times New Roman" w:cs="Times New Roman"/>
          <w:b/>
          <w:sz w:val="24"/>
          <w:szCs w:val="24"/>
          <w:lang w:val="es-ES_tradnl"/>
        </w:rPr>
      </w:pPr>
    </w:p>
    <w:p w14:paraId="15232EDF" w14:textId="77777777" w:rsidR="00862D30" w:rsidRPr="00D25AFF" w:rsidRDefault="00862D30" w:rsidP="00862D30">
      <w:pPr>
        <w:pStyle w:val="Heading1"/>
        <w:rPr>
          <w:rFonts w:ascii="Times New Roman" w:hAnsi="Times New Roman" w:cs="Times New Roman"/>
          <w:sz w:val="24"/>
          <w:szCs w:val="24"/>
          <w:lang w:val="es-ES_tradnl"/>
        </w:rPr>
      </w:pPr>
      <w:r w:rsidRPr="00D25AFF">
        <w:rPr>
          <w:rFonts w:ascii="Times New Roman" w:hAnsi="Times New Roman" w:cs="Times New Roman"/>
          <w:sz w:val="24"/>
          <w:szCs w:val="24"/>
          <w:lang w:val="es-ES_tradnl"/>
        </w:rPr>
        <w:t>Curso</w:t>
      </w:r>
    </w:p>
    <w:p w14:paraId="01C9DC22" w14:textId="77777777" w:rsidR="00862D30" w:rsidRPr="00D25AFF" w:rsidRDefault="00862D30" w:rsidP="00862D30">
      <w:pPr>
        <w:pStyle w:val="BodyText"/>
        <w:rPr>
          <w:rFonts w:ascii="Times New Roman" w:hAnsi="Times New Roman" w:cs="Times New Roman"/>
          <w:b/>
          <w:sz w:val="24"/>
          <w:szCs w:val="24"/>
          <w:lang w:val="es-ES_tradnl"/>
        </w:rPr>
      </w:pPr>
    </w:p>
    <w:p w14:paraId="380EC3E4" w14:textId="77777777" w:rsidR="00862D30" w:rsidRPr="00D25AFF" w:rsidRDefault="00862D30" w:rsidP="00862D30">
      <w:pPr>
        <w:pStyle w:val="BodyText"/>
        <w:ind w:left="1162" w:right="1179"/>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SEMINARIO</w:t>
      </w:r>
      <w:r w:rsidRPr="00D25AFF">
        <w:rPr>
          <w:rFonts w:ascii="Times New Roman" w:hAnsi="Times New Roman" w:cs="Times New Roman"/>
          <w:sz w:val="24"/>
          <w:szCs w:val="24"/>
          <w:lang w:val="es-ES_tradnl"/>
        </w:rPr>
        <w:t xml:space="preserve"> DE INVESTIGACIÓN</w:t>
      </w:r>
    </w:p>
    <w:p w14:paraId="297DDCDF" w14:textId="77777777" w:rsidR="00862D30" w:rsidRPr="00D25AFF" w:rsidRDefault="00862D30" w:rsidP="00862D30">
      <w:pPr>
        <w:pStyle w:val="BodyText"/>
        <w:rPr>
          <w:rFonts w:ascii="Times New Roman" w:hAnsi="Times New Roman" w:cs="Times New Roman"/>
          <w:b/>
          <w:sz w:val="24"/>
          <w:szCs w:val="24"/>
          <w:lang w:val="es-ES_tradnl"/>
        </w:rPr>
      </w:pPr>
    </w:p>
    <w:p w14:paraId="5C8F15BA" w14:textId="77777777" w:rsidR="00862D30" w:rsidRPr="00D25AFF" w:rsidRDefault="00862D30" w:rsidP="00862D30">
      <w:pPr>
        <w:pStyle w:val="BodyText"/>
        <w:rPr>
          <w:rFonts w:ascii="Times New Roman" w:hAnsi="Times New Roman" w:cs="Times New Roman"/>
          <w:sz w:val="24"/>
          <w:szCs w:val="24"/>
          <w:lang w:val="es-ES_tradnl"/>
        </w:rPr>
      </w:pPr>
    </w:p>
    <w:p w14:paraId="78415BAE" w14:textId="77777777" w:rsidR="00862D30" w:rsidRPr="00D25AFF" w:rsidRDefault="00862D30" w:rsidP="00862D30">
      <w:pPr>
        <w:pStyle w:val="BodyText"/>
        <w:rPr>
          <w:rFonts w:ascii="Times New Roman" w:hAnsi="Times New Roman" w:cs="Times New Roman"/>
          <w:sz w:val="24"/>
          <w:szCs w:val="24"/>
          <w:lang w:val="es-ES_tradnl"/>
        </w:rPr>
      </w:pPr>
    </w:p>
    <w:p w14:paraId="7E671D9D" w14:textId="77777777" w:rsidR="00862D30" w:rsidRPr="00D25AFF" w:rsidRDefault="00862D30" w:rsidP="00862D30">
      <w:pPr>
        <w:pStyle w:val="BodyText"/>
        <w:rPr>
          <w:rFonts w:ascii="Times New Roman" w:hAnsi="Times New Roman" w:cs="Times New Roman"/>
          <w:sz w:val="24"/>
          <w:szCs w:val="24"/>
          <w:lang w:val="es-ES_tradnl"/>
        </w:rPr>
      </w:pPr>
    </w:p>
    <w:p w14:paraId="54E81688" w14:textId="77777777" w:rsidR="00862D30" w:rsidRPr="00D25AFF" w:rsidRDefault="00862D30" w:rsidP="00862D30">
      <w:pPr>
        <w:pStyle w:val="BodyText"/>
        <w:rPr>
          <w:rFonts w:ascii="Times New Roman" w:hAnsi="Times New Roman" w:cs="Times New Roman"/>
          <w:sz w:val="24"/>
          <w:szCs w:val="24"/>
          <w:lang w:val="es-ES_tradnl"/>
        </w:rPr>
      </w:pPr>
    </w:p>
    <w:p w14:paraId="66B53B0B" w14:textId="77777777" w:rsidR="00862D30" w:rsidRPr="00D25AFF" w:rsidRDefault="00862D30" w:rsidP="00862D30">
      <w:pPr>
        <w:pStyle w:val="BodyText"/>
        <w:ind w:left="1159" w:right="1179"/>
        <w:jc w:val="center"/>
        <w:rPr>
          <w:rFonts w:ascii="Times New Roman" w:hAnsi="Times New Roman" w:cs="Times New Roman"/>
          <w:sz w:val="24"/>
          <w:szCs w:val="24"/>
          <w:lang w:val="es-ES_tradnl"/>
        </w:rPr>
      </w:pPr>
    </w:p>
    <w:p w14:paraId="51A6F474" w14:textId="77777777" w:rsidR="00862D30" w:rsidRPr="00D25AFF" w:rsidRDefault="00862D30" w:rsidP="00862D30">
      <w:pPr>
        <w:pStyle w:val="BodyText"/>
        <w:ind w:left="1159" w:right="1179"/>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Marzo</w:t>
      </w:r>
      <w:r w:rsidRPr="00D25AFF">
        <w:rPr>
          <w:rFonts w:ascii="Times New Roman" w:hAnsi="Times New Roman" w:cs="Times New Roman"/>
          <w:sz w:val="24"/>
          <w:szCs w:val="24"/>
          <w:lang w:val="es-ES_tradnl"/>
        </w:rPr>
        <w:t>, 202</w:t>
      </w:r>
      <w:r>
        <w:rPr>
          <w:rFonts w:ascii="Times New Roman" w:hAnsi="Times New Roman" w:cs="Times New Roman"/>
          <w:sz w:val="24"/>
          <w:szCs w:val="24"/>
          <w:lang w:val="es-ES_tradnl"/>
        </w:rPr>
        <w:t>3</w:t>
      </w:r>
    </w:p>
    <w:p w14:paraId="0CFCEFB8" w14:textId="77777777" w:rsidR="00862D30" w:rsidRPr="00D25AFF" w:rsidRDefault="00862D30" w:rsidP="00862D30">
      <w:pPr>
        <w:pStyle w:val="BodyText"/>
        <w:ind w:left="1159" w:right="1179"/>
        <w:jc w:val="center"/>
        <w:rPr>
          <w:rFonts w:ascii="Times New Roman" w:hAnsi="Times New Roman" w:cs="Times New Roman"/>
          <w:sz w:val="24"/>
          <w:szCs w:val="24"/>
          <w:lang w:val="es-ES_tradnl"/>
        </w:rPr>
      </w:pPr>
    </w:p>
    <w:p w14:paraId="5E8516B2" w14:textId="77777777" w:rsidR="00862D30" w:rsidRPr="00D25AFF" w:rsidRDefault="00862D30" w:rsidP="00862D30">
      <w:pPr>
        <w:pStyle w:val="BodyText"/>
        <w:ind w:left="1159" w:right="1179"/>
        <w:jc w:val="center"/>
        <w:rPr>
          <w:rFonts w:ascii="Times New Roman" w:hAnsi="Times New Roman" w:cs="Times New Roman"/>
          <w:sz w:val="24"/>
          <w:szCs w:val="24"/>
          <w:lang w:val="es-ES_tradnl"/>
        </w:rPr>
      </w:pPr>
      <w:r w:rsidRPr="00D25AFF">
        <w:rPr>
          <w:rFonts w:ascii="Times New Roman" w:hAnsi="Times New Roman" w:cs="Times New Roman"/>
          <w:sz w:val="24"/>
          <w:szCs w:val="24"/>
          <w:lang w:val="es-ES_tradnl"/>
        </w:rPr>
        <w:t>Lima, Perú</w:t>
      </w:r>
    </w:p>
    <w:p w14:paraId="32C494FD" w14:textId="77777777" w:rsidR="00862D30" w:rsidRPr="00E60132" w:rsidRDefault="00862D30" w:rsidP="00862D30">
      <w:pPr>
        <w:rPr>
          <w:rFonts w:ascii="Times New Roman" w:hAnsi="Times New Roman"/>
          <w:b/>
          <w:color w:val="002060"/>
          <w:lang w:val="es-ES_tradnl"/>
        </w:rPr>
      </w:pPr>
      <w:r w:rsidRPr="00D25AFF">
        <w:rPr>
          <w:rFonts w:ascii="Times New Roman" w:hAnsi="Times New Roman"/>
          <w:b/>
          <w:lang w:val="es-ES_tradnl"/>
        </w:rPr>
        <w:br w:type="column"/>
      </w:r>
      <w:r>
        <w:rPr>
          <w:rFonts w:ascii="Times New Roman" w:hAnsi="Times New Roman"/>
          <w:b/>
          <w:lang w:val="es-ES_tradnl"/>
        </w:rPr>
        <w:lastRenderedPageBreak/>
        <w:t>Determinantes de la Capacidad de Absorción en Empresas de Manufactura del Perú</w:t>
      </w:r>
    </w:p>
    <w:p w14:paraId="3A947E16" w14:textId="77777777" w:rsidR="00862D30" w:rsidRDefault="00862D30" w:rsidP="00862D30">
      <w:pPr>
        <w:pStyle w:val="normal0"/>
        <w:spacing w:after="0" w:line="240" w:lineRule="auto"/>
        <w:rPr>
          <w:lang w:val="es-ES_tradnl"/>
        </w:rPr>
      </w:pPr>
    </w:p>
    <w:p w14:paraId="6DB5D31A" w14:textId="77777777" w:rsidR="00862D30" w:rsidRPr="00E60132" w:rsidRDefault="00862D30" w:rsidP="00862D30">
      <w:pPr>
        <w:pStyle w:val="normal0"/>
        <w:pBdr>
          <w:bottom w:val="single" w:sz="4" w:space="1" w:color="auto"/>
        </w:pBdr>
        <w:spacing w:after="0" w:line="240" w:lineRule="auto"/>
        <w:rPr>
          <w:b/>
          <w:lang w:val="es-ES_tradnl"/>
        </w:rPr>
      </w:pPr>
      <w:r>
        <w:rPr>
          <w:b/>
          <w:lang w:val="es-ES_tradnl"/>
        </w:rPr>
        <w:t>Resumen Ejecutivo</w:t>
      </w:r>
    </w:p>
    <w:p w14:paraId="737086BA" w14:textId="77777777" w:rsidR="00862D30" w:rsidRDefault="00862D30" w:rsidP="00862D30">
      <w:pPr>
        <w:pStyle w:val="normal0"/>
        <w:spacing w:after="0" w:line="240" w:lineRule="auto"/>
        <w:rPr>
          <w:lang w:val="es-ES_tradnl"/>
        </w:rPr>
      </w:pPr>
      <w:r w:rsidRPr="0019309E">
        <w:rPr>
          <w:b/>
          <w:bCs/>
          <w:lang w:val="es-ES_tradnl"/>
        </w:rPr>
        <w:t>Propósito</w:t>
      </w:r>
      <w:r>
        <w:rPr>
          <w:lang w:val="es-ES_tradnl"/>
        </w:rPr>
        <w:t xml:space="preserve"> – El propósito de esta investigación es explorar los determinantes de la Capacidad de Absorción en empresas de manufactura de una economía emergente. Asimismo, se busca evaluar el efecto moderador de los mecanismos de integración social en la relación entre la Capacidad de Absorción Potencial y la Capacidad de Absorción Realizada.</w:t>
      </w:r>
    </w:p>
    <w:p w14:paraId="3EED7832" w14:textId="77777777" w:rsidR="00862D30" w:rsidRDefault="00862D30" w:rsidP="00862D30">
      <w:pPr>
        <w:pStyle w:val="normal0"/>
        <w:spacing w:after="0" w:line="240" w:lineRule="auto"/>
        <w:rPr>
          <w:lang w:val="es-ES_tradnl"/>
        </w:rPr>
      </w:pPr>
      <w:r w:rsidRPr="0019309E">
        <w:rPr>
          <w:b/>
          <w:bCs/>
          <w:lang w:val="es-ES_tradnl"/>
        </w:rPr>
        <w:t>Diseño</w:t>
      </w:r>
      <w:r>
        <w:rPr>
          <w:lang w:val="es-ES_tradnl"/>
        </w:rPr>
        <w:t xml:space="preserve"> – Se propone un modelo teórico a partir de la revisión de literatura sobre los determinantes de la Capacidad de Absorción, el cual será probado en una muestra de empresas manufactureras en Perú. Se ha previsto analizar el modelo teórico mediante la técnica de PLS-SEM en una muestra de 138 empresas.</w:t>
      </w:r>
    </w:p>
    <w:p w14:paraId="3728DBEC" w14:textId="138D823D" w:rsidR="00862D30" w:rsidRDefault="00862D30" w:rsidP="00862D30">
      <w:pPr>
        <w:pStyle w:val="normal0"/>
        <w:spacing w:after="0" w:line="240" w:lineRule="auto"/>
        <w:rPr>
          <w:lang w:val="es-ES_tradnl"/>
        </w:rPr>
      </w:pPr>
      <w:r w:rsidRPr="0019309E">
        <w:rPr>
          <w:b/>
          <w:bCs/>
          <w:lang w:val="es-ES_tradnl"/>
        </w:rPr>
        <w:t>Hallazgos</w:t>
      </w:r>
      <w:r>
        <w:rPr>
          <w:lang w:val="es-ES_tradnl"/>
        </w:rPr>
        <w:t xml:space="preserve"> – Se prevé evaluar de qué manera inciden los determinantes t</w:t>
      </w:r>
      <w:r>
        <w:rPr>
          <w:lang w:val="es-ES_tradnl"/>
        </w:rPr>
        <w:t>eó</w:t>
      </w:r>
      <w:r>
        <w:rPr>
          <w:lang w:val="es-ES_tradnl"/>
        </w:rPr>
        <w:t xml:space="preserve">ricos en la Capacidad de Absorción Potencial y Realizada, si dichos efectos </w:t>
      </w:r>
      <w:r>
        <w:rPr>
          <w:lang w:val="es-ES_tradnl"/>
        </w:rPr>
        <w:t>p</w:t>
      </w:r>
      <w:r>
        <w:rPr>
          <w:lang w:val="es-ES_tradnl"/>
        </w:rPr>
        <w:t>ueden distinguirse por variables de control como el tamaño o antigüedad de la empresa y si los mecanismos de integración social tienen efecto moderador sobre el modelo.</w:t>
      </w:r>
    </w:p>
    <w:p w14:paraId="3589CAB2" w14:textId="1B938DFC" w:rsidR="00862D30" w:rsidRDefault="00862D30" w:rsidP="00862D30">
      <w:pPr>
        <w:pStyle w:val="normal0"/>
        <w:spacing w:after="0" w:line="240" w:lineRule="auto"/>
        <w:rPr>
          <w:lang w:val="es-ES_tradnl"/>
        </w:rPr>
      </w:pPr>
      <w:r w:rsidRPr="0019309E">
        <w:rPr>
          <w:b/>
          <w:bCs/>
          <w:lang w:val="es-ES_tradnl"/>
        </w:rPr>
        <w:t>Originalidad/Valor</w:t>
      </w:r>
      <w:r>
        <w:rPr>
          <w:lang w:val="es-ES_tradnl"/>
        </w:rPr>
        <w:t xml:space="preserve"> – Mediante el estudio se prevé contribuir en la generación de evidencia sobre estudios similares realizados en contextos distintos a los de los países emergente. Asimismo, se trata del único estudio que evalúa el efecto moderador de los mecanismos de integración social en los procesos de Capacidad de Absorción.</w:t>
      </w:r>
    </w:p>
    <w:p w14:paraId="0231DFF7" w14:textId="77777777" w:rsidR="00862D30" w:rsidRDefault="00862D30" w:rsidP="00862D30">
      <w:pPr>
        <w:pStyle w:val="normal0"/>
        <w:spacing w:after="0" w:line="240" w:lineRule="auto"/>
        <w:rPr>
          <w:lang w:val="es-ES_tradnl"/>
        </w:rPr>
      </w:pPr>
      <w:r w:rsidRPr="0019309E">
        <w:rPr>
          <w:b/>
          <w:bCs/>
          <w:lang w:val="es-ES_tradnl"/>
        </w:rPr>
        <w:t>Palabras clave</w:t>
      </w:r>
      <w:r>
        <w:rPr>
          <w:lang w:val="es-ES_tradnl"/>
        </w:rPr>
        <w:t>: Capacidad de Absorción, Capacidades Dinámicas, Manufactura, Ventaja Competitiva</w:t>
      </w:r>
    </w:p>
    <w:p w14:paraId="4E69BD47" w14:textId="77777777" w:rsidR="00862D30" w:rsidRDefault="00862D30" w:rsidP="00862D30">
      <w:pPr>
        <w:pStyle w:val="normal0"/>
        <w:pBdr>
          <w:bottom w:val="single" w:sz="4" w:space="1" w:color="auto"/>
        </w:pBdr>
        <w:spacing w:after="0" w:line="240" w:lineRule="auto"/>
        <w:rPr>
          <w:b/>
          <w:lang w:val="es-ES_tradnl"/>
        </w:rPr>
      </w:pPr>
    </w:p>
    <w:p w14:paraId="498F2FA0" w14:textId="77777777" w:rsidR="00862D30" w:rsidRPr="00E60132" w:rsidRDefault="00862D30" w:rsidP="00862D30">
      <w:pPr>
        <w:pStyle w:val="normal0"/>
        <w:pBdr>
          <w:bottom w:val="single" w:sz="4" w:space="1" w:color="auto"/>
        </w:pBdr>
        <w:spacing w:after="0" w:line="240" w:lineRule="auto"/>
        <w:rPr>
          <w:b/>
          <w:lang w:val="es-ES_tradnl"/>
        </w:rPr>
      </w:pPr>
      <w:r w:rsidRPr="00E60132">
        <w:rPr>
          <w:b/>
          <w:lang w:val="es-ES_tradnl"/>
        </w:rPr>
        <w:t>Capítulo 1</w:t>
      </w:r>
      <w:r>
        <w:rPr>
          <w:b/>
          <w:lang w:val="es-ES_tradnl"/>
        </w:rPr>
        <w:t>: Introducción</w:t>
      </w:r>
    </w:p>
    <w:p w14:paraId="1522EE03" w14:textId="77777777" w:rsidR="00862D30" w:rsidRPr="00D25AFF" w:rsidRDefault="00862D30" w:rsidP="00862D30">
      <w:pPr>
        <w:pStyle w:val="normal0"/>
        <w:spacing w:after="0" w:line="240" w:lineRule="auto"/>
        <w:rPr>
          <w:lang w:val="es-ES_tradnl"/>
        </w:rPr>
      </w:pPr>
    </w:p>
    <w:p w14:paraId="7811973E" w14:textId="77777777" w:rsidR="00862D30" w:rsidRPr="00193230" w:rsidRDefault="00862D30" w:rsidP="00862D30">
      <w:pPr>
        <w:numPr>
          <w:ilvl w:val="1"/>
          <w:numId w:val="1"/>
        </w:numPr>
        <w:rPr>
          <w:rFonts w:ascii="Times New Roman" w:hAnsi="Times New Roman"/>
          <w:b/>
          <w:lang w:val="es-ES_tradnl"/>
        </w:rPr>
      </w:pPr>
      <w:r w:rsidRPr="00193230">
        <w:rPr>
          <w:rFonts w:ascii="Times New Roman" w:hAnsi="Times New Roman"/>
          <w:b/>
          <w:lang w:val="es-ES_tradnl"/>
        </w:rPr>
        <w:t xml:space="preserve">Antecedentes </w:t>
      </w:r>
    </w:p>
    <w:p w14:paraId="55E42187" w14:textId="7EB76D59" w:rsidR="00862D30" w:rsidRDefault="00862D30" w:rsidP="00862D30">
      <w:pPr>
        <w:jc w:val="both"/>
        <w:rPr>
          <w:rFonts w:ascii="Times New Roman" w:hAnsi="Times New Roman"/>
          <w:sz w:val="22"/>
          <w:szCs w:val="22"/>
          <w:lang w:val="es-PE"/>
        </w:rPr>
      </w:pPr>
      <w:r w:rsidRPr="00170D53">
        <w:rPr>
          <w:rFonts w:ascii="Times New Roman" w:hAnsi="Times New Roman"/>
          <w:lang w:val="es-ES"/>
        </w:rPr>
        <w:t xml:space="preserve">La capacidad de absorción es un concepto que ha sido abordado desde hace décadas, aunque su definición se haya establecido recién a partir del año 1990. Así pues, el concepto aparece en 1960, asociado a la capacidad de los países o regiones de absorber episodios de inestabilidad económica y social. No ha sido sino hasta 1990 cuando el concepto adopta una acepción vinculada a capacidades empresariales para alcanzar ventajas competitivas, a partir del conocimiento y la generación de innovación. Precisamente, fueron </w:t>
      </w:r>
      <w:r>
        <w:rPr>
          <w:rFonts w:ascii="Times New Roman" w:hAnsi="Times New Roman"/>
        </w:rPr>
        <w:fldChar w:fldCharType="begin"/>
      </w:r>
      <w:r>
        <w:rPr>
          <w:rFonts w:ascii="Times New Roman" w:hAnsi="Times New Roman"/>
          <w:lang w:val="es-ES"/>
        </w:rPr>
        <w:instrText xml:space="preserve"> ADDIN ZOTERO_ITEM CSL_CITATION {"citationID":"3eLpZWoz","properties":{"formattedCitation":"(Cohen &amp; Levinthal, 1990)","plainCitation":"(Cohen &amp; Levinthal, 1990)","dontUpdate":true,"noteIndex":0},"citationItems":[{"id":944,"uris":["http://zotero.org/users/6728605/items/CI2VV8IU"],"itemData":{"id":944,"type":"article-journal","container-title":"Administrative Science Quarterly","DOI":"10.2307/2393553","ISSN":"00018392","issue":"1","journalAbbreviation":"Administrative Science Quarterly","page":"128","source":"DOI.org (Crossref)","title":"Absorptive Capacity: A New Perspective on Learning and Innovation","title-short":"Absorptive Capacity","volume":"35","author":[{"family":"Cohen","given":"Wesley M."},{"family":"Levinthal","given":"Daniel A."}],"issued":{"date-parts":[["1990",3]]}}}],"schema":"https://github.com/citation-style-language/schema/raw/master/csl-citation.json"}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Cohen &amp; </w:t>
      </w:r>
      <w:proofErr w:type="spellStart"/>
      <w:r w:rsidRPr="00170D53">
        <w:rPr>
          <w:rFonts w:ascii="Times New Roman" w:hAnsi="Times New Roman"/>
          <w:lang w:val="es-ES"/>
        </w:rPr>
        <w:t>Levinthal</w:t>
      </w:r>
      <w:proofErr w:type="spellEnd"/>
      <w:r w:rsidRPr="00170D53">
        <w:rPr>
          <w:rFonts w:ascii="Times New Roman" w:hAnsi="Times New Roman"/>
          <w:lang w:val="es-ES"/>
        </w:rPr>
        <w:t xml:space="preserve"> (1990)</w:t>
      </w:r>
      <w:r>
        <w:rPr>
          <w:rFonts w:ascii="Times New Roman" w:hAnsi="Times New Roman"/>
        </w:rPr>
        <w:fldChar w:fldCharType="end"/>
      </w:r>
      <w:r w:rsidRPr="00170D53">
        <w:rPr>
          <w:rFonts w:ascii="Times New Roman" w:hAnsi="Times New Roman"/>
          <w:lang w:val="es-ES"/>
        </w:rPr>
        <w:t xml:space="preserve"> quienes definieron la capacidad de absorción como la habilidad de una empresa para reconocer el valor de la información nueva y externa, asimilarla y aplicarla para fines comerciales. Asimismo, señalan que esta capacidad puede ser identificada en un nivel empresarial e individual; es decir, se trata de una capacidad asociada a una empresa y depende del nivel de conocimientos previos que haya adquirido, así como de las capacidades individuales para transferir el conocimiento al interior de la organización, de manera que se pueda superar las barreras estructurales y las fronteras que separan a dicha empresa de su entorno.</w:t>
      </w:r>
    </w:p>
    <w:p w14:paraId="2BE72990" w14:textId="295679F0" w:rsidR="00862D30" w:rsidRPr="00170D53" w:rsidRDefault="00862D30" w:rsidP="00862D30">
      <w:pPr>
        <w:jc w:val="both"/>
        <w:rPr>
          <w:rFonts w:ascii="Times New Roman" w:hAnsi="Times New Roman"/>
          <w:lang w:val="es-ES"/>
        </w:rPr>
      </w:pPr>
      <w:r w:rsidRPr="00170D53">
        <w:rPr>
          <w:rFonts w:ascii="Times New Roman" w:hAnsi="Times New Roman"/>
          <w:lang w:val="es-ES"/>
        </w:rPr>
        <w:t xml:space="preserve">La teoría de </w:t>
      </w:r>
      <w:r>
        <w:rPr>
          <w:rFonts w:ascii="Times New Roman" w:hAnsi="Times New Roman"/>
        </w:rPr>
        <w:fldChar w:fldCharType="begin"/>
      </w:r>
      <w:r>
        <w:rPr>
          <w:rFonts w:ascii="Times New Roman" w:hAnsi="Times New Roman"/>
          <w:lang w:val="es-ES"/>
        </w:rPr>
        <w:instrText xml:space="preserve"> ADDIN ZOTERO_ITEM CSL_CITATION {"citationID":"g8njnLDk","properties":{"formattedCitation":"(Cohen &amp; Levinthal, 1990)","plainCitation":"(Cohen &amp; Levinthal, 1990)","dontUpdate":true,"noteIndex":0},"citationItems":[{"id":944,"uris":["http://zotero.org/users/6728605/items/CI2VV8IU"],"itemData":{"id":944,"type":"article-journal","container-title":"Administrative Science Quarterly","DOI":"10.2307/2393553","ISSN":"00018392","issue":"1","journalAbbreviation":"Administrative Science Quarterly","page":"128","source":"DOI.org (Crossref)","title":"Absorptive Capacity: A New Perspective on Learning and Innovation","title-short":"Absorptive Capacity","volume":"35","author":[{"family":"Cohen","given":"Wesley M."},{"family":"Levinthal","given":"Daniel A."}],"issued":{"date-parts":[["1990",3]]}}}],"schema":"https://github.com/citation-style-language/schema/raw/master/csl-citation.json"}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Cohen &amp; </w:t>
      </w:r>
      <w:proofErr w:type="spellStart"/>
      <w:r w:rsidRPr="00170D53">
        <w:rPr>
          <w:rFonts w:ascii="Times New Roman" w:hAnsi="Times New Roman"/>
          <w:lang w:val="es-ES"/>
        </w:rPr>
        <w:t>Levinthal</w:t>
      </w:r>
      <w:proofErr w:type="spellEnd"/>
      <w:r w:rsidRPr="00170D53">
        <w:rPr>
          <w:rFonts w:ascii="Times New Roman" w:hAnsi="Times New Roman"/>
          <w:lang w:val="es-ES"/>
        </w:rPr>
        <w:t xml:space="preserve"> (1990)</w:t>
      </w:r>
      <w:r>
        <w:rPr>
          <w:rFonts w:ascii="Times New Roman" w:hAnsi="Times New Roman"/>
        </w:rPr>
        <w:fldChar w:fldCharType="end"/>
      </w:r>
      <w:r w:rsidRPr="00170D53">
        <w:rPr>
          <w:rFonts w:ascii="Times New Roman" w:hAnsi="Times New Roman"/>
          <w:lang w:val="es-ES"/>
        </w:rPr>
        <w:t xml:space="preserve"> parte del supuesto de que la capacidad de absorción en un momento determinado depende de la acumulación de conocimiento producida en periodos previos, así como de la experiencia adquirida en el pasado y que esté relacionada con el conocimiento nuevo que se trata de absorber. En tal sentido, se trata de una capacidad asociada a la Teoría de la Dependencia del Camino, en la que se reconoce que los cambios que se producen en las empresas, así como sus patrones de comportamiento, dependen de sus decisiones pasadas bajo una lógica evolutiva </w:t>
      </w:r>
      <w:r>
        <w:rPr>
          <w:rFonts w:ascii="Times New Roman" w:hAnsi="Times New Roman"/>
        </w:rPr>
        <w:fldChar w:fldCharType="begin"/>
      </w:r>
      <w:r>
        <w:rPr>
          <w:rFonts w:ascii="Times New Roman" w:hAnsi="Times New Roman"/>
          <w:lang w:val="es-ES"/>
        </w:rPr>
        <w:instrText xml:space="preserve"> ADDIN ZOTERO_ITEM CSL_CITATION {"citationID":"F4eDJ9LW","properties":{"formattedCitation":"(Nelson &amp; Winter, 2004)","plainCitation":"(Nelson &amp; Winter, 2004)","noteIndex":0},"citationItems":[{"id":943,"uris":["http://zotero.org/users/6728605/items/GYHQMXWT"],"itemData":{"id":943,"type":"book","edition":"digitally reprinted","event-place":"Cambridge, Mass.","ISBN":"978-0-674-27228-6","language":"en","number-of-pages":"437","publisher":"The Belknap Press of Harvard Univ. Press","publisher-place":"Cambridge, Mass.","source":"K10plus ISBN","title":"An evolutionary theory of economic change","author":[{"family":"Nelson","given":"Richard R."},{"family":"Winter","given":"Sidney G."}],"issued":{"date-parts":[["2004"]]}}}],"schema":"https://github.com/citation-style-language/schema/raw/master/csl-citation.json"}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(Nelson &amp; Winter, 2004)</w:t>
      </w:r>
      <w:r>
        <w:rPr>
          <w:rFonts w:ascii="Times New Roman" w:hAnsi="Times New Roman"/>
        </w:rPr>
        <w:fldChar w:fldCharType="end"/>
      </w:r>
      <w:r w:rsidRPr="00170D53">
        <w:rPr>
          <w:rFonts w:ascii="Times New Roman" w:hAnsi="Times New Roman"/>
          <w:lang w:val="es-ES"/>
        </w:rPr>
        <w:t xml:space="preserve">. Bajo esta premisa, la capacidad de absorción en un momento determinado es influida por la capacidad de absorción que la empresa tuvo en el pasado. </w:t>
      </w:r>
      <w:r w:rsidRPr="00170D53">
        <w:rPr>
          <w:rFonts w:ascii="Times New Roman" w:hAnsi="Times New Roman"/>
          <w:lang w:val="es-ES"/>
        </w:rPr>
        <w:lastRenderedPageBreak/>
        <w:t>Se trata de una capacidad acumulativa que se nutre y retroalimenta de las experiencias anteriores para incrementarse.</w:t>
      </w:r>
    </w:p>
    <w:p w14:paraId="5E3233E8" w14:textId="5EF9856E" w:rsidR="00862D30" w:rsidRPr="00170D53" w:rsidRDefault="00862D30" w:rsidP="00862D30">
      <w:pPr>
        <w:jc w:val="both"/>
        <w:rPr>
          <w:rFonts w:ascii="Times New Roman" w:hAnsi="Times New Roman"/>
          <w:lang w:val="es-ES"/>
        </w:rPr>
      </w:pPr>
      <w:r w:rsidRPr="00170D53">
        <w:rPr>
          <w:rFonts w:ascii="Times New Roman" w:hAnsi="Times New Roman"/>
          <w:lang w:val="es-ES"/>
        </w:rPr>
        <w:t xml:space="preserve">Por su parte, </w:t>
      </w:r>
      <w:r>
        <w:rPr>
          <w:rFonts w:ascii="Times New Roman" w:hAnsi="Times New Roman"/>
        </w:rPr>
        <w:fldChar w:fldCharType="begin"/>
      </w:r>
      <w:r>
        <w:rPr>
          <w:rFonts w:ascii="Times New Roman" w:hAnsi="Times New Roman"/>
          <w:lang w:val="es-ES"/>
        </w:rPr>
        <w:instrText xml:space="preserve"> ADDIN ZOTERO_ITEM CSL_CITATION {"citationID":"54bxci9H","properties":{"formattedCitation":"(Lane &amp; Lubatkin, 1998)","plainCitation":"(Lane &amp; Lubatkin, 1998)","dontUpdate":true,"noteIndex":0},"citationItems":[{"id":942,"uris":["http://zotero.org/users/6728605/items/MKFXCN7L"],"itemData":{"id":942,"type":"article-journal","container-title":"Strategic Management Journal","DOI":"10.1002/(SICI)1097-0266(199805)19:5&lt;461::AID-SMJ953&gt;3.0.CO;2-L","ISSN":"0143-2095, 1097-0266","issue":"5","journalAbbreviation":"Strat. Mgmt. J.","language":"en","page":"461-477","source":"DOI.org (Crossref)","title":"Relative absorptive capacity and interorganizational learning","volume":"19","author":[{"family":"Lane","given":"Peter J."},{"family":"Lubatkin","given":"Michael"}],"issued":{"date-parts":[["1998",5]]}}}],"schema":"https://github.com/citation-style-language/schema/raw/master/csl-citation.json"}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Lane &amp; </w:t>
      </w:r>
      <w:proofErr w:type="spellStart"/>
      <w:r w:rsidRPr="00170D53">
        <w:rPr>
          <w:rFonts w:ascii="Times New Roman" w:hAnsi="Times New Roman"/>
          <w:lang w:val="es-ES"/>
        </w:rPr>
        <w:t>Lubatkin</w:t>
      </w:r>
      <w:proofErr w:type="spellEnd"/>
      <w:r w:rsidRPr="00170D53">
        <w:rPr>
          <w:rFonts w:ascii="Times New Roman" w:hAnsi="Times New Roman"/>
          <w:lang w:val="es-ES"/>
        </w:rPr>
        <w:t xml:space="preserve"> (1998)</w:t>
      </w:r>
      <w:r>
        <w:rPr>
          <w:rFonts w:ascii="Times New Roman" w:hAnsi="Times New Roman"/>
        </w:rPr>
        <w:fldChar w:fldCharType="end"/>
      </w:r>
      <w:r w:rsidRPr="00170D53">
        <w:rPr>
          <w:rFonts w:ascii="Times New Roman" w:hAnsi="Times New Roman"/>
          <w:lang w:val="es-ES"/>
        </w:rPr>
        <w:t xml:space="preserve"> reflexionan sobre la definición inicial propuesta por </w:t>
      </w:r>
      <w:r>
        <w:rPr>
          <w:rFonts w:ascii="Times New Roman" w:hAnsi="Times New Roman"/>
        </w:rPr>
        <w:fldChar w:fldCharType="begin"/>
      </w:r>
      <w:r>
        <w:rPr>
          <w:rFonts w:ascii="Times New Roman" w:hAnsi="Times New Roman"/>
          <w:lang w:val="es-ES"/>
        </w:rPr>
        <w:instrText xml:space="preserve"> ADDIN ZOTERO_ITEM CSL_CITATION {"citationID":"6Ng8c2vE","properties":{"formattedCitation":"(Cohen &amp; Levinthal, 1990)","plainCitation":"(Cohen &amp; Levinthal, 1990)","dontUpdate":true,"noteIndex":0},"citationItems":[{"id":944,"uris":["http://zotero.org/users/6728605/items/CI2VV8IU"],"itemData":{"id":944,"type":"article-journal","container-title":"Administrative Science Quarterly","DOI":"10.2307/2393553","ISSN":"00018392","issue":"1","journalAbbreviation":"Administrative Science Quarterly","page":"128","source":"DOI.org (Crossref)","title":"Absorptive Capacity: A New Perspective on Learning and Innovation","title-short":"Absorptive Capacity","volume":"35","author":[{"family":"Cohen","given":"Wesley M."},{"family":"Levinthal","given":"Daniel A."}],"issued":{"date-parts":[["1990",3]]}}}],"schema":"https://github.com/citation-style-language/schema/raw/master/csl-citation.json"}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Cohen &amp; </w:t>
      </w:r>
      <w:proofErr w:type="spellStart"/>
      <w:r w:rsidRPr="00170D53">
        <w:rPr>
          <w:rFonts w:ascii="Times New Roman" w:hAnsi="Times New Roman"/>
          <w:lang w:val="es-ES"/>
        </w:rPr>
        <w:t>Levinthal</w:t>
      </w:r>
      <w:proofErr w:type="spellEnd"/>
      <w:r w:rsidRPr="00170D53">
        <w:rPr>
          <w:rFonts w:ascii="Times New Roman" w:hAnsi="Times New Roman"/>
          <w:lang w:val="es-ES"/>
        </w:rPr>
        <w:t xml:space="preserve"> (1990)</w:t>
      </w:r>
      <w:r>
        <w:rPr>
          <w:rFonts w:ascii="Times New Roman" w:hAnsi="Times New Roman"/>
        </w:rPr>
        <w:fldChar w:fldCharType="end"/>
      </w:r>
      <w:r w:rsidRPr="00170D53">
        <w:rPr>
          <w:rFonts w:ascii="Times New Roman" w:hAnsi="Times New Roman"/>
          <w:lang w:val="es-ES"/>
        </w:rPr>
        <w:t xml:space="preserve">. Para estos autores la capacidad de absorción de las empresas no depende únicamente de sus características internas, sino que es un constructo que tiene una dimensión relacional y resulta necesario </w:t>
      </w:r>
      <w:proofErr w:type="spellStart"/>
      <w:r w:rsidRPr="00170D53">
        <w:rPr>
          <w:rFonts w:ascii="Times New Roman" w:hAnsi="Times New Roman"/>
          <w:lang w:val="es-ES"/>
        </w:rPr>
        <w:t>necesario</w:t>
      </w:r>
      <w:proofErr w:type="spellEnd"/>
      <w:r w:rsidRPr="00170D53">
        <w:rPr>
          <w:rFonts w:ascii="Times New Roman" w:hAnsi="Times New Roman"/>
          <w:lang w:val="es-ES"/>
        </w:rPr>
        <w:t xml:space="preserve"> abordarlo en un nivel diádico. Es decir, la capacidad que posee una empresa para absorber conocimiento de otra empresa es relativa y depende de la similitud de ambas empresas en cuanto a la homogeneidad de sus bases de conocimiento, estructuras organizacionales y políticas de compensación, así como de la lógica que predomina en las decisiones operacionales, productivas o comerciales, entre otras. </w:t>
      </w:r>
    </w:p>
    <w:p w14:paraId="46FE26C5" w14:textId="1199B72C" w:rsidR="00862D30" w:rsidRPr="00170D53" w:rsidRDefault="00862D30" w:rsidP="00862D30">
      <w:pPr>
        <w:jc w:val="both"/>
        <w:rPr>
          <w:rFonts w:ascii="Times New Roman" w:hAnsi="Times New Roman"/>
          <w:lang w:val="es-ES"/>
        </w:rPr>
      </w:pPr>
      <w:r w:rsidRPr="00170D53">
        <w:rPr>
          <w:rFonts w:ascii="Times New Roman" w:hAnsi="Times New Roman"/>
          <w:lang w:val="es-ES"/>
        </w:rPr>
        <w:t xml:space="preserve">La propuesta de </w:t>
      </w:r>
      <w:r>
        <w:rPr>
          <w:rFonts w:ascii="Times New Roman" w:hAnsi="Times New Roman"/>
        </w:rPr>
        <w:fldChar w:fldCharType="begin"/>
      </w:r>
      <w:r>
        <w:rPr>
          <w:rFonts w:ascii="Times New Roman" w:hAnsi="Times New Roman"/>
          <w:lang w:val="es-ES"/>
        </w:rPr>
        <w:instrText xml:space="preserve"> ADDIN ZOTERO_ITEM CSL_CITATION {"citationID":"iXJgF5di","properties":{"formattedCitation":"(Lane &amp; Lubatkin, 1998)","plainCitation":"(Lane &amp; Lubatkin, 1998)","dontUpdate":true,"noteIndex":0},"citationItems":[{"id":942,"uris":["http://zotero.org/users/6728605/items/MKFXCN7L"],"itemData":{"id":942,"type":"article-journal","container-title":"Strategic Management Journal","DOI":"10.1002/(SICI)1097-0266(199805)19:5&lt;461::AID-SMJ953&gt;3.0.CO;2-L","ISSN":"0143-2095, 1097-0266","issue":"5","journalAbbreviation":"Strat. Mgmt. J.","language":"en","page":"461-477","source":"DOI.org (Crossref)","title":"Relative absorptive capacity and interorganizational learning","volume":"19","author":[{"family":"Lane","given":"Peter J."},{"family":"Lubatkin","given":"Michael"}],"issued":{"date-parts":[["1998",5]]}}}],"schema":"https://github.com/citation-style-language/schema/raw/master/csl-citation.json"}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Lane &amp; </w:t>
      </w:r>
      <w:proofErr w:type="spellStart"/>
      <w:r w:rsidRPr="00170D53">
        <w:rPr>
          <w:rFonts w:ascii="Times New Roman" w:hAnsi="Times New Roman"/>
          <w:lang w:val="es-ES"/>
        </w:rPr>
        <w:t>Lubatkin</w:t>
      </w:r>
      <w:proofErr w:type="spellEnd"/>
      <w:r w:rsidRPr="00170D53">
        <w:rPr>
          <w:rFonts w:ascii="Times New Roman" w:hAnsi="Times New Roman"/>
          <w:lang w:val="es-ES"/>
        </w:rPr>
        <w:t xml:space="preserve"> (1998)</w:t>
      </w:r>
      <w:r>
        <w:rPr>
          <w:rFonts w:ascii="Times New Roman" w:hAnsi="Times New Roman"/>
        </w:rPr>
        <w:fldChar w:fldCharType="end"/>
      </w:r>
      <w:r w:rsidRPr="00170D53">
        <w:rPr>
          <w:rFonts w:ascii="Times New Roman" w:hAnsi="Times New Roman"/>
          <w:lang w:val="es-ES"/>
        </w:rPr>
        <w:t xml:space="preserve"> es permeada por las ideas de </w:t>
      </w:r>
      <w:r>
        <w:rPr>
          <w:rFonts w:ascii="Times New Roman" w:hAnsi="Times New Roman"/>
        </w:rPr>
        <w:fldChar w:fldCharType="begin"/>
      </w:r>
      <w:r>
        <w:rPr>
          <w:rFonts w:ascii="Times New Roman" w:hAnsi="Times New Roman"/>
          <w:lang w:val="es-ES"/>
        </w:rPr>
        <w:instrText xml:space="preserve"> ADDIN ZOTERO_ITEM CSL_CITATION {"citationID":"pxzJudJo","properties":{"formattedCitation":"(Grant, 1988)","plainCitation":"(Grant, 1988)","dontUpdate":true,"noteIndex":0},"citationItems":[{"id":"1IF0k6al/efMarPMo","uris":["http://zotero.org/users/6728605/items/LPML5XD9"],"itemData":{"id":16958,"type":"article-journal","container-title":"Strategic Management Journal","DOI":"10.1002/smj.4250090610","ISSN":"01432095, 10970266","issue":"6","journalAbbreviation":"Strat. Mgmt. J.","language":"en","page":"639-642","source":"DOI.org (Crossref)","title":"On ‘dominant logic’, relatedness and the link between diversity and performance","volume":"9","author":[{"family":"Grant","given":"Robert M."}],"issued":{"date-parts":[["1988",11]]}}}],"schema":"https://github.com/citation-style-language/schema/raw/master/csl-citation.json"}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Grant (1988)</w:t>
      </w:r>
      <w:r>
        <w:rPr>
          <w:rFonts w:ascii="Times New Roman" w:hAnsi="Times New Roman"/>
        </w:rPr>
        <w:fldChar w:fldCharType="end"/>
      </w:r>
      <w:r w:rsidRPr="00170D53">
        <w:rPr>
          <w:rFonts w:ascii="Times New Roman" w:hAnsi="Times New Roman"/>
          <w:lang w:val="es-ES"/>
        </w:rPr>
        <w:t xml:space="preserve"> y </w:t>
      </w:r>
      <w:r>
        <w:rPr>
          <w:rFonts w:ascii="Times New Roman" w:hAnsi="Times New Roman"/>
        </w:rPr>
        <w:fldChar w:fldCharType="begin"/>
      </w:r>
      <w:r>
        <w:rPr>
          <w:rFonts w:ascii="Times New Roman" w:hAnsi="Times New Roman"/>
          <w:lang w:val="es-ES"/>
        </w:rPr>
        <w:instrText xml:space="preserve"> ADDIN ZOTERO_ITEM CSL_CITATION {"citationID":"ZiYU2g81","properties":{"formattedCitation":"(Prahalad &amp; Bettis, 1986)","plainCitation":"(Prahalad &amp; Bettis, 1986)","dontUpdate":true,"noteIndex":0},"citationItems":[{"id":941,"uris":["http://zotero.org/users/6728605/items/Q7A6J3DM"],"itemData":{"id":941,"type":"article-journal","container-title":"Strategic Management Journal","DOI":"10.1002/smj.4250070602","ISSN":"01432095","issue":"6","journalAbbreviation":"Strat. Mgmt. J.","language":"en","page":"485-501","source":"DOI.org (Crossref)","title":"The dominant logic: A new linkage between diversity and performance","title-short":"The dominant logic","volume":"7","author":[{"family":"Prahalad","given":"C. K."},{"family":"Bettis","given":"Richard A."}],"issued":{"date-parts":[["1986",11]]}}}],"schema":"https://github.com/citation-style-language/schema/raw/master/csl-citation.json"}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Prahalad &amp; </w:t>
      </w:r>
      <w:proofErr w:type="spellStart"/>
      <w:r w:rsidRPr="00170D53">
        <w:rPr>
          <w:rFonts w:ascii="Times New Roman" w:hAnsi="Times New Roman"/>
          <w:lang w:val="es-ES"/>
        </w:rPr>
        <w:t>Bettis</w:t>
      </w:r>
      <w:proofErr w:type="spellEnd"/>
      <w:r w:rsidRPr="00170D53">
        <w:rPr>
          <w:rFonts w:ascii="Times New Roman" w:hAnsi="Times New Roman"/>
          <w:lang w:val="es-ES"/>
        </w:rPr>
        <w:t xml:space="preserve"> (1986)</w:t>
      </w:r>
      <w:r>
        <w:rPr>
          <w:rFonts w:ascii="Times New Roman" w:hAnsi="Times New Roman"/>
        </w:rPr>
        <w:fldChar w:fldCharType="end"/>
      </w:r>
      <w:r w:rsidRPr="00170D53">
        <w:rPr>
          <w:rFonts w:ascii="Times New Roman" w:hAnsi="Times New Roman"/>
          <w:lang w:val="es-ES"/>
        </w:rPr>
        <w:t xml:space="preserve"> sobre lógica dominante y relacionamiento. Esta conceptualización altera el paradigma determinístico fundacional de la Teoría de la Capacidad de Absorción. En ese sentido, el constructo adquiere mayor complejidad en cuanto a la cantidad de elementos que potencialmente pueden influir sobre ella, así como por la incorporación de otros elementos que dependen de factores contextuales predominantes en la relación de la empresa que absorbe el conocimiento y de aquella que lo transfiere. Desde esta perspectiva, la capacidad de absorción no solo es recursiva, sino además es relativa a la lógica dominante en las relaciones reticulares que pueden establecerse entre empresas vinculadas a partir de relaciones de transferencia y absorción de conocimiento.</w:t>
      </w:r>
    </w:p>
    <w:p w14:paraId="1F222517" w14:textId="0AF0F171" w:rsidR="00862D30" w:rsidRPr="00170D53" w:rsidRDefault="00862D30" w:rsidP="00862D30">
      <w:pPr>
        <w:jc w:val="both"/>
        <w:rPr>
          <w:rFonts w:ascii="Times New Roman" w:hAnsi="Times New Roman"/>
          <w:lang w:val="es-ES"/>
        </w:rPr>
      </w:pPr>
      <w:r w:rsidRPr="00170D53">
        <w:rPr>
          <w:rFonts w:ascii="Times New Roman" w:hAnsi="Times New Roman"/>
          <w:lang w:val="es-ES"/>
        </w:rPr>
        <w:t xml:space="preserve">De otro lado, </w:t>
      </w:r>
      <w:r>
        <w:rPr>
          <w:rFonts w:ascii="Times New Roman" w:hAnsi="Times New Roman"/>
        </w:rPr>
        <w:fldChar w:fldCharType="begin"/>
      </w:r>
      <w:r>
        <w:rPr>
          <w:rFonts w:ascii="Times New Roman" w:hAnsi="Times New Roman"/>
          <w:lang w:val="es-ES"/>
        </w:rPr>
        <w:instrText xml:space="preserve"> ADDIN ZOTERO_ITEM CSL_CITATION {"citationID":"c3ztlEjp","properties":{"formattedCitation":"(Zahra &amp; George, 2002)","plainCitation":"(Zahra &amp; George, 2002)","dontUpdate":true,"noteIndex":0},"citationItems":[{"id":939,"uris":["http://zotero.org/users/6728605/items/99Z2ANPE"],"itemData":{"id":939,"type":"article-journal","container-title":"The Academy of Management Review","DOI":"10.2307/4134351","ISSN":"03637425","issue":"2","journalAbbreviation":"The Academy of Management Review","page":"185","source":"DOI.org (Crossref)","title":"Absorptive Capacity: A Review, Reconceptualization, and Extension","title-short":"Absorptive Capacity","volume":"27","author":[{"family":"Zahra","given":"Shaker A."},{"family":"George","given":"Gerard"}],"issued":{"date-parts":[["2002",4]]}}}],"schema":"https://github.com/citation-style-language/schema/raw/master/csl-citation.json"}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Zahra &amp; George (2002)</w:t>
      </w:r>
      <w:r>
        <w:rPr>
          <w:rFonts w:ascii="Times New Roman" w:hAnsi="Times New Roman"/>
        </w:rPr>
        <w:fldChar w:fldCharType="end"/>
      </w:r>
      <w:r w:rsidRPr="00170D53">
        <w:rPr>
          <w:rFonts w:ascii="Times New Roman" w:hAnsi="Times New Roman"/>
          <w:lang w:val="es-ES"/>
        </w:rPr>
        <w:t xml:space="preserve"> proponen una reconceptualización del constructo capacidad de absorción e incluyen dos componentes. Para estos autores, la capacidad de absorción es un conjunto de rutinas organizacionales y procesos mediante los cuales las empresas adquieren, asimilan, transforman y explotan conocimiento para generar capacidades organizacionales dinámicas. Su propuesta enfatiza el desarrollo de capacidades dinámicas, en contraste con la propuesta inicial de </w:t>
      </w:r>
      <w:r>
        <w:rPr>
          <w:rFonts w:ascii="Times New Roman" w:hAnsi="Times New Roman"/>
        </w:rPr>
        <w:fldChar w:fldCharType="begin"/>
      </w:r>
      <w:r>
        <w:rPr>
          <w:rFonts w:ascii="Times New Roman" w:hAnsi="Times New Roman"/>
          <w:lang w:val="es-ES"/>
        </w:rPr>
        <w:instrText xml:space="preserve"> ADDIN ZOTERO_ITEM CSL_CITATION {"citationID":"Ae29iuN9","properties":{"formattedCitation":"(Cohen &amp; Levinthal, 1990)","plainCitation":"(Cohen &amp; Levinthal, 1990)","dontUpdate":true,"noteIndex":0},"citationItems":[{"id":944,"uris":["http://zotero.org/users/6728605/items/CI2VV8IU"],"itemData":{"id":944,"type":"article-journal","container-title":"Administrative Science Quarterly","DOI":"10.2307/2393553","ISSN":"00018392","issue":"1","journalAbbreviation":"Administrative Science Quarterly","page":"128","source":"DOI.org (Crossref)","title":"Absorptive Capacity: A New Perspective on Learning and Innovation","title-short":"Absorptive Capacity","volume":"35","author":[{"family":"Cohen","given":"Wesley M."},{"family":"Levinthal","given":"Daniel A."}],"issued":{"date-parts":[["1990",3]]}}}],"schema":"https://github.com/citation-style-language/schema/raw/master/csl-citation.json"}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Cohen &amp; </w:t>
      </w:r>
      <w:proofErr w:type="spellStart"/>
      <w:r w:rsidRPr="00170D53">
        <w:rPr>
          <w:rFonts w:ascii="Times New Roman" w:hAnsi="Times New Roman"/>
          <w:lang w:val="es-ES"/>
        </w:rPr>
        <w:t>Levinthal</w:t>
      </w:r>
      <w:proofErr w:type="spellEnd"/>
      <w:r w:rsidRPr="00170D53">
        <w:rPr>
          <w:rFonts w:ascii="Times New Roman" w:hAnsi="Times New Roman"/>
          <w:lang w:val="es-ES"/>
        </w:rPr>
        <w:t xml:space="preserve"> (1990)</w:t>
      </w:r>
      <w:r>
        <w:rPr>
          <w:rFonts w:ascii="Times New Roman" w:hAnsi="Times New Roman"/>
        </w:rPr>
        <w:fldChar w:fldCharType="end"/>
      </w:r>
      <w:r w:rsidRPr="00170D53">
        <w:rPr>
          <w:rFonts w:ascii="Times New Roman" w:hAnsi="Times New Roman"/>
          <w:lang w:val="es-ES"/>
        </w:rPr>
        <w:t xml:space="preserve"> que decantaba en resultados comerciales. Esta definición recoge el concepto de capacidades dinámicas desarrollado por </w:t>
      </w:r>
      <w:r>
        <w:rPr>
          <w:rFonts w:ascii="Times New Roman" w:hAnsi="Times New Roman"/>
        </w:rPr>
        <w:fldChar w:fldCharType="begin"/>
      </w:r>
      <w:r>
        <w:rPr>
          <w:rFonts w:ascii="Times New Roman" w:hAnsi="Times New Roman"/>
          <w:lang w:val="es-ES"/>
        </w:rPr>
        <w:instrText xml:space="preserve"> ADDIN ZOTERO_ITEM CSL_CITATION {"citationID":"3RcwpOun","properties":{"formattedCitation":"(Teece et\\uc0\\u160{}al., 1997)","plainCitation":"(Teece et al., 1997)","dontUpdate":true,"noteIndex":0},"citationItems":[{"id":938,"uris":["http://zotero.org/users/6728605/items/T3TLDI8S"],"itemData":{"id":938,"type":"article-journal","container-title":"Strategic Management Journal","DOI":"10.1002/(SICI)1097-0266(199708)18:7&lt;509::AID-SMJ882&gt;3.0.CO;2-Z","ISSN":"0143-2095, 1097-0266","issue":"7","journalAbbreviation":"Strat. Mgmt. J.","language":"en","page":"509-533","source":"DOI.org (Crossref)","title":"Dynamic capabilities and strategic management","volume":"18","author":[{"family":"Teece","given":"David J."},{"family":"Pisano","given":"Gary"},{"family":"Shuen","given":"Amy"}],"issued":{"date-parts":[["1997",8]]}}}],"schema":"https://github.com/citation-style-language/schema/raw/master/csl-citation.json"} </w:instrText>
      </w:r>
      <w:r>
        <w:rPr>
          <w:rFonts w:ascii="Times New Roman" w:hAnsi="Times New Roman"/>
        </w:rPr>
        <w:fldChar w:fldCharType="separate"/>
      </w:r>
      <w:proofErr w:type="spellStart"/>
      <w:r w:rsidRPr="00170D53">
        <w:rPr>
          <w:rFonts w:ascii="Times New Roman" w:hAnsi="Times New Roman"/>
          <w:lang w:val="es-ES"/>
        </w:rPr>
        <w:t>Teece</w:t>
      </w:r>
      <w:proofErr w:type="spellEnd"/>
      <w:r w:rsidRPr="00170D53">
        <w:rPr>
          <w:rFonts w:ascii="Times New Roman" w:hAnsi="Times New Roman"/>
          <w:lang w:val="es-ES"/>
        </w:rPr>
        <w:t xml:space="preserve"> et al. (1997)</w:t>
      </w:r>
      <w:r>
        <w:rPr>
          <w:rFonts w:ascii="Times New Roman" w:hAnsi="Times New Roman"/>
        </w:rPr>
        <w:fldChar w:fldCharType="end"/>
      </w:r>
      <w:r w:rsidRPr="00170D53">
        <w:rPr>
          <w:rFonts w:ascii="Times New Roman" w:hAnsi="Times New Roman"/>
          <w:lang w:val="es-ES"/>
        </w:rPr>
        <w:t xml:space="preserve"> quienes señalan que el desarrollo de ventajas competitivas es influido por la habilidad de responder oportunamente a los cambios en el entorno, principalmente en industrias tecnológicas. En ese sentido, las capacidades dinámicas son aquellas que permiten redefinir competencias organizacionales y alinearlas a los requerimientos contextuales. Esta es una capacidad porque es el resultado del desarrollo de habilidades específicas dentro de la organización, las cuales le permiten reconfigurarse rápidamente, a conveniencia.</w:t>
      </w:r>
    </w:p>
    <w:p w14:paraId="7BF5AECE" w14:textId="300CE815" w:rsidR="00862D30" w:rsidRPr="00170D53" w:rsidRDefault="00862D30" w:rsidP="00862D30">
      <w:pPr>
        <w:jc w:val="both"/>
        <w:rPr>
          <w:rFonts w:ascii="Times New Roman" w:hAnsi="Times New Roman"/>
          <w:lang w:val="es-ES"/>
        </w:rPr>
      </w:pPr>
      <w:r w:rsidRPr="00170D53">
        <w:rPr>
          <w:rFonts w:ascii="Times New Roman" w:hAnsi="Times New Roman"/>
          <w:lang w:val="es-ES"/>
        </w:rPr>
        <w:t xml:space="preserve">Asimismo, </w:t>
      </w:r>
      <w:r>
        <w:rPr>
          <w:rFonts w:ascii="Times New Roman" w:hAnsi="Times New Roman"/>
        </w:rPr>
        <w:fldChar w:fldCharType="begin"/>
      </w:r>
      <w:r>
        <w:rPr>
          <w:rFonts w:ascii="Times New Roman" w:hAnsi="Times New Roman"/>
          <w:lang w:val="es-ES"/>
        </w:rPr>
        <w:instrText xml:space="preserve"> ADDIN ZOTERO_ITEM CSL_CITATION {"citationID":"qorVlVPC","properties":{"formattedCitation":"(Zahra &amp; George, 2002)","plainCitation":"(Zahra &amp; George, 2002)","dontUpdate":true,"noteIndex":0},"citationItems":[{"id":939,"uris":["http://zotero.org/users/6728605/items/99Z2ANPE"],"itemData":{"id":939,"type":"article-journal","container-title":"The Academy of Management Review","DOI":"10.2307/4134351","ISSN":"03637425","issue":"2","journalAbbreviation":"The Academy of Management Review","page":"185","source":"DOI.org (Crossref)","title":"Absorptive Capacity: A Review, Reconceptualization, and Extension","title-short":"Absorptive Capacity","volume":"27","author":[{"family":"Zahra","given":"Shaker A."},{"family":"George","given":"Gerard"}],"issued":{"date-parts":[["2002",4]]}}}],"schema":"https://github.com/citation-style-language/schema/raw/master/csl-citation.json"}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Zahra &amp; George (2002)</w:t>
      </w:r>
      <w:r>
        <w:rPr>
          <w:rFonts w:ascii="Times New Roman" w:hAnsi="Times New Roman"/>
        </w:rPr>
        <w:fldChar w:fldCharType="end"/>
      </w:r>
      <w:r w:rsidRPr="00170D53">
        <w:rPr>
          <w:rFonts w:ascii="Times New Roman" w:hAnsi="Times New Roman"/>
          <w:lang w:val="es-ES"/>
        </w:rPr>
        <w:t xml:space="preserve"> distinguen dos componentes en las capacidades dinámicas. El primer componente es la capacidad de absorción potencial (PACAP) que incluye la adquisición de conocimiento a partir de la identificación y adquisición de conocimiento generado fuera de la empresa y que puede ser relevante para su operación, así como la capacidad de asimilación de dicho conocimiento. El segundo componente es la capacidad de absorción realizada (RACAP), la cual se define como la capacidad de una empresa para combinar el conocimiento adquirido previamente con el nuevo conocimiento asimilado generando un nuevo conocimiento que facilite cambios en los procesos internos para responder a las exigencias del entorno.</w:t>
      </w:r>
    </w:p>
    <w:p w14:paraId="1B4011AB" w14:textId="77777777" w:rsidR="00862D30" w:rsidRPr="00170D53" w:rsidRDefault="00862D30" w:rsidP="00862D30">
      <w:pPr>
        <w:jc w:val="both"/>
        <w:rPr>
          <w:rFonts w:ascii="Times New Roman" w:hAnsi="Times New Roman"/>
          <w:lang w:val="es-ES"/>
        </w:rPr>
      </w:pPr>
      <w:r w:rsidRPr="00170D53">
        <w:rPr>
          <w:rFonts w:ascii="Times New Roman" w:hAnsi="Times New Roman"/>
          <w:lang w:val="es-ES"/>
        </w:rPr>
        <w:t xml:space="preserve">Tanto la PACAP como la RACAP coexisten de manera complementaria y ayudan a las empresas a alcanzar sus objetivos. Los autores consideran conveniente distinguir estos componentes debido a la complejidad del constructo. Así pues, una empresa que tenga un elevado nivel de PACAP no necesariamente generará resultados positivos para la organización. El conocimiento que se adquiere y asimila, pero que no se aprovecha para </w:t>
      </w:r>
      <w:r w:rsidRPr="00170D53">
        <w:rPr>
          <w:rFonts w:ascii="Times New Roman" w:hAnsi="Times New Roman"/>
          <w:lang w:val="es-ES"/>
        </w:rPr>
        <w:lastRenderedPageBreak/>
        <w:t>generar, entre otras cosas, innovaciones, no resulta provechoso para la empresa. En sentido contrario, la habilidad de combinar conocimiento previo con nuevo conocimiento no producirá el efecto deseado en la empresa si la misma no desarrolla previamente la PACAP. Esta visión ayuda a ordenar las dimensiones que la literatura había identificado previamente en la definición de capacidad de absorción. Las dimensiones de adquisición y asimilación de conocimiento constituyen la PACAP, mientras que las dimensiones de transformación y explotación de dicho conocimiento se enmarcan como elementos de la RACAP.</w:t>
      </w:r>
    </w:p>
    <w:p w14:paraId="03F29847" w14:textId="5600E943" w:rsidR="00862D30" w:rsidRPr="00170D53" w:rsidRDefault="00862D30" w:rsidP="00862D30">
      <w:pPr>
        <w:jc w:val="both"/>
        <w:rPr>
          <w:rFonts w:ascii="Times New Roman" w:hAnsi="Times New Roman"/>
          <w:lang w:val="es-ES"/>
        </w:rPr>
      </w:pPr>
      <w:r w:rsidRPr="00170D53">
        <w:rPr>
          <w:rFonts w:ascii="Times New Roman" w:hAnsi="Times New Roman"/>
          <w:lang w:val="es-ES"/>
        </w:rPr>
        <w:t xml:space="preserve">Intentos recientes por revisar el concepto de capacidad de absorción han decantado en un restablecimiento de la definición primigenia. Este es el caso de la propuesta de </w:t>
      </w:r>
      <w:r>
        <w:rPr>
          <w:rFonts w:ascii="Times New Roman" w:hAnsi="Times New Roman"/>
        </w:rPr>
        <w:fldChar w:fldCharType="begin"/>
      </w:r>
      <w:r>
        <w:rPr>
          <w:rFonts w:ascii="Times New Roman" w:hAnsi="Times New Roman"/>
          <w:lang w:val="es-ES"/>
        </w:rPr>
        <w:instrText xml:space="preserve"> ADDIN ZOTERO_ITEM CSL_CITATION {"citationID":"HhtvpvnR","properties":{"formattedCitation":"(Todorova &amp; Durisin, 2007)","plainCitation":"(Todorova &amp; Durisin, 2007)","dontUpdate":true,"noteIndex":0},"citationItems":[{"id":937,"uris":["http://zotero.org/users/6728605/items/WBUAGT5P"],"itemData":{"id":937,"type":"article-journal","abstract":"Zahra and George (2002) suggested a reconceptualization of the absorptive capacity construct in order to reduce ambiguity in empirical studies. A rereading of the seminal Cohen and Levinthal (1990) article in light of current research on learning and innovation directs our attention to serious ambiguities and omissions in Zahra and George's reconceptualization. We suggest a reintroduction of \"recognizing the value,\" an alternative understanding of \"transformation,\" a clarification of \"potential absorptive capacity,\" an elaboration of the impact of socialization mechanisms, an investigation of the role of \"power relationships,\" and an inclusion of feedback loops in a dynamic model of absorptive capacity.","container-title":"The Academy of Management Review","ISSN":"0363-7425","issue":"3","note":"publisher: Academy of Management","page":"774-786","source":"JSTOR","title":"Absorptive Capacity: Valuing a Reconceptualization","title-short":"Absorptive Capacity","volume":"32","author":[{"family":"Todorova","given":"Gergana"},{"family":"Durisin","given":"Boris"}],"issued":{"date-parts":[["2007"]]}}}],"schema":"https://github.com/citation-style-language/schema/raw/master/csl-citation.json"} </w:instrText>
      </w:r>
      <w:r>
        <w:rPr>
          <w:rFonts w:ascii="Times New Roman" w:hAnsi="Times New Roman"/>
        </w:rPr>
        <w:fldChar w:fldCharType="separate"/>
      </w:r>
      <w:proofErr w:type="spellStart"/>
      <w:r w:rsidRPr="00170D53">
        <w:rPr>
          <w:rFonts w:ascii="Times New Roman" w:hAnsi="Times New Roman"/>
          <w:lang w:val="es-ES"/>
        </w:rPr>
        <w:t>Todorova</w:t>
      </w:r>
      <w:proofErr w:type="spellEnd"/>
      <w:r w:rsidRPr="00170D53">
        <w:rPr>
          <w:rFonts w:ascii="Times New Roman" w:hAnsi="Times New Roman"/>
          <w:lang w:val="es-ES"/>
        </w:rPr>
        <w:t xml:space="preserve"> &amp; </w:t>
      </w:r>
      <w:proofErr w:type="spellStart"/>
      <w:r w:rsidRPr="00170D53">
        <w:rPr>
          <w:rFonts w:ascii="Times New Roman" w:hAnsi="Times New Roman"/>
          <w:lang w:val="es-ES"/>
        </w:rPr>
        <w:t>Durisin</w:t>
      </w:r>
      <w:proofErr w:type="spellEnd"/>
      <w:r w:rsidRPr="00170D53">
        <w:rPr>
          <w:rFonts w:ascii="Times New Roman" w:hAnsi="Times New Roman"/>
          <w:lang w:val="es-ES"/>
        </w:rPr>
        <w:t xml:space="preserve"> (2007)</w:t>
      </w:r>
      <w:r>
        <w:rPr>
          <w:rFonts w:ascii="Times New Roman" w:hAnsi="Times New Roman"/>
        </w:rPr>
        <w:fldChar w:fldCharType="end"/>
      </w:r>
      <w:r w:rsidRPr="00170D53">
        <w:rPr>
          <w:rFonts w:ascii="Times New Roman" w:hAnsi="Times New Roman"/>
          <w:lang w:val="es-ES"/>
        </w:rPr>
        <w:t xml:space="preserve">, quienes desarrollan un modelo compuesto por cuatro etapas. En primer lugar, retoman el reconocimiento del valor del conocimiento propuesto por </w:t>
      </w:r>
      <w:r>
        <w:rPr>
          <w:rFonts w:ascii="Times New Roman" w:hAnsi="Times New Roman"/>
        </w:rPr>
        <w:fldChar w:fldCharType="begin"/>
      </w:r>
      <w:r>
        <w:rPr>
          <w:rFonts w:ascii="Times New Roman" w:hAnsi="Times New Roman"/>
          <w:lang w:val="es-ES"/>
        </w:rPr>
        <w:instrText xml:space="preserve"> ADDIN ZOTERO_ITEM CSL_CITATION {"citationID":"0rc0PTox","properties":{"formattedCitation":"(Cohen &amp; Levinthal, 1990)","plainCitation":"(Cohen &amp; Levinthal, 1990)","dontUpdate":true,"noteIndex":0},"citationItems":[{"id":944,"uris":["http://zotero.org/users/6728605/items/CI2VV8IU"],"itemData":{"id":944,"type":"article-journal","container-title":"Administrative Science Quarterly","DOI":"10.2307/2393553","ISSN":"00018392","issue":"1","journalAbbreviation":"Administrative Science Quarterly","page":"128","source":"DOI.org (Crossref)","title":"Absorptive Capacity: A New Perspective on Learning and Innovation","title-short":"Absorptive Capacity","volume":"35","author":[{"family":"Cohen","given":"Wesley M."},{"family":"Levinthal","given":"Daniel A."}],"issued":{"date-parts":[["1990",3]]}}}],"schema":"https://github.com/citation-style-language/schema/raw/master/csl-citation.json"}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 xml:space="preserve">Cohen &amp; </w:t>
      </w:r>
      <w:proofErr w:type="spellStart"/>
      <w:r w:rsidRPr="00170D53">
        <w:rPr>
          <w:rFonts w:ascii="Times New Roman" w:hAnsi="Times New Roman"/>
          <w:lang w:val="es-ES"/>
        </w:rPr>
        <w:t>Levinthal</w:t>
      </w:r>
      <w:proofErr w:type="spellEnd"/>
      <w:r w:rsidRPr="00170D53">
        <w:rPr>
          <w:rFonts w:ascii="Times New Roman" w:hAnsi="Times New Roman"/>
          <w:lang w:val="es-ES"/>
        </w:rPr>
        <w:t xml:space="preserve"> (1990)</w:t>
      </w:r>
      <w:r>
        <w:rPr>
          <w:rFonts w:ascii="Times New Roman" w:hAnsi="Times New Roman"/>
        </w:rPr>
        <w:fldChar w:fldCharType="end"/>
      </w:r>
      <w:r w:rsidRPr="00170D53">
        <w:rPr>
          <w:rFonts w:ascii="Times New Roman" w:hAnsi="Times New Roman"/>
          <w:lang w:val="es-ES"/>
        </w:rPr>
        <w:t xml:space="preserve">, como elemento inicial en el proceso de absorción. En segundo lugar, incluyen la adquisición del conocimiento, definida a su vez como un subproceso de elección que implica evaluar las fuentes de conocimiento que sean apropiadas. Estos autores señalan que dicho subproceso puede estar a su vez influido por grupos de interés y sus criterios de valoración. En tercer lugar, proponen que la asimilación no precede a la transformación, como en la propuesta de </w:t>
      </w:r>
      <w:r>
        <w:rPr>
          <w:rFonts w:ascii="Times New Roman" w:hAnsi="Times New Roman"/>
        </w:rPr>
        <w:fldChar w:fldCharType="begin"/>
      </w:r>
      <w:r>
        <w:rPr>
          <w:rFonts w:ascii="Times New Roman" w:hAnsi="Times New Roman"/>
          <w:lang w:val="es-ES"/>
        </w:rPr>
        <w:instrText xml:space="preserve"> ADDIN ZOTERO_ITEM CSL_CITATION {"citationID":"K63KbUPH","properties":{"formattedCitation":"(Zahra &amp; George, 2002)","plainCitation":"(Zahra &amp; George, 2002)","dontUpdate":true,"noteIndex":0},"citationItems":[{"id":939,"uris":["http://zotero.org/users/6728605/items/99Z2ANPE"],"itemData":{"id":939,"type":"article-journal","container-title":"The Academy of Management Review","DOI":"10.2307/4134351","ISSN":"03637425","issue":"2","journalAbbreviation":"The Academy of Management Review","page":"185","source":"DOI.org (Crossref)","title":"Absorptive Capacity: A Review, Reconceptualization, and Extension","title-short":"Absorptive Capacity","volume":"27","author":[{"family":"Zahra","given":"Shaker A."},{"family":"George","given":"Gerard"}],"issued":{"date-parts":[["2002",4]]}}}],"schema":"https://github.com/citation-style-language/schema/raw/master/csl-citation.json"} </w:instrText>
      </w:r>
      <w:r>
        <w:rPr>
          <w:rFonts w:ascii="Times New Roman" w:hAnsi="Times New Roman"/>
        </w:rPr>
        <w:fldChar w:fldCharType="separate"/>
      </w:r>
      <w:r w:rsidRPr="00170D53">
        <w:rPr>
          <w:rFonts w:ascii="Times New Roman" w:hAnsi="Times New Roman"/>
          <w:lang w:val="es-ES"/>
        </w:rPr>
        <w:t>Zahra &amp; George (2002)</w:t>
      </w:r>
      <w:r>
        <w:rPr>
          <w:rFonts w:ascii="Times New Roman" w:hAnsi="Times New Roman"/>
        </w:rPr>
        <w:fldChar w:fldCharType="end"/>
      </w:r>
      <w:r w:rsidRPr="00170D53">
        <w:rPr>
          <w:rFonts w:ascii="Times New Roman" w:hAnsi="Times New Roman"/>
          <w:lang w:val="es-ES"/>
        </w:rPr>
        <w:t>, sino que ambos elementos son alternativos y que reflejan estadios distintos en el uso del conocimiento adquirido. Así, cuando el nuevo conocimiento encaja en los esquemas cognitivos preexistentes se produce la asimilación del mismo. En contraste, cuando éste es incompatible con dichos esquemas, la empresa realiza procesos de transformación que permitan aprovechar este nuevo conocimiento. Finalmente, la explotación del conocimiento asimilado o transformado permite el desarrollo de ventajas competitivas relacionadas con capacidades dinámicas, en el ámbito de la flexibilidad organizacional, así como en el incremento de la innovación y la mejora del desempeño.</w:t>
      </w:r>
    </w:p>
    <w:p w14:paraId="0CC89664" w14:textId="77777777" w:rsidR="00862D30" w:rsidRDefault="00862D30" w:rsidP="00862D30">
      <w:pPr>
        <w:rPr>
          <w:rFonts w:ascii="Times New Roman" w:hAnsi="Times New Roman"/>
          <w:color w:val="1F4E79"/>
          <w:lang w:val="es-ES_tradnl"/>
        </w:rPr>
      </w:pPr>
    </w:p>
    <w:p w14:paraId="063E2F75" w14:textId="77777777" w:rsidR="00862D30" w:rsidRPr="00193230" w:rsidRDefault="00862D30" w:rsidP="00862D30">
      <w:pPr>
        <w:numPr>
          <w:ilvl w:val="1"/>
          <w:numId w:val="1"/>
        </w:numPr>
        <w:rPr>
          <w:rFonts w:ascii="Times New Roman" w:hAnsi="Times New Roman"/>
          <w:b/>
          <w:lang w:val="es-ES_tradnl"/>
        </w:rPr>
      </w:pPr>
      <w:r w:rsidRPr="00193230">
        <w:rPr>
          <w:rFonts w:ascii="Times New Roman" w:hAnsi="Times New Roman"/>
          <w:b/>
          <w:lang w:val="es-ES_tradnl"/>
        </w:rPr>
        <w:t>Planteamiento del Problema</w:t>
      </w:r>
    </w:p>
    <w:p w14:paraId="1AAF46AA" w14:textId="3B5D1EA7" w:rsidR="00862D30" w:rsidRDefault="00862D30" w:rsidP="00862D30">
      <w:pPr>
        <w:pStyle w:val="normal0"/>
        <w:spacing w:after="0" w:line="240" w:lineRule="auto"/>
        <w:rPr>
          <w:lang w:val="es-PE"/>
        </w:rPr>
      </w:pPr>
      <w:r w:rsidRPr="00CA1EA0">
        <w:rPr>
          <w:lang w:val="es-ES_tradnl"/>
        </w:rPr>
        <w:t>La adquisición y aprovechamiento del conocimiento es un fenómeno que concita el interés de académicos y hacedores de políticas públicas. Hay un relativo consenso sobre los beneficios de la adquisición de conocimiento y transferencia tecnológica sobre el crecimiento económico y bienestar de la población</w:t>
      </w:r>
      <w:r>
        <w:rPr>
          <w:lang w:val="es-ES_tradnl"/>
        </w:rPr>
        <w:t xml:space="preserve"> </w:t>
      </w:r>
      <w:r>
        <w:rPr>
          <w:lang w:val="es-ES_tradnl"/>
        </w:rPr>
        <w:fldChar w:fldCharType="begin"/>
      </w:r>
      <w:r>
        <w:rPr>
          <w:lang w:val="es-ES_tradnl"/>
        </w:rPr>
        <w:instrText xml:space="preserve"> ADDIN ZOTERO_ITEM CSL_CITATION {"citationID":"r4wn13LB","properties":{"formattedCitation":"(Miller, 2022)","plainCitation":"(Miller, 2022)","dontUpdate":true,"noteIndex":0},"citationItems":[{"id":1105,"uris":["http://zotero.org/users/6728605/items/6YPK3KA2"],"itemData":{"id":1105,"type":"article-journal","abstract":"When this journal was launched in 1992, there was a growing consensus among political and academic leaders that a broad understanding of science and technology was necessary for economic prosperity and democratic governance. This was more of an intuitive judgment than an empirical one. After 30 years of data collection and analysis, it appears that these early expectations were largely correct, but the value of the last three decades of social and psychological research is that we now have a firmer empirical basis for these beliefs and expectations. This essay outlines the impact of the growth of science and technology and the development of new information technologies that have changed the ways that individuals obtain information. I will discuss the implications of these changes for democracy in the 21st century.","container-title":"Public Understanding of Science","DOI":"10.1177/09636625211073485","ISSN":"0963-6625","issue":"3","journalAbbreviation":"Public Underst Sci","language":"en","note":"publisher: SAGE Publications Ltd","page":"266-272","source":"SAGE Journals","title":"Public understanding of science and technology in the Internet era","volume":"31","author":[{"family":"Miller","given":"Jon D."}],"issued":{"date-parts":[["2022",4,1]]}}}],"schema":"https://github.com/citation-style-language/schema/raw/master/csl-citation.json"} </w:instrText>
      </w:r>
      <w:r>
        <w:rPr>
          <w:lang w:val="es-ES_tradnl"/>
        </w:rPr>
        <w:fldChar w:fldCharType="separate"/>
      </w:r>
      <w:r w:rsidRPr="000831A0">
        <w:t>(Miller, 2022</w:t>
      </w:r>
      <w:r>
        <w:t xml:space="preserve">; </w:t>
      </w:r>
      <w:r w:rsidRPr="001532C4">
        <w:t>Singh &amp; Singh, 2022</w:t>
      </w:r>
      <w:r w:rsidRPr="000831A0">
        <w:t>)</w:t>
      </w:r>
      <w:r>
        <w:rPr>
          <w:lang w:val="es-ES_tradnl"/>
        </w:rPr>
        <w:fldChar w:fldCharType="end"/>
      </w:r>
      <w:r w:rsidRPr="00CA1EA0">
        <w:rPr>
          <w:lang w:val="es-ES_tradnl"/>
        </w:rPr>
        <w:t xml:space="preserve">. </w:t>
      </w:r>
      <w:r w:rsidRPr="00CA1EA0">
        <w:rPr>
          <w:lang w:val="es-PE"/>
        </w:rPr>
        <w:t xml:space="preserve">Sin embargo, los mecanismos a través de los cuales la tecnología es desarrollada, adoptada y usada en producción son complejos </w:t>
      </w:r>
      <w:r w:rsidRPr="00CA1EA0">
        <w:rPr>
          <w:lang w:val="es-PE"/>
        </w:rPr>
        <w:fldChar w:fldCharType="begin"/>
      </w:r>
      <w:r>
        <w:rPr>
          <w:lang w:val="es-PE"/>
        </w:rPr>
        <w:instrText xml:space="preserve"> ADDIN ZOTERO_ITEM CSL_CITATION {"citationID":"IHDLOLEL","properties":{"formattedCitation":"(Real Colegio Complutense, s.\\uc0\\u160{}f.)","plainCitation":"(Real Colegio Complutense, s. f.)","noteIndex":0},"citationItems":[{"id":1107,"uris":["http://zotero.org/users/6728605/items/LQXNA8T6"],"itemData":{"id":1107,"type":"webpage","abstract":"Co-Chairs: Ricardo Hausmann (Director, Center for International Development and Professor of the Practice of Economic Development, Harvard Kennedy School of Government) and José Domínguez (Professor of Structural Engineering, School of Engineering, University of Seville).","language":"en","title":"Knowledge, Technology and Complexity in Economic Growth","URL":"https://rcc.harvard.edu/knowledge-technology-and-complexity-economic-growth","author":[{"family":"Real Colegio Complutense","given":""}],"accessed":{"date-parts":[["2022",7,27]]}}}],"schema":"https://github.com/citation-style-language/schema/raw/master/csl-citation.json"} </w:instrText>
      </w:r>
      <w:r w:rsidRPr="00CA1EA0">
        <w:rPr>
          <w:lang w:val="es-PE"/>
        </w:rPr>
        <w:fldChar w:fldCharType="separate"/>
      </w:r>
      <w:r w:rsidRPr="00CA1EA0">
        <w:t>(Real Colegio Complutense, s. f.)</w:t>
      </w:r>
      <w:r w:rsidRPr="00CA1EA0">
        <w:rPr>
          <w:lang w:val="es-PE"/>
        </w:rPr>
        <w:fldChar w:fldCharType="end"/>
      </w:r>
      <w:r w:rsidRPr="00CA1EA0">
        <w:rPr>
          <w:lang w:val="es-PE"/>
        </w:rPr>
        <w:t xml:space="preserve">. De manera agregada, hay países que mantienen un mejor desempeño respecto a indicadores relacionados con el uso de tecnología y generación de innovación. Indicadores como el </w:t>
      </w:r>
      <w:proofErr w:type="spellStart"/>
      <w:r w:rsidRPr="00CA1EA0">
        <w:rPr>
          <w:lang w:val="es-PE"/>
        </w:rPr>
        <w:t>Economic</w:t>
      </w:r>
      <w:proofErr w:type="spellEnd"/>
      <w:r w:rsidRPr="00CA1EA0">
        <w:rPr>
          <w:lang w:val="es-PE"/>
        </w:rPr>
        <w:t xml:space="preserve"> </w:t>
      </w:r>
      <w:proofErr w:type="spellStart"/>
      <w:r w:rsidRPr="00CA1EA0">
        <w:rPr>
          <w:lang w:val="es-PE"/>
        </w:rPr>
        <w:t>Complex</w:t>
      </w:r>
      <w:proofErr w:type="spellEnd"/>
      <w:r w:rsidRPr="00CA1EA0">
        <w:rPr>
          <w:lang w:val="es-PE"/>
        </w:rPr>
        <w:t xml:space="preserve"> </w:t>
      </w:r>
      <w:proofErr w:type="spellStart"/>
      <w:r w:rsidRPr="00CA1EA0">
        <w:rPr>
          <w:lang w:val="es-PE"/>
        </w:rPr>
        <w:t>Index</w:t>
      </w:r>
      <w:proofErr w:type="spellEnd"/>
      <w:r>
        <w:rPr>
          <w:lang w:val="es-PE"/>
        </w:rPr>
        <w:t xml:space="preserve"> </w:t>
      </w:r>
      <w:r>
        <w:rPr>
          <w:lang w:val="es-PE"/>
        </w:rPr>
        <w:fldChar w:fldCharType="begin"/>
      </w:r>
      <w:r>
        <w:rPr>
          <w:lang w:val="es-PE"/>
        </w:rPr>
        <w:instrText xml:space="preserve"> ADDIN ZOTERO_ITEM CSL_CITATION {"citationID":"k32orVE0","properties":{"formattedCitation":"(Hausmann et\\uc0\\u160{}al., 2011)","plainCitation":"(Hausmann et al., 2011)","noteIndex":0},"citationItems":[{"id":1100,"uris":["http://zotero.org/users/6728605/items/4S2VSHC8"],"itemData":{"id":1100,"type":"book","abstract":"\"Over the past two centuries, mankind has accomplished what used to be unthinkable. When we look back at our long list of achievements, it is easy to focus on the most audacious of them, such as our conquest of the skies and the moon. Our lives, however, have been made easier and more prosperous by a large number of more modest, yet crucially important feats. Think of electric bulbs, telephones, cars, personal computers, antibiotics, TVs, refrigerators, watches and water heaters. Think of the many innovations that benefit us despite our minimal awareness of them, such as advances in port management, electric power distribution, agrochemicals and water purification. This progress was possible because we got smarter. During the past two centuries, the amount of productive knowledge we hold expanded dramatically. This was not, however, an individual phenomenon. It was a collective phenomenon. As individuals we are not much more capable than our ancestors, but as societies we have developed the ability to make all that we have mentioned -- and much, much more. Modern societies can amass large amounts of productive knowledge because they distribute bits and pieces of it among its many members. But to make use of it, this knowledge has to be put back together through organizations and markets. Thus, individual specialization begets diversity at the national and global level. Our most prosperous modern societies are wiser, not because their citizens are individually brilliant, but because these societies hold a diversity of knowhow and because they are able to recombine it to create a larger variety of smarter and better products. The social accumulation of productive knowledge has not been a universal phenomenon. It has taken place in some parts of the world, but not in others. Where it has happened, it has underpinned an incredible increase in living standards. Where it has not, living standards resemble those of centuries past. The enormous income gaps between rich and poor nations are an expression of the vast differences in productive knowledge amassed by different nations. These differences are expressed in the diversity and sophistication of the things that each of them makes, which we explore in detail in this Atlas. Just as nations differ in the amount of productive knowledge they hold, so do products. The amount of knowledge that is required to make a product can vary enormously from one good to the next. Most modern products require more knowledge than what a single person can hold. Nobody in this world, not even the savviest geek nor the most knowledgeable entrepreneur knows how to make a computer. He has to rely on others who know about battery technology, liquid crystals, microprocessor design, software development, metallurgy, milling, lean manufacturing and human resource management, among many other skills. That is why the average worker in a rich country works in a firm that is much larger and more connected than firms in poor countries. For a society to operate at a high level of total productive knowledge, individuals must know different things. Diversity of productive knowledge, however, is not enough. In order to put knowledge into productive use, societies need to reassemble these distributed bits through teams, organizations and markets. Accumulating productive knowledge is difficult. For the most part, it is not available in books or on the Internet. It is embedded in brains and human networks. It is tacit and hard to transmit and acquire. It comes from years of experience more than from years of schooling. Productive knowledge, therefore, cannot be learned easily like a song or a poem. It requires structural changes. Just like learning a language requires changes in the structure of the brain, developing a new industry requires changes in the patterns of interaction inside an organization or society. Expanding the amount of productive knowledge available in a country involves enlarging the set of activities that the country is able to do. This process, however, is tricky. Industries cannot exist if the requisite productive knowledge is absent, yet accumulating bits of productive knowledge will make little sense in places where the industries that require it are not present. This \"chicken and egg\" problem slows down the accumulation of productive knowledge. It also creates important path dependencies. It is easier for countries to move into industries that mostly reuse what they already know, since these industries require adding modest amounts of productive knowledge. By gradually adding new knowledge to what they already know, countries economize on the chicken and egg problem. That is why we find empirically that countries move from the products that they already create to others that are \"close by\" in terms of the productive knowledge that they require. The Atlas of Economic Complexity attempts to measure the amount of productive knowledge that each country holds. Our measure of productive knowledge can account for the enormous income differences between the nations of the world and has the capacity to predict the rate at which countries will grow. In fact, it is much more predictive than other well-known development indicators, such as those that attempt to measure competitiveness, governance and education. A central contribution of this Atlas is the creation of a map that captures the similarity of products in terms of their knowledge requirements. This map provides paths through which productive knowledge is more easily accumulated. We call this map, or network, the product space, and use it to locate each country, illustrating their current productive capabilities and the products that lie nearby. Ultimately, this Atlas views economic development as a social learning process, but one that is rife with pitfalls and dangers. Countries accumulate productive knowledge by developing the capacity to make a larger variety of products of increasing complexity. This process involves trial and error. It is a risky journey in search of the possible. Entrepreneurs, investors and policymakers play a fundamental role in this economic exploration. By providing rankings, we wish to clarify the scope of the achievable, as revealed by the experience of others. By tracking progress, we offer feedback regarding current trends. By providing maps, we do not pretend to tell potential explorers where to go, but to pinpoint what is out there and what routes may be shorter or more secure. We hope this will empower these explorers with valuable information that will encourage them to take on the challenge and thus speed up the process of economic development\"--Preface.","event-place":"Cambridge, Mass.","language":"en","note":"OCLC: 781855824","publisher":"Center for International Development, Harvard University","publisher-place":"Cambridge, Mass.","source":"Open WorldCat","title":"The Atlas of economic complexity: mapping paths to prosperity","title-short":"The Atlas of economic complexity","URL":"http://atlas.media.mit.edu/book/","author":[{"family":"Hausmann","given":"Ricardo"},{"literal":"Harvard University"},{"literal":"Center for International Development"}],"accessed":{"date-parts":[["2022",7,30]]},"issued":{"date-parts":[["2011"]]}}}],"schema":"https://github.com/citation-style-language/schema/raw/master/csl-citation.json"} </w:instrText>
      </w:r>
      <w:r>
        <w:rPr>
          <w:lang w:val="es-PE"/>
        </w:rPr>
        <w:fldChar w:fldCharType="separate"/>
      </w:r>
      <w:r w:rsidRPr="00F04550">
        <w:t>(Hausmann et al., 2011)</w:t>
      </w:r>
      <w:r>
        <w:rPr>
          <w:lang w:val="es-PE"/>
        </w:rPr>
        <w:fldChar w:fldCharType="end"/>
      </w:r>
      <w:r w:rsidRPr="00CA1EA0">
        <w:rPr>
          <w:lang w:val="es-PE"/>
        </w:rPr>
        <w:t xml:space="preserve"> </w:t>
      </w:r>
      <w:r>
        <w:rPr>
          <w:lang w:val="es-PE"/>
        </w:rPr>
        <w:t xml:space="preserve">o el Global </w:t>
      </w:r>
      <w:proofErr w:type="spellStart"/>
      <w:r>
        <w:rPr>
          <w:lang w:val="es-PE"/>
        </w:rPr>
        <w:t>Innovation</w:t>
      </w:r>
      <w:proofErr w:type="spellEnd"/>
      <w:r>
        <w:rPr>
          <w:lang w:val="es-PE"/>
        </w:rPr>
        <w:t xml:space="preserve"> </w:t>
      </w:r>
      <w:proofErr w:type="spellStart"/>
      <w:r>
        <w:rPr>
          <w:lang w:val="es-PE"/>
        </w:rPr>
        <w:t>Index</w:t>
      </w:r>
      <w:proofErr w:type="spellEnd"/>
      <w:r>
        <w:rPr>
          <w:lang w:val="es-PE"/>
        </w:rPr>
        <w:t xml:space="preserve"> (GII) </w:t>
      </w:r>
      <w:r>
        <w:rPr>
          <w:lang w:val="es-PE"/>
        </w:rPr>
        <w:fldChar w:fldCharType="begin"/>
      </w:r>
      <w:r>
        <w:rPr>
          <w:lang w:val="es-PE"/>
        </w:rPr>
        <w:instrText xml:space="preserve"> ADDIN ZOTERO_ITEM CSL_CITATION {"citationID":"oZ0Jsh1Y","properties":{"formattedCitation":"(Soumitra et\\uc0\\u160{}al., 2021)","plainCitation":"(Soumitra et al., 2021)","noteIndex":0},"citationItems":[{"id":1099,"uris":["http://zotero.org/users/6728605/items/8CKPLVY9"],"itemData":{"id":1099,"type":"book","abstract":"The Global Innovation Index 2021 (GII) takes the pulse of the most recent global innovation trends and ranks the innovation ecosystem performance of 132 economies, while highlighting innovation strengths and weaknesses and particular gaps in innovation metrics.","language":"en","note":"DOI: 10.34667/TIND.44315","publisher":"Unknown","source":"DOI.org (Datacite)","title":"Global innovation index.","URL":"https://tind.wipo.int/record/44315","author":[{"family":"Soumitra","given":"Dutta"},{"family":"Bruno","given":"Lanvin"},{"family":"Sacha","given":"Wunsch-Vincent"},{"family":"Rivera","given":"León","suffix":"Lorena"},{"family":"Organization","given":"World Intellectual Property"}],"accessed":{"date-parts":[["2022",7,30]]},"issued":{"date-parts":[["2021"]]}}}],"schema":"https://github.com/citation-style-language/schema/raw/master/csl-citation.json"} </w:instrText>
      </w:r>
      <w:r>
        <w:rPr>
          <w:lang w:val="es-PE"/>
        </w:rPr>
        <w:fldChar w:fldCharType="separate"/>
      </w:r>
      <w:r w:rsidRPr="00F04550">
        <w:t>(</w:t>
      </w:r>
      <w:proofErr w:type="spellStart"/>
      <w:r w:rsidRPr="00F04550">
        <w:t>Soumitra</w:t>
      </w:r>
      <w:proofErr w:type="spellEnd"/>
      <w:r w:rsidRPr="00F04550">
        <w:t xml:space="preserve"> et al., 2021)</w:t>
      </w:r>
      <w:r>
        <w:rPr>
          <w:lang w:val="es-PE"/>
        </w:rPr>
        <w:fldChar w:fldCharType="end"/>
      </w:r>
      <w:r>
        <w:rPr>
          <w:lang w:val="es-PE"/>
        </w:rPr>
        <w:t xml:space="preserve"> </w:t>
      </w:r>
      <w:r w:rsidRPr="00CA1EA0">
        <w:rPr>
          <w:lang w:val="es-PE"/>
        </w:rPr>
        <w:t xml:space="preserve">dan cuenta de </w:t>
      </w:r>
      <w:r>
        <w:rPr>
          <w:lang w:val="es-PE"/>
        </w:rPr>
        <w:t>las posiciones de vanguardia de países que alcanzaron el desarrollo económico hace siglos o décadas (Japón, Suiza, Alemania, Singapur, Francia, entre otros) y otros que mantienen posiciones expectantes gracias a los progresos que de manera consistente han venido experimentando desde las últimas décadas (China, Viet</w:t>
      </w:r>
      <w:r>
        <w:rPr>
          <w:lang w:val="es-PE"/>
        </w:rPr>
        <w:t>n</w:t>
      </w:r>
      <w:r>
        <w:rPr>
          <w:lang w:val="es-PE"/>
        </w:rPr>
        <w:t>am, India, Malasia, entre otros).</w:t>
      </w:r>
    </w:p>
    <w:p w14:paraId="5136B336" w14:textId="69612E2C" w:rsidR="00862D30" w:rsidRDefault="00862D30" w:rsidP="00862D30">
      <w:pPr>
        <w:pStyle w:val="normal0"/>
        <w:spacing w:after="0" w:line="240" w:lineRule="auto"/>
        <w:rPr>
          <w:lang w:val="es-PE"/>
        </w:rPr>
      </w:pPr>
      <w:r>
        <w:rPr>
          <w:lang w:val="es-PE"/>
        </w:rPr>
        <w:t>También persisten estancamientos y retrocesos en ciertos países, principalmente aquellos clasificados como de menores ingresos, y otros de medianos ingresos ubicados en Latinoam</w:t>
      </w:r>
      <w:r>
        <w:rPr>
          <w:lang w:val="es-PE"/>
        </w:rPr>
        <w:t>é</w:t>
      </w:r>
      <w:r>
        <w:rPr>
          <w:lang w:val="es-PE"/>
        </w:rPr>
        <w:t xml:space="preserve">rica, incluyendo a Perú. En el caso peruano, el GII lo ubica en una posición intermedia, en cuanto al indicador agregado. No obstante, en los indicadores específicos de Educación Terciaria y Calidad Regulatoria, muestra posiciones superiores para el contexto latinoamericano. En tal sentido, se observa que algunas condiciones impulsoras de la innovación se muestran favorables, pero los avances siguen siendo exiguos. Por ello, </w:t>
      </w:r>
      <w:r>
        <w:rPr>
          <w:lang w:val="es-PE"/>
        </w:rPr>
        <w:lastRenderedPageBreak/>
        <w:t xml:space="preserve">se hace necesario una revisión más profunda del fenómeno, desde distintos puntos de vista. </w:t>
      </w:r>
    </w:p>
    <w:p w14:paraId="3A85F516" w14:textId="425C817D" w:rsidR="00862D30" w:rsidRDefault="00862D30" w:rsidP="00862D30">
      <w:pPr>
        <w:pStyle w:val="normal0"/>
        <w:spacing w:after="0" w:line="240" w:lineRule="auto"/>
        <w:rPr>
          <w:lang w:val="es-PE"/>
        </w:rPr>
      </w:pPr>
      <w:r>
        <w:rPr>
          <w:lang w:val="es-PE"/>
        </w:rPr>
        <w:t xml:space="preserve">En ese orden de ideas, en esta investigación se pretende llevar a cabo una aproximación al fenómeno de la capacidad de absorción, factor que la literatura reconoce como determinante de la innovación y el alcance de ventajas competitivas </w:t>
      </w:r>
      <w:r>
        <w:rPr>
          <w:lang w:val="es-PE"/>
        </w:rPr>
        <w:fldChar w:fldCharType="begin"/>
      </w:r>
      <w:r>
        <w:rPr>
          <w:lang w:val="es-PE"/>
        </w:rPr>
        <w:instrText xml:space="preserve"> ADDIN ZOTERO_ITEM CSL_CITATION {"citationID":"3CjYWVZl","properties":{"formattedCitation":"(Zhan &amp; Yi, 2022)","plainCitation":"(Zhan &amp; Yi, 2022)","dontUpdate":true,"noteIndex":0},"citationItems":[{"id":1098,"uris":["http://zotero.org/users/6728605/items/4BSBFPHF"],"itemData":{"id":1098,"type":"article-journal","abstract":"Purpose: This paper investigates the effect of business environment distance on innovation performance of emerging market multinational enterprises (EMNEs) and explores the mediating effect of absorptive capacity between the two, and it further analyzes the moderating effect of skilled migrants in the relationship between business environment distance and absorptive capacity. Design/methodology/approach: An empirical analysis based on a fixed effect model is conducted using data of Chinese MNEs listed on the Shanghai and Shenzhen Stock that expand into developed markets from 2011 to 2018. Findings: The results suggest business environment distance positively affects the innovation performance of EMNEs, and can enhance innovation performance by affecting absorptive capacity of EMNEs. In addition, skilled migrants strengthen the relationship between business environment distance and absorptive capacity of EMNEs. Practical implications: Chinese MNEs should fully exploit business environment distance to acquire the technology needed for innovation activities, and strengthen absorptive capacity to maximize the benefits from innovation. Chinese government needs to strengthen the construction of skilled migrants to facilitate knowledge and technology transfer. Originality/value: Combining springboard theory and institutional theory, this paper integrates macro and micro perspectives to explore whether and how business environment distance affects innovation performance of Chinese MNEs. The paper provides a good theoretical basis and important practical reference value for enhancing the technological innovation capability of Chinese MNEs and the overall technological innovation level of China. © 2022, Emerald Publishing Limited.","archive":"Scopus","container-title":"Kybernetes","DOI":"10.1108/K-11-2021-1094","ISSN":"0368-492X","language":"English","source":"Scopus","title":"Business environment distance, absorptive capacity and innovation performance of EMNEs: evidence from China","title-short":"Business environment distance, absorptive capacity and innovation performance of EMNEs","author":[{"family":"Zhan","given":"Y."},{"family":"Yi","given":"C."}],"issued":{"date-parts":[["2022"]]}}}],"schema":"https://github.com/citation-style-language/schema/raw/master/csl-citation.json"} </w:instrText>
      </w:r>
      <w:r>
        <w:rPr>
          <w:lang w:val="es-PE"/>
        </w:rPr>
        <w:fldChar w:fldCharType="separate"/>
      </w:r>
      <w:r w:rsidRPr="001064ED">
        <w:t>(</w:t>
      </w:r>
      <w:proofErr w:type="spellStart"/>
      <w:r w:rsidRPr="001064ED">
        <w:t>Zhan</w:t>
      </w:r>
      <w:proofErr w:type="spellEnd"/>
      <w:r w:rsidRPr="001064ED">
        <w:t xml:space="preserve"> &amp; Yi, 2022</w:t>
      </w:r>
      <w:r>
        <w:t xml:space="preserve">; </w:t>
      </w:r>
      <w:proofErr w:type="spellStart"/>
      <w:r w:rsidRPr="001064ED">
        <w:t>Bhadauria</w:t>
      </w:r>
      <w:proofErr w:type="spellEnd"/>
      <w:r w:rsidRPr="001064ED">
        <w:t xml:space="preserve"> &amp; Singh, 2022</w:t>
      </w:r>
      <w:r>
        <w:rPr>
          <w:lang w:val="es-PE"/>
        </w:rPr>
        <w:fldChar w:fldCharType="end"/>
      </w:r>
      <w:r>
        <w:rPr>
          <w:lang w:val="es-PE"/>
        </w:rPr>
        <w:t xml:space="preserve">; </w:t>
      </w:r>
      <w:r w:rsidRPr="001064ED">
        <w:t>Zapata-</w:t>
      </w:r>
      <w:proofErr w:type="spellStart"/>
      <w:r w:rsidRPr="001064ED">
        <w:t>Cantu</w:t>
      </w:r>
      <w:proofErr w:type="spellEnd"/>
      <w:r w:rsidRPr="001064ED">
        <w:t xml:space="preserve"> et al., 2020</w:t>
      </w:r>
      <w:r>
        <w:t xml:space="preserve">; </w:t>
      </w:r>
      <w:r w:rsidRPr="001064ED">
        <w:t>Ortigueira-Sánchez et al., 2020</w:t>
      </w:r>
      <w:r>
        <w:t xml:space="preserve">; </w:t>
      </w:r>
      <w:r w:rsidRPr="005416C7">
        <w:t>Reid, 2019</w:t>
      </w:r>
      <w:r>
        <w:t>), en el nivel empresarial. Sin emb</w:t>
      </w:r>
      <w:r>
        <w:t>a</w:t>
      </w:r>
      <w:r>
        <w:t xml:space="preserve">rgo, </w:t>
      </w:r>
      <w:r w:rsidRPr="00991B13">
        <w:t>La literatura aborda de manera heterogénea el estudio de los determinantes de la capacidad de absorción, tanto en el modelo utilizado para describirla, como en la elección de los determinantes</w:t>
      </w:r>
      <w:r>
        <w:t>.</w:t>
      </w:r>
      <w:r w:rsidRPr="00991B13">
        <w:t xml:space="preserve"> </w:t>
      </w:r>
      <w:r>
        <w:t>Asimismo, los estudios no han generado suficiente evidencia en cuanto a sus determinantes, y dichas investigaciones se han concentrado en países innovadores, desarrollado o avanzados tecnológicamente, por lo que subsiste una brecha de conocimientos tanto teórica como poblacional.</w:t>
      </w:r>
      <w:r>
        <w:rPr>
          <w:lang w:val="es-PE"/>
        </w:rPr>
        <w:t xml:space="preserve"> </w:t>
      </w:r>
    </w:p>
    <w:p w14:paraId="401817FF" w14:textId="77777777" w:rsidR="00862D30" w:rsidRPr="00CA1EA0" w:rsidRDefault="00862D30" w:rsidP="00862D30">
      <w:pPr>
        <w:pStyle w:val="normal0"/>
        <w:spacing w:after="0" w:line="240" w:lineRule="auto"/>
        <w:rPr>
          <w:lang w:val="es-PE"/>
        </w:rPr>
      </w:pPr>
    </w:p>
    <w:p w14:paraId="775D64A7" w14:textId="77777777" w:rsidR="00862D30" w:rsidRPr="00193230" w:rsidRDefault="00862D30" w:rsidP="00862D30">
      <w:pPr>
        <w:numPr>
          <w:ilvl w:val="1"/>
          <w:numId w:val="1"/>
        </w:numPr>
        <w:jc w:val="both"/>
        <w:rPr>
          <w:rFonts w:ascii="Times New Roman" w:hAnsi="Times New Roman"/>
          <w:b/>
          <w:lang w:val="es-ES_tradnl"/>
        </w:rPr>
      </w:pPr>
      <w:r w:rsidRPr="00193230">
        <w:rPr>
          <w:rFonts w:ascii="Times New Roman" w:hAnsi="Times New Roman"/>
          <w:b/>
          <w:lang w:val="es-ES_tradnl"/>
        </w:rPr>
        <w:t>Objetivos de la Investigación</w:t>
      </w:r>
    </w:p>
    <w:p w14:paraId="54EB64C3" w14:textId="77777777" w:rsidR="00862D30" w:rsidRPr="00D34741" w:rsidRDefault="00862D30" w:rsidP="00862D30">
      <w:pPr>
        <w:jc w:val="both"/>
        <w:rPr>
          <w:rFonts w:ascii="Times New Roman" w:hAnsi="Times New Roman"/>
          <w:i/>
          <w:iCs/>
          <w:lang w:val="es-ES_tradnl"/>
        </w:rPr>
      </w:pPr>
      <w:r w:rsidRPr="00D34741">
        <w:rPr>
          <w:rFonts w:ascii="Times New Roman" w:hAnsi="Times New Roman"/>
          <w:i/>
          <w:iCs/>
          <w:lang w:val="es-ES_tradnl"/>
        </w:rPr>
        <w:t>Objetivo General</w:t>
      </w:r>
    </w:p>
    <w:p w14:paraId="65855DAF" w14:textId="77777777" w:rsidR="00862D30" w:rsidRPr="00D34741" w:rsidRDefault="00862D30" w:rsidP="00862D30">
      <w:pPr>
        <w:jc w:val="both"/>
        <w:rPr>
          <w:rFonts w:ascii="Times New Roman" w:hAnsi="Times New Roman"/>
          <w:lang w:val="es-ES_tradnl"/>
        </w:rPr>
      </w:pPr>
      <w:r w:rsidRPr="00D34741">
        <w:rPr>
          <w:rFonts w:ascii="Times New Roman" w:hAnsi="Times New Roman"/>
          <w:lang w:val="es-ES_tradnl"/>
        </w:rPr>
        <w:t>Analizar los factores determinantes de la Capacidad de Absorción</w:t>
      </w:r>
    </w:p>
    <w:p w14:paraId="48680267" w14:textId="77777777" w:rsidR="00862D30" w:rsidRPr="00D34741" w:rsidRDefault="00862D30" w:rsidP="00862D30">
      <w:pPr>
        <w:jc w:val="both"/>
        <w:rPr>
          <w:rFonts w:ascii="Times New Roman" w:hAnsi="Times New Roman"/>
          <w:i/>
          <w:iCs/>
          <w:lang w:val="es-ES_tradnl"/>
        </w:rPr>
      </w:pPr>
      <w:r w:rsidRPr="00D34741">
        <w:rPr>
          <w:rFonts w:ascii="Times New Roman" w:hAnsi="Times New Roman"/>
          <w:i/>
          <w:iCs/>
          <w:lang w:val="es-ES_tradnl"/>
        </w:rPr>
        <w:t>Objetivos Específicos</w:t>
      </w:r>
    </w:p>
    <w:p w14:paraId="5930FE9C" w14:textId="77777777" w:rsidR="00862D30" w:rsidRPr="00D34741" w:rsidRDefault="00862D30" w:rsidP="00862D30">
      <w:pPr>
        <w:numPr>
          <w:ilvl w:val="0"/>
          <w:numId w:val="3"/>
        </w:numPr>
        <w:jc w:val="both"/>
        <w:rPr>
          <w:rFonts w:ascii="Times New Roman" w:hAnsi="Times New Roman"/>
          <w:lang w:val="es-ES_tradnl"/>
        </w:rPr>
      </w:pPr>
      <w:r w:rsidRPr="00D34741">
        <w:rPr>
          <w:rFonts w:ascii="Times New Roman" w:hAnsi="Times New Roman"/>
          <w:lang w:val="es-ES_tradnl"/>
        </w:rPr>
        <w:t xml:space="preserve">Evaluar el grado en el que Conocimiento Organizacional incide en la </w:t>
      </w:r>
      <w:proofErr w:type="spellStart"/>
      <w:r w:rsidRPr="00D34741">
        <w:rPr>
          <w:rFonts w:ascii="Times New Roman" w:hAnsi="Times New Roman"/>
          <w:lang w:val="es-ES_tradnl"/>
        </w:rPr>
        <w:t>la</w:t>
      </w:r>
      <w:proofErr w:type="spellEnd"/>
      <w:r w:rsidRPr="00D34741">
        <w:rPr>
          <w:rFonts w:ascii="Times New Roman" w:hAnsi="Times New Roman"/>
          <w:lang w:val="es-ES_tradnl"/>
        </w:rPr>
        <w:t xml:space="preserve"> PACAP y RACAP</w:t>
      </w:r>
      <w:r>
        <w:rPr>
          <w:rFonts w:ascii="Times New Roman" w:hAnsi="Times New Roman"/>
          <w:lang w:val="es-ES_tradnl"/>
        </w:rPr>
        <w:t>.</w:t>
      </w:r>
    </w:p>
    <w:p w14:paraId="47A494AB" w14:textId="77777777" w:rsidR="00862D30" w:rsidRPr="00D34741" w:rsidRDefault="00862D30" w:rsidP="00862D30">
      <w:pPr>
        <w:numPr>
          <w:ilvl w:val="0"/>
          <w:numId w:val="3"/>
        </w:numPr>
        <w:jc w:val="both"/>
        <w:rPr>
          <w:rFonts w:ascii="Times New Roman" w:hAnsi="Times New Roman"/>
          <w:lang w:val="es-ES_tradnl"/>
        </w:rPr>
      </w:pPr>
      <w:r w:rsidRPr="00D34741">
        <w:rPr>
          <w:rFonts w:ascii="Times New Roman" w:hAnsi="Times New Roman"/>
          <w:lang w:val="es-ES_tradnl"/>
        </w:rPr>
        <w:t>Evaluar el grado en el que la Formalización incide en la PACAP y RACAP</w:t>
      </w:r>
      <w:r>
        <w:rPr>
          <w:rFonts w:ascii="Times New Roman" w:hAnsi="Times New Roman"/>
          <w:lang w:val="es-ES_tradnl"/>
        </w:rPr>
        <w:t>.</w:t>
      </w:r>
    </w:p>
    <w:p w14:paraId="0FE8307A" w14:textId="77777777" w:rsidR="00862D30" w:rsidRPr="00D34741" w:rsidRDefault="00862D30" w:rsidP="00862D30">
      <w:pPr>
        <w:numPr>
          <w:ilvl w:val="0"/>
          <w:numId w:val="3"/>
        </w:numPr>
        <w:jc w:val="both"/>
        <w:rPr>
          <w:rFonts w:ascii="Times New Roman" w:hAnsi="Times New Roman"/>
          <w:lang w:val="es-ES_tradnl"/>
        </w:rPr>
      </w:pPr>
      <w:r w:rsidRPr="00D34741">
        <w:rPr>
          <w:rFonts w:ascii="Times New Roman" w:hAnsi="Times New Roman"/>
          <w:lang w:val="es-ES_tradnl"/>
        </w:rPr>
        <w:t>Evaluar el efecto de los Mecanismos de Integración Social en la relación entre la PACAP y la RACAP</w:t>
      </w:r>
      <w:r>
        <w:rPr>
          <w:rFonts w:ascii="Times New Roman" w:hAnsi="Times New Roman"/>
          <w:lang w:val="es-ES_tradnl"/>
        </w:rPr>
        <w:t>.</w:t>
      </w:r>
    </w:p>
    <w:p w14:paraId="59986F51" w14:textId="77777777" w:rsidR="00862D30" w:rsidRPr="00193230" w:rsidRDefault="00862D30" w:rsidP="00862D30">
      <w:pPr>
        <w:jc w:val="both"/>
        <w:rPr>
          <w:rFonts w:ascii="Times New Roman" w:hAnsi="Times New Roman"/>
          <w:b/>
          <w:lang w:val="es-ES_tradnl"/>
        </w:rPr>
      </w:pPr>
    </w:p>
    <w:p w14:paraId="47F35CB4" w14:textId="77777777" w:rsidR="00862D30" w:rsidRPr="00193230" w:rsidRDefault="00862D30" w:rsidP="00862D30">
      <w:pPr>
        <w:jc w:val="both"/>
        <w:rPr>
          <w:rFonts w:ascii="Times New Roman" w:hAnsi="Times New Roman"/>
          <w:b/>
          <w:lang w:val="es-ES_tradnl"/>
        </w:rPr>
      </w:pPr>
      <w:r w:rsidRPr="00193230">
        <w:rPr>
          <w:rFonts w:ascii="Times New Roman" w:hAnsi="Times New Roman"/>
          <w:b/>
          <w:lang w:val="es-ES_tradnl"/>
        </w:rPr>
        <w:t>1.4 Preguntas de la Investigación</w:t>
      </w:r>
    </w:p>
    <w:p w14:paraId="5E383CE8" w14:textId="77777777" w:rsidR="00862D30" w:rsidRPr="00D34741" w:rsidRDefault="00862D30" w:rsidP="00862D30">
      <w:pPr>
        <w:jc w:val="both"/>
        <w:rPr>
          <w:rFonts w:ascii="Times New Roman" w:hAnsi="Times New Roman"/>
          <w:i/>
          <w:iCs/>
          <w:lang w:val="es-ES_tradnl"/>
        </w:rPr>
      </w:pPr>
      <w:r w:rsidRPr="00D34741">
        <w:rPr>
          <w:rFonts w:ascii="Times New Roman" w:hAnsi="Times New Roman"/>
          <w:i/>
          <w:iCs/>
          <w:lang w:val="es-ES_tradnl"/>
        </w:rPr>
        <w:t>Pregunta General</w:t>
      </w:r>
    </w:p>
    <w:p w14:paraId="2E85701E" w14:textId="77777777" w:rsidR="00862D30" w:rsidRPr="00EE14E1" w:rsidRDefault="00862D30" w:rsidP="00862D30">
      <w:pPr>
        <w:jc w:val="both"/>
        <w:rPr>
          <w:rFonts w:ascii="Times New Roman" w:hAnsi="Times New Roman"/>
          <w:lang w:val="es-ES_tradnl"/>
        </w:rPr>
      </w:pPr>
      <w:r w:rsidRPr="00EE14E1">
        <w:rPr>
          <w:rFonts w:ascii="Times New Roman" w:hAnsi="Times New Roman"/>
          <w:lang w:val="es-ES_tradnl"/>
        </w:rPr>
        <w:t xml:space="preserve">¿Cuáles son los factores determinantes de la </w:t>
      </w:r>
      <w:r>
        <w:rPr>
          <w:rFonts w:ascii="Times New Roman" w:hAnsi="Times New Roman"/>
          <w:lang w:val="es-ES_tradnl"/>
        </w:rPr>
        <w:t>Capacidad de Absorción</w:t>
      </w:r>
      <w:r w:rsidRPr="00EE14E1">
        <w:rPr>
          <w:rFonts w:ascii="Times New Roman" w:hAnsi="Times New Roman"/>
          <w:lang w:val="es-ES_tradnl"/>
        </w:rPr>
        <w:t>?</w:t>
      </w:r>
    </w:p>
    <w:p w14:paraId="502AEE96" w14:textId="77777777" w:rsidR="00862D30" w:rsidRPr="00D34741" w:rsidRDefault="00862D30" w:rsidP="00862D30">
      <w:pPr>
        <w:jc w:val="both"/>
        <w:rPr>
          <w:rFonts w:ascii="Times New Roman" w:hAnsi="Times New Roman"/>
          <w:i/>
          <w:iCs/>
          <w:lang w:val="es-ES_tradnl"/>
        </w:rPr>
      </w:pPr>
      <w:r w:rsidRPr="00D34741">
        <w:rPr>
          <w:rFonts w:ascii="Times New Roman" w:hAnsi="Times New Roman"/>
          <w:i/>
          <w:iCs/>
          <w:lang w:val="es-ES_tradnl"/>
        </w:rPr>
        <w:t>Preguntas Específicas</w:t>
      </w:r>
      <w:r w:rsidRPr="00EE14E1">
        <w:rPr>
          <w:rFonts w:ascii="Times New Roman" w:hAnsi="Times New Roman"/>
          <w:i/>
          <w:iCs/>
          <w:lang w:val="es-ES_tradnl"/>
        </w:rPr>
        <w:t xml:space="preserve"> </w:t>
      </w:r>
    </w:p>
    <w:p w14:paraId="1A0FD978" w14:textId="77777777" w:rsidR="00862D30" w:rsidRPr="00EE14E1" w:rsidRDefault="00862D30" w:rsidP="00862D30">
      <w:pPr>
        <w:numPr>
          <w:ilvl w:val="0"/>
          <w:numId w:val="4"/>
        </w:numPr>
        <w:jc w:val="both"/>
        <w:rPr>
          <w:rFonts w:ascii="Times New Roman" w:hAnsi="Times New Roman"/>
          <w:lang w:val="es-ES_tradnl"/>
        </w:rPr>
      </w:pPr>
      <w:r w:rsidRPr="00EE14E1">
        <w:rPr>
          <w:rFonts w:ascii="Times New Roman" w:hAnsi="Times New Roman"/>
          <w:lang w:val="es-ES_tradnl"/>
        </w:rPr>
        <w:t xml:space="preserve">¿En qué medida el conocimiento organizacional (COR) incide en los componentes de la </w:t>
      </w:r>
      <w:r>
        <w:rPr>
          <w:rFonts w:ascii="Times New Roman" w:hAnsi="Times New Roman"/>
          <w:lang w:val="es-ES_tradnl"/>
        </w:rPr>
        <w:t>Capacidad de Absorción</w:t>
      </w:r>
      <w:r w:rsidRPr="00EE14E1">
        <w:rPr>
          <w:rFonts w:ascii="Times New Roman" w:hAnsi="Times New Roman"/>
          <w:lang w:val="es-ES_tradnl"/>
        </w:rPr>
        <w:t>?</w:t>
      </w:r>
    </w:p>
    <w:p w14:paraId="6D16966D" w14:textId="77777777" w:rsidR="00862D30" w:rsidRPr="00EE14E1" w:rsidRDefault="00862D30" w:rsidP="00862D30">
      <w:pPr>
        <w:numPr>
          <w:ilvl w:val="0"/>
          <w:numId w:val="4"/>
        </w:numPr>
        <w:jc w:val="both"/>
        <w:rPr>
          <w:rFonts w:ascii="Times New Roman" w:hAnsi="Times New Roman"/>
          <w:lang w:val="es-ES_tradnl"/>
        </w:rPr>
      </w:pPr>
      <w:r w:rsidRPr="00EE14E1">
        <w:rPr>
          <w:rFonts w:ascii="Times New Roman" w:hAnsi="Times New Roman"/>
          <w:lang w:val="es-ES_tradnl"/>
        </w:rPr>
        <w:t xml:space="preserve">¿En qué medida la formalización (FOR) incide en </w:t>
      </w:r>
      <w:r>
        <w:rPr>
          <w:rFonts w:ascii="Times New Roman" w:hAnsi="Times New Roman"/>
          <w:lang w:val="es-ES_tradnl"/>
        </w:rPr>
        <w:t>la PACAP y RACAP</w:t>
      </w:r>
      <w:r w:rsidRPr="00EE14E1">
        <w:rPr>
          <w:rFonts w:ascii="Times New Roman" w:hAnsi="Times New Roman"/>
          <w:lang w:val="es-ES_tradnl"/>
        </w:rPr>
        <w:t>?</w:t>
      </w:r>
    </w:p>
    <w:p w14:paraId="1695B887" w14:textId="77777777" w:rsidR="00862D30" w:rsidRPr="00D34741" w:rsidRDefault="00862D30" w:rsidP="00862D30">
      <w:pPr>
        <w:numPr>
          <w:ilvl w:val="0"/>
          <w:numId w:val="4"/>
        </w:numPr>
        <w:jc w:val="both"/>
        <w:rPr>
          <w:rFonts w:ascii="Times New Roman" w:hAnsi="Times New Roman"/>
          <w:lang w:val="es-ES_tradnl"/>
        </w:rPr>
      </w:pPr>
      <w:r w:rsidRPr="00D34741">
        <w:rPr>
          <w:rFonts w:ascii="Times New Roman" w:hAnsi="Times New Roman"/>
          <w:lang w:val="es-ES_tradnl"/>
        </w:rPr>
        <w:t xml:space="preserve">¿Cuál es la relación entre </w:t>
      </w:r>
      <w:r>
        <w:rPr>
          <w:rFonts w:ascii="Times New Roman" w:hAnsi="Times New Roman"/>
          <w:lang w:val="es-ES_tradnl"/>
        </w:rPr>
        <w:t>P</w:t>
      </w:r>
      <w:r w:rsidRPr="00D34741">
        <w:rPr>
          <w:rFonts w:ascii="Times New Roman" w:hAnsi="Times New Roman"/>
          <w:lang w:val="es-ES_tradnl"/>
        </w:rPr>
        <w:t>ACAP</w:t>
      </w:r>
      <w:r>
        <w:rPr>
          <w:rFonts w:ascii="Times New Roman" w:hAnsi="Times New Roman"/>
          <w:lang w:val="es-ES_tradnl"/>
        </w:rPr>
        <w:t xml:space="preserve"> y RACAP</w:t>
      </w:r>
      <w:r w:rsidRPr="00D34741">
        <w:rPr>
          <w:rFonts w:ascii="Times New Roman" w:hAnsi="Times New Roman"/>
          <w:lang w:val="es-ES_tradnl"/>
        </w:rPr>
        <w:t xml:space="preserve"> y los Mecanismos de Integración Social (MIS)?</w:t>
      </w:r>
    </w:p>
    <w:p w14:paraId="08D4E04C" w14:textId="77777777" w:rsidR="00862D30" w:rsidRPr="00193230" w:rsidRDefault="00862D30" w:rsidP="00862D30">
      <w:pPr>
        <w:jc w:val="both"/>
        <w:rPr>
          <w:rFonts w:ascii="Times New Roman" w:hAnsi="Times New Roman"/>
          <w:b/>
          <w:lang w:val="es-ES_tradnl"/>
        </w:rPr>
      </w:pPr>
    </w:p>
    <w:p w14:paraId="69AD817F" w14:textId="77777777" w:rsidR="00862D30" w:rsidRPr="00193230" w:rsidRDefault="00862D30" w:rsidP="00862D30">
      <w:pPr>
        <w:numPr>
          <w:ilvl w:val="1"/>
          <w:numId w:val="2"/>
        </w:numPr>
        <w:jc w:val="both"/>
        <w:rPr>
          <w:rFonts w:ascii="Times New Roman" w:hAnsi="Times New Roman"/>
          <w:b/>
          <w:lang w:val="es-ES_tradnl"/>
        </w:rPr>
      </w:pPr>
      <w:r w:rsidRPr="00193230">
        <w:rPr>
          <w:rFonts w:ascii="Times New Roman" w:hAnsi="Times New Roman"/>
          <w:b/>
          <w:lang w:val="es-ES_tradnl"/>
        </w:rPr>
        <w:t>Importancia de la Investigación (justificación</w:t>
      </w:r>
      <w:r>
        <w:rPr>
          <w:rFonts w:ascii="Times New Roman" w:hAnsi="Times New Roman"/>
          <w:b/>
          <w:lang w:val="es-ES_tradnl"/>
        </w:rPr>
        <w:t>, contribución</w:t>
      </w:r>
      <w:r w:rsidRPr="00193230">
        <w:rPr>
          <w:rFonts w:ascii="Times New Roman" w:hAnsi="Times New Roman"/>
          <w:b/>
          <w:lang w:val="es-ES_tradnl"/>
        </w:rPr>
        <w:t>)</w:t>
      </w:r>
    </w:p>
    <w:p w14:paraId="404DE6B0" w14:textId="3445B1D7" w:rsidR="00862D30" w:rsidRPr="003F4C0F" w:rsidRDefault="00862D30" w:rsidP="00862D30">
      <w:pPr>
        <w:jc w:val="both"/>
        <w:rPr>
          <w:rFonts w:ascii="Times New Roman" w:hAnsi="Times New Roman"/>
          <w:lang w:val="es-ES_tradnl"/>
        </w:rPr>
      </w:pPr>
      <w:r w:rsidRPr="003F4C0F">
        <w:rPr>
          <w:rFonts w:ascii="Times New Roman" w:hAnsi="Times New Roman"/>
          <w:lang w:val="es-ES_tradnl"/>
        </w:rPr>
        <w:t>E</w:t>
      </w:r>
      <w:r w:rsidRPr="00741039">
        <w:rPr>
          <w:rFonts w:ascii="Times New Roman" w:hAnsi="Times New Roman"/>
          <w:lang w:val="es-ES_tradnl"/>
        </w:rPr>
        <w:t xml:space="preserve">l estudio </w:t>
      </w:r>
      <w:r w:rsidRPr="003F4C0F">
        <w:rPr>
          <w:rFonts w:ascii="Times New Roman" w:hAnsi="Times New Roman"/>
          <w:lang w:val="es-ES_tradnl"/>
        </w:rPr>
        <w:t>abordará</w:t>
      </w:r>
      <w:r w:rsidRPr="00741039">
        <w:rPr>
          <w:rFonts w:ascii="Times New Roman" w:hAnsi="Times New Roman"/>
          <w:lang w:val="es-ES_tradnl"/>
        </w:rPr>
        <w:t xml:space="preserve"> la</w:t>
      </w:r>
      <w:r w:rsidRPr="003F4C0F">
        <w:rPr>
          <w:rFonts w:ascii="Times New Roman" w:hAnsi="Times New Roman"/>
          <w:lang w:val="es-ES_tradnl"/>
        </w:rPr>
        <w:t>s</w:t>
      </w:r>
      <w:r w:rsidRPr="00741039">
        <w:rPr>
          <w:rFonts w:ascii="Times New Roman" w:hAnsi="Times New Roman"/>
          <w:lang w:val="es-ES_tradnl"/>
        </w:rPr>
        <w:t xml:space="preserve"> brecha</w:t>
      </w:r>
      <w:r w:rsidRPr="003F4C0F">
        <w:rPr>
          <w:rFonts w:ascii="Times New Roman" w:hAnsi="Times New Roman"/>
          <w:lang w:val="es-ES_tradnl"/>
        </w:rPr>
        <w:t>s</w:t>
      </w:r>
      <w:r w:rsidRPr="00741039">
        <w:rPr>
          <w:rFonts w:ascii="Times New Roman" w:hAnsi="Times New Roman"/>
          <w:lang w:val="es-ES_tradnl"/>
        </w:rPr>
        <w:t xml:space="preserve"> de conocimiento teórico</w:t>
      </w:r>
      <w:r w:rsidRPr="003F4C0F">
        <w:rPr>
          <w:rFonts w:ascii="Times New Roman" w:hAnsi="Times New Roman"/>
          <w:lang w:val="es-ES_tradnl"/>
        </w:rPr>
        <w:t xml:space="preserve"> y de población</w:t>
      </w:r>
      <w:r w:rsidRPr="00741039">
        <w:rPr>
          <w:rFonts w:ascii="Times New Roman" w:hAnsi="Times New Roman"/>
          <w:lang w:val="es-ES_tradnl"/>
        </w:rPr>
        <w:t xml:space="preserve"> existentes</w:t>
      </w:r>
      <w:r w:rsidRPr="003F4C0F">
        <w:rPr>
          <w:rFonts w:ascii="Times New Roman" w:hAnsi="Times New Roman"/>
          <w:lang w:val="es-ES_tradnl"/>
        </w:rPr>
        <w:t xml:space="preserve"> sobre la Capacidad de Absorción</w:t>
      </w:r>
      <w:r w:rsidRPr="00741039">
        <w:rPr>
          <w:rFonts w:ascii="Times New Roman" w:hAnsi="Times New Roman"/>
          <w:lang w:val="es-ES_tradnl"/>
        </w:rPr>
        <w:t xml:space="preserve">, en tanto no existe consenso en la literatura sobre </w:t>
      </w:r>
      <w:r w:rsidRPr="003F4C0F">
        <w:rPr>
          <w:rFonts w:ascii="Times New Roman" w:hAnsi="Times New Roman"/>
          <w:lang w:val="es-ES_tradnl"/>
        </w:rPr>
        <w:t>sus</w:t>
      </w:r>
      <w:r w:rsidRPr="00741039">
        <w:rPr>
          <w:rFonts w:ascii="Times New Roman" w:hAnsi="Times New Roman"/>
          <w:lang w:val="es-ES_tradnl"/>
        </w:rPr>
        <w:t xml:space="preserve"> determinantes y no hay suficiente evidencia empírica para generalización en contextos de países emergentes.</w:t>
      </w:r>
      <w:r w:rsidRPr="003F4C0F">
        <w:rPr>
          <w:rFonts w:ascii="Times New Roman" w:hAnsi="Times New Roman"/>
          <w:lang w:val="es-ES_tradnl"/>
        </w:rPr>
        <w:t xml:space="preserve"> En cuanto a la brecha teórica, los estudios sobre los determinantes exploran distintos aspectos que pueden ser agrupados como factores vinculados con la naturaleza de los recursos empleados, con la gestión y dinámica social al interior de las empresas y con aspectos estratégicos. No obstante, la evidencia empírica se muestra limitada y en algunos casos incompleta, porque no abordan de manera integral la influencia de dichos determinantes en la forma como los modelos teóricos fueron planteados originalmente. Este es el caso del estudio de </w:t>
      </w:r>
      <w:r w:rsidRPr="003F4C0F">
        <w:rPr>
          <w:rFonts w:ascii="Times New Roman" w:hAnsi="Times New Roman"/>
          <w:lang w:val="es-ES_tradnl"/>
        </w:rPr>
        <w:fldChar w:fldCharType="begin"/>
      </w:r>
      <w:r>
        <w:rPr>
          <w:rFonts w:ascii="Times New Roman" w:hAnsi="Times New Roman"/>
          <w:lang w:val="es-ES_tradnl"/>
        </w:rPr>
        <w:instrText xml:space="preserve"> ADDIN ZOTERO_ITEM CSL_CITATION {"citationID":"hsggHh8A","properties":{"formattedCitation":"(Vega-Jurado et\\uc0\\u160{}al., 2008)","plainCitation":"(Vega-Jurado et al., 2008)","dontUpdate":true,"noteIndex":0},"citationItems":[{"id":1215,"uris":["http://zotero.org/users/6728605/items/MWZWPLUC"],"itemData":{"id":1215,"type":"article-journal","container-title":"R&amp;D Management","DOI":"10.1111/j.1467-9310.2008.00525.x","ISSN":"00336807, 14679310","issue":"4","language":"en","page":"392-405","source":"DOI.org (Crossref)","title":"Analyzing the determinants of firm's absorptive capacity: beyond R&amp;D","title-short":"Analyzing the determinants of firm's absorptive capacity","volume":"38","author":[{"family":"Vega-Jurado","given":"Jaider"},{"family":"Gutiérrez-Gracia","given":"Antonio"},{"family":"Fernández-de-Lucio","given":"Ignacio"}],"issued":{"date-parts":[["2008",9]]}}}],"schema":"https://github.com/citation-style-language/schema/raw/master/csl-citation.json"} </w:instrText>
      </w:r>
      <w:r w:rsidRPr="003F4C0F">
        <w:rPr>
          <w:rFonts w:ascii="Times New Roman" w:hAnsi="Times New Roman"/>
          <w:lang w:val="es-ES_tradnl"/>
        </w:rPr>
        <w:fldChar w:fldCharType="separate"/>
      </w:r>
      <w:r w:rsidRPr="00170D53">
        <w:rPr>
          <w:rFonts w:ascii="Times New Roman" w:hAnsi="Times New Roman"/>
          <w:lang w:val="es-ES"/>
        </w:rPr>
        <w:t>Vega-Jurado et al. (2008)</w:t>
      </w:r>
      <w:r w:rsidRPr="003F4C0F">
        <w:rPr>
          <w:rFonts w:ascii="Times New Roman" w:hAnsi="Times New Roman"/>
          <w:lang w:val="es-ES_tradnl"/>
        </w:rPr>
        <w:fldChar w:fldCharType="end"/>
      </w:r>
      <w:r w:rsidRPr="003F4C0F">
        <w:rPr>
          <w:rFonts w:ascii="Times New Roman" w:hAnsi="Times New Roman"/>
          <w:lang w:val="es-ES_tradnl"/>
        </w:rPr>
        <w:t xml:space="preserve"> que no termina de evaluar como la relación entre la PACAP y la RACAP es moderada por los Mecanismos de Integración Social, como en el modelo original de </w:t>
      </w:r>
      <w:r w:rsidRPr="003F4C0F">
        <w:rPr>
          <w:rFonts w:ascii="Times New Roman" w:hAnsi="Times New Roman"/>
          <w:lang w:val="es-ES_tradnl"/>
        </w:rPr>
        <w:fldChar w:fldCharType="begin"/>
      </w:r>
      <w:r>
        <w:rPr>
          <w:rFonts w:ascii="Times New Roman" w:hAnsi="Times New Roman"/>
          <w:lang w:val="es-ES_tradnl"/>
        </w:rPr>
        <w:instrText xml:space="preserve"> ADDIN ZOTERO_ITEM CSL_CITATION {"citationID":"Ki2xS0qA","properties":{"formattedCitation":"(Zahra &amp; George, 2002)","plainCitation":"(Zahra &amp; George, 2002)","dontUpdate":true,"noteIndex":0},"citationItems":[{"id":939,"uris":["http://zotero.org/users/6728605/items/99Z2ANPE"],"itemData":{"id":939,"type":"article-journal","container-title":"The Academy of Management Review","DOI":"10.2307/4134351","ISSN":"03637425","issue":"2","journalAbbreviation":"The Academy of Management Review","page":"185","source":"DOI.org (Crossref)","title":"Absorptive Capacity: A Review, Reconceptualization, and Extension","title-short":"Absorptive Capacity","volume":"27","author":[{"family":"Zahra","given":"Shaker A."},{"family":"George","given":"Gerard"}],"issued":{"date-parts":[["2002",4]]}}}],"schema":"https://github.com/citation-style-language/schema/raw/master/csl-citation.json"} </w:instrText>
      </w:r>
      <w:r w:rsidRPr="003F4C0F">
        <w:rPr>
          <w:rFonts w:ascii="Times New Roman" w:hAnsi="Times New Roman"/>
          <w:lang w:val="es-ES_tradnl"/>
        </w:rPr>
        <w:fldChar w:fldCharType="separate"/>
      </w:r>
      <w:r w:rsidRPr="00170D53">
        <w:rPr>
          <w:rFonts w:ascii="Times New Roman" w:hAnsi="Times New Roman"/>
          <w:lang w:val="es-ES"/>
        </w:rPr>
        <w:t>Zahra &amp; George (2002)</w:t>
      </w:r>
      <w:r w:rsidRPr="003F4C0F">
        <w:rPr>
          <w:rFonts w:ascii="Times New Roman" w:hAnsi="Times New Roman"/>
          <w:lang w:val="es-ES_tradnl"/>
        </w:rPr>
        <w:fldChar w:fldCharType="end"/>
      </w:r>
      <w:r w:rsidRPr="003F4C0F">
        <w:rPr>
          <w:rFonts w:ascii="Times New Roman" w:hAnsi="Times New Roman"/>
          <w:lang w:val="es-ES_tradnl"/>
        </w:rPr>
        <w:t xml:space="preserve">. </w:t>
      </w:r>
    </w:p>
    <w:p w14:paraId="0797C9F4" w14:textId="77777777" w:rsidR="00862D30" w:rsidRPr="003F4C0F" w:rsidRDefault="00862D30" w:rsidP="00862D30">
      <w:pPr>
        <w:jc w:val="both"/>
        <w:rPr>
          <w:rFonts w:ascii="Times New Roman" w:hAnsi="Times New Roman"/>
          <w:lang w:val="es-ES_tradnl"/>
        </w:rPr>
      </w:pPr>
      <w:r w:rsidRPr="003F4C0F">
        <w:rPr>
          <w:rFonts w:ascii="Times New Roman" w:hAnsi="Times New Roman"/>
          <w:lang w:val="es-ES_tradnl"/>
        </w:rPr>
        <w:t xml:space="preserve">Del mismo modo, el estudio contribuirá en la generación de evidencia en países emergentes como el Perú, en el que se cuenta con limitados factores contextuales </w:t>
      </w:r>
      <w:r w:rsidRPr="003F4C0F">
        <w:rPr>
          <w:rFonts w:ascii="Times New Roman" w:hAnsi="Times New Roman"/>
          <w:lang w:val="es-ES_tradnl"/>
        </w:rPr>
        <w:lastRenderedPageBreak/>
        <w:t>favorables para la absorción de conocimiento y tecnología, pero magros avances en cuanto a su explotación. En ese sentido, se pretende contribuir en la generación de evidencia sobre una población que ha sido estudiada de manera exigua, como aquella ubicada en países emergentes de Latinoamérica. El estudio sobre las empresas de manufactura del Perú puede visibilizar diferencias en los efectos de los determinantes en empresas consolidadas y de mayor tamaño, en comparación con pequeñas y microempresas.</w:t>
      </w:r>
    </w:p>
    <w:p w14:paraId="652B4B36" w14:textId="77777777" w:rsidR="00862D30" w:rsidRPr="00193230" w:rsidRDefault="00862D30" w:rsidP="00862D30">
      <w:pPr>
        <w:jc w:val="both"/>
        <w:rPr>
          <w:rFonts w:ascii="Times New Roman" w:hAnsi="Times New Roman"/>
          <w:b/>
          <w:lang w:val="es-ES_tradnl"/>
        </w:rPr>
      </w:pPr>
    </w:p>
    <w:p w14:paraId="48F151F3" w14:textId="77777777" w:rsidR="00862D30" w:rsidRPr="00193230" w:rsidRDefault="00862D30" w:rsidP="00862D30">
      <w:pPr>
        <w:numPr>
          <w:ilvl w:val="1"/>
          <w:numId w:val="2"/>
        </w:numPr>
        <w:jc w:val="both"/>
        <w:rPr>
          <w:rFonts w:ascii="Times New Roman" w:hAnsi="Times New Roman"/>
          <w:b/>
          <w:lang w:val="es-ES_tradnl"/>
        </w:rPr>
      </w:pPr>
      <w:r w:rsidRPr="00193230">
        <w:rPr>
          <w:rFonts w:ascii="Times New Roman" w:hAnsi="Times New Roman"/>
          <w:b/>
          <w:lang w:val="es-ES_tradnl"/>
        </w:rPr>
        <w:t>Limitaciones</w:t>
      </w:r>
    </w:p>
    <w:p w14:paraId="6CE1B05D" w14:textId="77777777" w:rsidR="00862D30" w:rsidRDefault="00862D30" w:rsidP="00862D30">
      <w:pPr>
        <w:jc w:val="both"/>
        <w:rPr>
          <w:rFonts w:ascii="Times New Roman" w:hAnsi="Times New Roman"/>
          <w:bCs/>
          <w:lang w:val="es-ES_tradnl"/>
        </w:rPr>
      </w:pPr>
      <w:r w:rsidRPr="00132051">
        <w:rPr>
          <w:rFonts w:ascii="Times New Roman" w:hAnsi="Times New Roman"/>
          <w:bCs/>
          <w:lang w:val="es-ES_tradnl"/>
        </w:rPr>
        <w:t>El estudio se lleva a cabo en un momento en el tiempo (corte transversal)</w:t>
      </w:r>
      <w:r>
        <w:rPr>
          <w:rFonts w:ascii="Times New Roman" w:hAnsi="Times New Roman"/>
          <w:bCs/>
          <w:lang w:val="es-ES_tradnl"/>
        </w:rPr>
        <w:t xml:space="preserve">, toda vez que llevar a cabo un estudio longitudinal puede exceder el plazo para realizar la investigación (cambios en las variables de interés pueden exceder los 4 años) y no aseguran la integridad de los datos. Asimismo, el estudio abarcará a empresas del sector de la manufactura, debido a que se pretende estudiar la absorción de conocimiento y tecnología en el segmento de empresas en los que tiene un impacto alto, tanto en sus estructuras organizacionales y configuraciones tecnológicas de producción. </w:t>
      </w:r>
    </w:p>
    <w:p w14:paraId="2937DEDE" w14:textId="77777777" w:rsidR="00862D30" w:rsidRPr="00132051" w:rsidRDefault="00862D30" w:rsidP="00862D30">
      <w:pPr>
        <w:jc w:val="both"/>
        <w:rPr>
          <w:rFonts w:ascii="Times New Roman" w:hAnsi="Times New Roman"/>
          <w:bCs/>
          <w:lang w:val="es-ES_tradnl"/>
        </w:rPr>
      </w:pPr>
    </w:p>
    <w:p w14:paraId="5F6DA085" w14:textId="77777777" w:rsidR="00862D30" w:rsidRPr="00193230" w:rsidRDefault="00862D30" w:rsidP="00862D30">
      <w:pPr>
        <w:numPr>
          <w:ilvl w:val="1"/>
          <w:numId w:val="2"/>
        </w:numPr>
        <w:jc w:val="both"/>
        <w:rPr>
          <w:rFonts w:ascii="Times New Roman" w:hAnsi="Times New Roman"/>
          <w:b/>
          <w:lang w:val="es-ES_tradnl"/>
        </w:rPr>
      </w:pPr>
      <w:r w:rsidRPr="00193230">
        <w:rPr>
          <w:rFonts w:ascii="Times New Roman" w:hAnsi="Times New Roman"/>
          <w:b/>
          <w:lang w:val="es-ES_tradnl"/>
        </w:rPr>
        <w:t>Delimitaciones</w:t>
      </w:r>
    </w:p>
    <w:p w14:paraId="0BB3FF29" w14:textId="77777777" w:rsidR="00862D30" w:rsidRPr="00F77D96" w:rsidRDefault="00862D30" w:rsidP="00862D30">
      <w:pPr>
        <w:pStyle w:val="ListParagraph"/>
        <w:ind w:left="0"/>
        <w:rPr>
          <w:rFonts w:ascii="Times New Roman" w:hAnsi="Times New Roman"/>
          <w:lang w:val="es-ES_tradnl"/>
        </w:rPr>
      </w:pPr>
      <w:r w:rsidRPr="00F77D96">
        <w:rPr>
          <w:rFonts w:ascii="Times New Roman" w:hAnsi="Times New Roman"/>
          <w:lang w:val="es-ES_tradnl"/>
        </w:rPr>
        <w:t>Las delimitaciones son listadas a continuación:</w:t>
      </w:r>
    </w:p>
    <w:p w14:paraId="13509081" w14:textId="77777777" w:rsidR="00862D30" w:rsidRPr="00793849" w:rsidRDefault="00862D30" w:rsidP="00862D30">
      <w:pPr>
        <w:pStyle w:val="ListParagraph"/>
        <w:numPr>
          <w:ilvl w:val="0"/>
          <w:numId w:val="5"/>
        </w:numPr>
        <w:rPr>
          <w:rFonts w:ascii="Times New Roman" w:hAnsi="Times New Roman"/>
          <w:lang w:val="es-PE"/>
        </w:rPr>
      </w:pPr>
      <w:r w:rsidRPr="00F77D96">
        <w:rPr>
          <w:rFonts w:ascii="Times New Roman" w:hAnsi="Times New Roman"/>
          <w:lang w:val="es-ES"/>
        </w:rPr>
        <w:t xml:space="preserve">El estudio abarca a empresas de manufactura. </w:t>
      </w:r>
    </w:p>
    <w:p w14:paraId="14C458B7" w14:textId="77777777" w:rsidR="00862D30" w:rsidRPr="00793849" w:rsidRDefault="00862D30" w:rsidP="00862D30">
      <w:pPr>
        <w:pStyle w:val="ListParagraph"/>
        <w:numPr>
          <w:ilvl w:val="0"/>
          <w:numId w:val="5"/>
        </w:numPr>
        <w:rPr>
          <w:rFonts w:ascii="Times New Roman" w:hAnsi="Times New Roman"/>
          <w:lang w:val="es-PE"/>
        </w:rPr>
      </w:pPr>
      <w:r w:rsidRPr="00F77D96">
        <w:rPr>
          <w:rFonts w:ascii="Times New Roman" w:hAnsi="Times New Roman"/>
          <w:lang w:val="es-ES"/>
        </w:rPr>
        <w:t xml:space="preserve">Unidad de información: la empresa e informantes clave (gerentes) que informen sobre la empresa. </w:t>
      </w:r>
    </w:p>
    <w:p w14:paraId="4B8C32A1" w14:textId="77777777" w:rsidR="00862D30" w:rsidRPr="00793849" w:rsidRDefault="00862D30" w:rsidP="00862D30">
      <w:pPr>
        <w:pStyle w:val="ListParagraph"/>
        <w:numPr>
          <w:ilvl w:val="0"/>
          <w:numId w:val="5"/>
        </w:numPr>
        <w:rPr>
          <w:rFonts w:ascii="Times New Roman" w:hAnsi="Times New Roman"/>
          <w:lang w:val="es-PE"/>
        </w:rPr>
      </w:pPr>
      <w:r w:rsidRPr="00F77D96">
        <w:rPr>
          <w:rFonts w:ascii="Times New Roman" w:hAnsi="Times New Roman"/>
          <w:lang w:val="es-ES"/>
        </w:rPr>
        <w:t>No se recoge datos de otros individuos dentro de la empresa, con los que se podría evaluar determinantes que requerirían otras unidades de información.</w:t>
      </w:r>
    </w:p>
    <w:p w14:paraId="5C7F35A2" w14:textId="77777777" w:rsidR="00862D30" w:rsidRDefault="00862D30" w:rsidP="00862D30">
      <w:pPr>
        <w:pStyle w:val="ListParagraph"/>
        <w:ind w:left="0"/>
        <w:rPr>
          <w:rFonts w:ascii="Times New Roman" w:hAnsi="Times New Roman"/>
          <w:color w:val="1F4E79"/>
          <w:lang w:val="es-ES_tradnl"/>
        </w:rPr>
      </w:pPr>
    </w:p>
    <w:p w14:paraId="17397E51" w14:textId="77777777" w:rsidR="00862D30" w:rsidRPr="00193230" w:rsidRDefault="00862D30" w:rsidP="00862D30">
      <w:pPr>
        <w:jc w:val="both"/>
        <w:rPr>
          <w:rFonts w:ascii="Times New Roman" w:hAnsi="Times New Roman"/>
          <w:b/>
          <w:lang w:val="es-ES_tradnl"/>
        </w:rPr>
      </w:pPr>
      <w:r w:rsidRPr="00193230">
        <w:rPr>
          <w:rFonts w:ascii="Times New Roman" w:hAnsi="Times New Roman"/>
          <w:b/>
          <w:lang w:val="es-ES_tradnl"/>
        </w:rPr>
        <w:t>1.8 Supuestos</w:t>
      </w:r>
    </w:p>
    <w:p w14:paraId="13AFA393" w14:textId="3FD7B79F" w:rsidR="00862D30" w:rsidRPr="00E908EE" w:rsidRDefault="00862D30" w:rsidP="00862D30">
      <w:pPr>
        <w:pStyle w:val="ListParagraph"/>
        <w:ind w:left="0"/>
        <w:rPr>
          <w:rFonts w:ascii="Times New Roman" w:hAnsi="Times New Roman"/>
          <w:lang w:val="es-ES_tradnl"/>
        </w:rPr>
      </w:pPr>
      <w:r w:rsidRPr="00E908EE">
        <w:rPr>
          <w:rFonts w:ascii="Times New Roman" w:hAnsi="Times New Roman"/>
          <w:lang w:val="es-ES_tradnl"/>
        </w:rPr>
        <w:t>Entre los supuestos se incluye la homogeneidad del efecto de las variables contextuales en todas las empresas, sin importar el tamaño de éstas o las características del entramado industrial al que pertenecen.</w:t>
      </w:r>
    </w:p>
    <w:p w14:paraId="5422F014" w14:textId="77777777" w:rsidR="00862D30" w:rsidRPr="00193230" w:rsidRDefault="00862D30" w:rsidP="00862D30">
      <w:pPr>
        <w:pStyle w:val="ListParagraph"/>
        <w:ind w:left="0"/>
        <w:rPr>
          <w:rFonts w:ascii="Times New Roman" w:hAnsi="Times New Roman"/>
          <w:b/>
          <w:lang w:val="es-ES_tradnl"/>
        </w:rPr>
      </w:pPr>
    </w:p>
    <w:p w14:paraId="5B611983" w14:textId="77777777" w:rsidR="00862D30" w:rsidRPr="00193230" w:rsidRDefault="00862D30" w:rsidP="00862D30">
      <w:pPr>
        <w:jc w:val="both"/>
        <w:rPr>
          <w:rFonts w:ascii="Times New Roman" w:hAnsi="Times New Roman"/>
          <w:b/>
          <w:lang w:val="es-ES_tradnl"/>
        </w:rPr>
      </w:pPr>
      <w:r w:rsidRPr="00193230">
        <w:rPr>
          <w:rFonts w:ascii="Times New Roman" w:hAnsi="Times New Roman"/>
          <w:b/>
          <w:lang w:val="es-ES_tradnl"/>
        </w:rPr>
        <w:t xml:space="preserve">1.9 Definiciones de </w:t>
      </w:r>
      <w:r>
        <w:rPr>
          <w:rFonts w:ascii="Times New Roman" w:hAnsi="Times New Roman"/>
          <w:b/>
          <w:lang w:val="es-ES_tradnl"/>
        </w:rPr>
        <w:t>T</w:t>
      </w:r>
      <w:r w:rsidRPr="00193230">
        <w:rPr>
          <w:rFonts w:ascii="Times New Roman" w:hAnsi="Times New Roman"/>
          <w:b/>
          <w:lang w:val="es-ES_tradnl"/>
        </w:rPr>
        <w:t>érminos</w:t>
      </w:r>
    </w:p>
    <w:p w14:paraId="371CA629" w14:textId="4B560C82" w:rsidR="00862D30" w:rsidRPr="00C52044" w:rsidRDefault="00862D30" w:rsidP="00862D30">
      <w:pPr>
        <w:jc w:val="both"/>
        <w:rPr>
          <w:rFonts w:ascii="Times New Roman" w:hAnsi="Times New Roman"/>
          <w:b/>
          <w:lang w:val="es-ES_tradnl"/>
        </w:rPr>
      </w:pPr>
      <w:r w:rsidRPr="00C52044">
        <w:rPr>
          <w:rFonts w:ascii="Times New Roman" w:hAnsi="Times New Roman"/>
          <w:lang w:val="es-ES_tradnl"/>
        </w:rPr>
        <w:t xml:space="preserve">MIPYME: empresas que pueden ser catalogadas como micro, pequeñas o medianas a partir del número de sus trabajadores. De acuerdo a la Sociedad Alemana de Cooperación Internacional (GTZ) &amp; Comisión Económica para América Latina y el Caribe (CEPAL), (2009), el umbral para considerar a una empresa como MIPYME en Latinoamérica </w:t>
      </w:r>
      <w:r>
        <w:rPr>
          <w:rFonts w:ascii="Times New Roman" w:hAnsi="Times New Roman"/>
          <w:lang w:val="es-ES_tradnl"/>
        </w:rPr>
        <w:t>oscila entre</w:t>
      </w:r>
      <w:r w:rsidRPr="00C52044">
        <w:rPr>
          <w:rFonts w:ascii="Times New Roman" w:hAnsi="Times New Roman"/>
          <w:lang w:val="es-ES_tradnl"/>
        </w:rPr>
        <w:t xml:space="preserve"> 49 a 499 trabajadores, pero dicho número var</w:t>
      </w:r>
      <w:r>
        <w:rPr>
          <w:rFonts w:ascii="Times New Roman" w:hAnsi="Times New Roman"/>
          <w:lang w:val="es-ES_tradnl"/>
        </w:rPr>
        <w:t>í</w:t>
      </w:r>
      <w:r w:rsidRPr="00C52044">
        <w:rPr>
          <w:rFonts w:ascii="Times New Roman" w:hAnsi="Times New Roman"/>
          <w:lang w:val="es-ES_tradnl"/>
        </w:rPr>
        <w:t>a dependiendo del país y de sus posibilidades económicas.</w:t>
      </w:r>
    </w:p>
    <w:p w14:paraId="611F3820" w14:textId="77777777" w:rsidR="00862D30" w:rsidRPr="00D25AFF" w:rsidRDefault="00862D30" w:rsidP="00862D30">
      <w:pPr>
        <w:numPr>
          <w:ilvl w:val="1"/>
          <w:numId w:val="2"/>
        </w:numPr>
        <w:rPr>
          <w:rFonts w:ascii="Times New Roman" w:hAnsi="Times New Roman"/>
          <w:b/>
          <w:lang w:val="es-ES_tradnl"/>
        </w:rPr>
      </w:pPr>
      <w:r>
        <w:rPr>
          <w:rFonts w:ascii="Times New Roman" w:hAnsi="Times New Roman"/>
          <w:b/>
          <w:lang w:val="es-ES_tradnl"/>
        </w:rPr>
        <w:t>Contribución a la Gestión Estratégica</w:t>
      </w:r>
    </w:p>
    <w:p w14:paraId="05B91D8A" w14:textId="2CA5DBC8" w:rsidR="00862D30" w:rsidRPr="009B6CAF" w:rsidRDefault="00862D30" w:rsidP="00862D30">
      <w:pPr>
        <w:jc w:val="both"/>
        <w:rPr>
          <w:rFonts w:ascii="Times New Roman" w:hAnsi="Times New Roman"/>
          <w:lang w:val="es-ES_tradnl"/>
        </w:rPr>
      </w:pPr>
      <w:r w:rsidRPr="009B6CAF">
        <w:rPr>
          <w:rFonts w:ascii="Times New Roman" w:hAnsi="Times New Roman"/>
          <w:lang w:val="es-ES_tradnl"/>
        </w:rPr>
        <w:t xml:space="preserve">La capacidad de Absorción es un constructo que es parte de las Capacidades Dinámicas, teoría desarrollada por </w:t>
      </w:r>
      <w:r w:rsidRPr="009B6CAF">
        <w:rPr>
          <w:rFonts w:ascii="Times New Roman" w:hAnsi="Times New Roman"/>
          <w:lang w:val="es-ES_tradnl"/>
        </w:rPr>
        <w:fldChar w:fldCharType="begin"/>
      </w:r>
      <w:r>
        <w:rPr>
          <w:rFonts w:ascii="Times New Roman" w:hAnsi="Times New Roman"/>
          <w:lang w:val="es-ES_tradnl"/>
        </w:rPr>
        <w:instrText xml:space="preserve"> ADDIN ZOTERO_ITEM CSL_CITATION {"citationID":"dEZDT73t","properties":{"formattedCitation":"(Teece et\\uc0\\u160{}al., 1997)","plainCitation":"(Teece et al., 1997)","noteIndex":0},"citationItems":[{"id":938,"uris":["http://zotero.org/users/6728605/items/T3TLDI8S"],"itemData":{"id":938,"type":"article-journal","container-title":"Strategic Management Journal","DOI":"10.1002/(SICI)1097-0266(199708)18:7&lt;509::AID-SMJ882&gt;3.0.CO;2-Z","ISSN":"0143-2095, 1097-0266","issue":"7","journalAbbreviation":"Strat. Mgmt. J.","language":"en","page":"509-533","source":"DOI.org (Crossref)","title":"Dynamic capabilities and strategic management","volume":"18","author":[{"family":"Teece","given":"David J."},{"family":"Pisano","given":"Gary"},{"family":"Shuen","given":"Amy"}],"issued":{"date-parts":[["1997",8]]}}}],"schema":"https://github.com/citation-style-language/schema/raw/master/csl-citation.json"} </w:instrText>
      </w:r>
      <w:r w:rsidRPr="009B6CAF">
        <w:rPr>
          <w:rFonts w:ascii="Times New Roman" w:hAnsi="Times New Roman"/>
          <w:lang w:val="es-ES_tradnl"/>
        </w:rPr>
        <w:fldChar w:fldCharType="separate"/>
      </w:r>
      <w:r w:rsidRPr="00170D53">
        <w:rPr>
          <w:rFonts w:ascii="Times New Roman" w:hAnsi="Times New Roman"/>
          <w:lang w:val="es-ES"/>
        </w:rPr>
        <w:t>(</w:t>
      </w:r>
      <w:proofErr w:type="spellStart"/>
      <w:r w:rsidRPr="00170D53">
        <w:rPr>
          <w:rFonts w:ascii="Times New Roman" w:hAnsi="Times New Roman"/>
          <w:lang w:val="es-ES"/>
        </w:rPr>
        <w:t>Teece</w:t>
      </w:r>
      <w:proofErr w:type="spellEnd"/>
      <w:r w:rsidRPr="00170D53">
        <w:rPr>
          <w:rFonts w:ascii="Times New Roman" w:hAnsi="Times New Roman"/>
          <w:lang w:val="es-ES"/>
        </w:rPr>
        <w:t xml:space="preserve"> et al., 1997)</w:t>
      </w:r>
      <w:r w:rsidRPr="009B6CAF">
        <w:rPr>
          <w:rFonts w:ascii="Times New Roman" w:hAnsi="Times New Roman"/>
          <w:lang w:val="es-ES_tradnl"/>
        </w:rPr>
        <w:fldChar w:fldCharType="end"/>
      </w:r>
      <w:r w:rsidRPr="009B6CAF">
        <w:rPr>
          <w:rFonts w:ascii="Times New Roman" w:hAnsi="Times New Roman"/>
          <w:lang w:val="es-ES_tradnl"/>
        </w:rPr>
        <w:t xml:space="preserve">, la cual propone que las empresas se adaptan y reconfiguran sus recursos y capacidades en función a las condiciones del entorno, de tal forma que desarrollan nuevas capacidades que les permiten alcanzar ventajas competitivas y sostenerlas en el tiempo. La Teoría de las Capacidades Dinámicas se vincula con la Teoría de las Ventajas Competitivas debido a la naturaleza cambiante del </w:t>
      </w:r>
      <w:proofErr w:type="spellStart"/>
      <w:r w:rsidRPr="009B6CAF">
        <w:rPr>
          <w:rFonts w:ascii="Times New Roman" w:hAnsi="Times New Roman"/>
          <w:lang w:val="es-ES_tradnl"/>
        </w:rPr>
        <w:t>entormo</w:t>
      </w:r>
      <w:proofErr w:type="spellEnd"/>
      <w:r w:rsidRPr="009B6CAF">
        <w:rPr>
          <w:rFonts w:ascii="Times New Roman" w:hAnsi="Times New Roman"/>
          <w:lang w:val="es-ES_tradnl"/>
        </w:rPr>
        <w:t xml:space="preserve"> y la necesidad de que las empresas puedan no solo adaptarse a él, sino competir de manera ventajosa </w:t>
      </w:r>
      <w:r w:rsidRPr="009B6CAF">
        <w:rPr>
          <w:rFonts w:ascii="Times New Roman" w:hAnsi="Times New Roman"/>
          <w:lang w:val="es-ES_tradnl"/>
        </w:rPr>
        <w:fldChar w:fldCharType="begin"/>
      </w:r>
      <w:r>
        <w:rPr>
          <w:rFonts w:ascii="Times New Roman" w:hAnsi="Times New Roman"/>
          <w:lang w:val="es-ES_tradnl"/>
        </w:rPr>
        <w:instrText xml:space="preserve"> ADDIN ZOTERO_ITEM CSL_CITATION {"citationID":"nvQJLlHg","properties":{"formattedCitation":"(Vivas, 2005)","plainCitation":"(Vivas, 2005)","noteIndex":0},"citationItems":[{"id":1093,"uris":["http://zotero.org/users/6728605/items/4UH27USV"],"itemData":{"id":1093,"type":"article-journal","abstract":"Purpose– The aim of this paper is to promote the use of dynamic capabilities as a strategic tool of the highest order in terms of firm management.Design/methodology/approach– The content of the article is develo</w:instrText>
      </w:r>
      <w:r>
        <w:rPr>
          <w:rFonts w:ascii="Times New Roman" w:hAnsi="Times New Roman" w:hint="eastAsia"/>
          <w:lang w:val="es-ES_tradnl"/>
        </w:rPr>
        <w:instrText>ped from a table that offers some insights into the relationship between the three theoretical perspectives analyzed in the paper: resource</w:instrText>
      </w:r>
      <w:r>
        <w:rPr>
          <w:rFonts w:ascii="Times New Roman" w:hAnsi="Times New Roman" w:hint="eastAsia"/>
          <w:lang w:val="es-ES_tradnl"/>
        </w:rPr>
        <w:instrText>‐</w:instrText>
      </w:r>
      <w:r>
        <w:rPr>
          <w:rFonts w:ascii="Times New Roman" w:hAnsi="Times New Roman" w:hint="eastAsia"/>
          <w:lang w:val="es-ES_tradnl"/>
        </w:rPr>
        <w:instrText>based view, knowledge</w:instrText>
      </w:r>
      <w:r>
        <w:rPr>
          <w:rFonts w:ascii="Times New Roman" w:hAnsi="Times New Roman" w:hint="eastAsia"/>
          <w:lang w:val="es-ES_tradnl"/>
        </w:rPr>
        <w:instrText>‐</w:instrText>
      </w:r>
      <w:r>
        <w:rPr>
          <w:rFonts w:ascii="Times New Roman" w:hAnsi="Times New Roman" w:hint="eastAsia"/>
          <w:lang w:val="es-ES_tradnl"/>
        </w:rPr>
        <w:instrText>based view and dynamic</w:instrText>
      </w:r>
      <w:r>
        <w:rPr>
          <w:rFonts w:ascii="Times New Roman" w:hAnsi="Times New Roman" w:hint="eastAsia"/>
          <w:lang w:val="es-ES_tradnl"/>
        </w:rPr>
        <w:instrText>‐</w:instrText>
      </w:r>
      <w:r>
        <w:rPr>
          <w:rFonts w:ascii="Times New Roman" w:hAnsi="Times New Roman" w:hint="eastAsia"/>
          <w:lang w:val="es-ES_tradnl"/>
        </w:rPr>
        <w:instrText>capabilities view.Findings</w:instrText>
      </w:r>
      <w:r>
        <w:rPr>
          <w:rFonts w:ascii="Times New Roman" w:hAnsi="Times New Roman" w:hint="eastAsia"/>
          <w:lang w:val="es-ES_tradnl"/>
        </w:rPr>
        <w:instrText>–</w:instrText>
      </w:r>
      <w:r>
        <w:rPr>
          <w:rFonts w:ascii="Times New Roman" w:hAnsi="Times New Roman" w:hint="eastAsia"/>
          <w:lang w:val="es-ES_tradnl"/>
        </w:rPr>
        <w:instrText xml:space="preserve"> The paper describes the evolution that can be discerned in the process of developing competitive advantage, from a resource</w:instrText>
      </w:r>
      <w:r>
        <w:rPr>
          <w:rFonts w:ascii="Times New Roman" w:hAnsi="Times New Roman" w:hint="eastAsia"/>
          <w:lang w:val="es-ES_tradnl"/>
        </w:rPr>
        <w:instrText>‐</w:instrText>
      </w:r>
      <w:r>
        <w:rPr>
          <w:rFonts w:ascii="Times New Roman" w:hAnsi="Times New Roman" w:hint="eastAsia"/>
          <w:lang w:val="es-ES_tradnl"/>
        </w:rPr>
        <w:instrText>based view to a dynamic</w:instrText>
      </w:r>
      <w:r>
        <w:rPr>
          <w:rFonts w:ascii="Times New Roman" w:hAnsi="Times New Roman" w:hint="eastAsia"/>
          <w:lang w:val="es-ES_tradnl"/>
        </w:rPr>
        <w:instrText>‐</w:instrText>
      </w:r>
      <w:r>
        <w:rPr>
          <w:rFonts w:ascii="Times New Roman" w:hAnsi="Times New Roman" w:hint="eastAsia"/>
          <w:lang w:val="es-ES_tradnl"/>
        </w:rPr>
        <w:instrText>capabilities framework.Originality/value</w:instrText>
      </w:r>
      <w:r>
        <w:rPr>
          <w:rFonts w:ascii="Times New Roman" w:hAnsi="Times New Roman" w:hint="eastAsia"/>
          <w:lang w:val="es-ES_tradnl"/>
        </w:rPr>
        <w:instrText>–</w:instrText>
      </w:r>
      <w:r>
        <w:rPr>
          <w:rFonts w:ascii="Times New Roman" w:hAnsi="Times New Roman" w:hint="eastAsia"/>
          <w:lang w:val="es-ES_tradnl"/>
        </w:rPr>
        <w:instrText xml:space="preserve"> The objective of the article was not to bring to light any new revelations in this field of investigation, </w:instrText>
      </w:r>
      <w:r>
        <w:rPr>
          <w:rFonts w:ascii="Times New Roman" w:hAnsi="Times New Roman"/>
          <w:lang w:val="es-ES_tradnl"/>
        </w:rPr>
        <w:instrText xml:space="preserve">but is intended as a theoretical reflection on the implications of dynamic capabilities for firms and managers.","container-title":"Management Decision","DOI":"10.1108/00251740510597699","ISSN":"0025-1747","issue":"5","note":"publisher: Emerald Group Publishing Limited","page":"661-669","source":"Emerald Insight","title":"Competitive advantage and strategy formulation: The key role of dynamic capabilities","title-short":"Competitive advantage and strategy formulation","volume":"43","author":[{"family":"Vivas","given":"López Salvador"}],"issued":{"date-parts":[["2005",1,1]]}}}],"schema":"https://github.com/citation-style-language/schema/raw/master/csl-citation.json"} </w:instrText>
      </w:r>
      <w:r w:rsidRPr="009B6CAF">
        <w:rPr>
          <w:rFonts w:ascii="Times New Roman" w:hAnsi="Times New Roman"/>
          <w:lang w:val="es-ES_tradnl"/>
        </w:rPr>
        <w:fldChar w:fldCharType="separate"/>
      </w:r>
      <w:r w:rsidRPr="00170D53">
        <w:rPr>
          <w:rFonts w:ascii="Times New Roman" w:hAnsi="Times New Roman"/>
          <w:lang w:val="es-ES"/>
        </w:rPr>
        <w:t>(Vivas, 2005)</w:t>
      </w:r>
      <w:r w:rsidRPr="009B6CAF">
        <w:rPr>
          <w:rFonts w:ascii="Times New Roman" w:hAnsi="Times New Roman"/>
          <w:lang w:val="es-ES_tradnl"/>
        </w:rPr>
        <w:fldChar w:fldCharType="end"/>
      </w:r>
      <w:r w:rsidRPr="009B6CAF">
        <w:rPr>
          <w:rFonts w:ascii="Times New Roman" w:hAnsi="Times New Roman"/>
          <w:lang w:val="es-ES_tradnl"/>
        </w:rPr>
        <w:t>.</w:t>
      </w:r>
    </w:p>
    <w:p w14:paraId="5C47D41C" w14:textId="4023E8F6" w:rsidR="00862D30" w:rsidRDefault="00862D30">
      <w:pPr>
        <w:spacing w:after="160" w:line="259" w:lineRule="auto"/>
        <w:rPr>
          <w:lang w:val="es-ES_tradnl"/>
        </w:rPr>
      </w:pPr>
      <w:r>
        <w:rPr>
          <w:lang w:val="es-ES_tradnl"/>
        </w:rPr>
        <w:br w:type="page"/>
      </w:r>
    </w:p>
    <w:p w14:paraId="3CACF64A" w14:textId="1CFF4F6D" w:rsidR="0005022D" w:rsidRPr="00862D30" w:rsidRDefault="00862D30" w:rsidP="00862D30">
      <w:pPr>
        <w:rPr>
          <w:rFonts w:ascii="Times New Roman" w:hAnsi="Times New Roman"/>
          <w:b/>
          <w:bCs/>
          <w:lang w:val="es-ES_tradnl"/>
        </w:rPr>
      </w:pPr>
      <w:r w:rsidRPr="00862D30">
        <w:rPr>
          <w:rFonts w:ascii="Times New Roman" w:hAnsi="Times New Roman"/>
          <w:b/>
          <w:bCs/>
          <w:lang w:val="es-ES_tradnl"/>
        </w:rPr>
        <w:lastRenderedPageBreak/>
        <w:t>REFERENCIAS</w:t>
      </w:r>
    </w:p>
    <w:p w14:paraId="63EAB962"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lang w:val="es-ES_tradnl"/>
        </w:rPr>
        <w:fldChar w:fldCharType="begin"/>
      </w:r>
      <w:r w:rsidRPr="00862D30">
        <w:rPr>
          <w:rFonts w:ascii="Times New Roman" w:hAnsi="Times New Roman"/>
        </w:rPr>
        <w:instrText xml:space="preserve"> ADDIN ZOTERO_BIBL {"uncited":[],"omitted":[],"custom":[]} CSL_BIBLIOGRAPHY </w:instrText>
      </w:r>
      <w:r w:rsidRPr="00862D30">
        <w:rPr>
          <w:rFonts w:ascii="Times New Roman" w:hAnsi="Times New Roman"/>
          <w:lang w:val="es-ES_tradnl"/>
        </w:rPr>
        <w:fldChar w:fldCharType="separate"/>
      </w:r>
      <w:r w:rsidRPr="00862D30">
        <w:rPr>
          <w:rFonts w:ascii="Times New Roman" w:hAnsi="Times New Roman"/>
        </w:rPr>
        <w:t xml:space="preserve">Cohen, W. M., &amp; Levinthal, D. A. (1990). Absorptive Capacity: A New Perspective on Learning and Innovation. </w:t>
      </w:r>
      <w:r w:rsidRPr="00862D30">
        <w:rPr>
          <w:rFonts w:ascii="Times New Roman" w:hAnsi="Times New Roman"/>
          <w:i/>
          <w:iCs/>
        </w:rPr>
        <w:t>Administrative Science Quarterly</w:t>
      </w:r>
      <w:r w:rsidRPr="00862D30">
        <w:rPr>
          <w:rFonts w:ascii="Times New Roman" w:hAnsi="Times New Roman"/>
        </w:rPr>
        <w:t xml:space="preserve">, </w:t>
      </w:r>
      <w:r w:rsidRPr="00862D30">
        <w:rPr>
          <w:rFonts w:ascii="Times New Roman" w:hAnsi="Times New Roman"/>
          <w:i/>
          <w:iCs/>
        </w:rPr>
        <w:t>35</w:t>
      </w:r>
      <w:r w:rsidRPr="00862D30">
        <w:rPr>
          <w:rFonts w:ascii="Times New Roman" w:hAnsi="Times New Roman"/>
        </w:rPr>
        <w:t>(1), 128. https://doi.org/10.2307/2393553</w:t>
      </w:r>
    </w:p>
    <w:p w14:paraId="3ED6CEB3"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Grant, R. M. (1988). On ‘dominant logic’, relatedness and the link between diversity and performance. </w:t>
      </w:r>
      <w:r w:rsidRPr="00862D30">
        <w:rPr>
          <w:rFonts w:ascii="Times New Roman" w:hAnsi="Times New Roman"/>
          <w:i/>
          <w:iCs/>
        </w:rPr>
        <w:t>Strategic Management Journal</w:t>
      </w:r>
      <w:r w:rsidRPr="00862D30">
        <w:rPr>
          <w:rFonts w:ascii="Times New Roman" w:hAnsi="Times New Roman"/>
        </w:rPr>
        <w:t xml:space="preserve">, </w:t>
      </w:r>
      <w:r w:rsidRPr="00862D30">
        <w:rPr>
          <w:rFonts w:ascii="Times New Roman" w:hAnsi="Times New Roman"/>
          <w:i/>
          <w:iCs/>
        </w:rPr>
        <w:t>9</w:t>
      </w:r>
      <w:r w:rsidRPr="00862D30">
        <w:rPr>
          <w:rFonts w:ascii="Times New Roman" w:hAnsi="Times New Roman"/>
        </w:rPr>
        <w:t>(6), 639-642. https://doi.org/10.1002/smj.4250090610</w:t>
      </w:r>
    </w:p>
    <w:p w14:paraId="51C48AA8"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Hausmann, R., Harvard University, &amp; Center for International Development. (2011). </w:t>
      </w:r>
      <w:r w:rsidRPr="00862D30">
        <w:rPr>
          <w:rFonts w:ascii="Times New Roman" w:hAnsi="Times New Roman"/>
          <w:i/>
          <w:iCs/>
        </w:rPr>
        <w:t>The Atlas of economic complexity: Mapping paths to prosperity</w:t>
      </w:r>
      <w:r w:rsidRPr="00862D30">
        <w:rPr>
          <w:rFonts w:ascii="Times New Roman" w:hAnsi="Times New Roman"/>
        </w:rPr>
        <w:t>. Center for International Development, Harvard University. http://atlas.media.mit.edu/book/</w:t>
      </w:r>
    </w:p>
    <w:p w14:paraId="7C0842DE"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Lane, P. J., &amp; </w:t>
      </w:r>
      <w:proofErr w:type="spellStart"/>
      <w:r w:rsidRPr="00862D30">
        <w:rPr>
          <w:rFonts w:ascii="Times New Roman" w:hAnsi="Times New Roman"/>
        </w:rPr>
        <w:t>Lubatkin</w:t>
      </w:r>
      <w:proofErr w:type="spellEnd"/>
      <w:r w:rsidRPr="00862D30">
        <w:rPr>
          <w:rFonts w:ascii="Times New Roman" w:hAnsi="Times New Roman"/>
        </w:rPr>
        <w:t xml:space="preserve">, M. (1998). Relative absorptive capacity and interorganizational learning. </w:t>
      </w:r>
      <w:r w:rsidRPr="00862D30">
        <w:rPr>
          <w:rFonts w:ascii="Times New Roman" w:hAnsi="Times New Roman"/>
          <w:i/>
          <w:iCs/>
        </w:rPr>
        <w:t>Strategic Management Journal</w:t>
      </w:r>
      <w:r w:rsidRPr="00862D30">
        <w:rPr>
          <w:rFonts w:ascii="Times New Roman" w:hAnsi="Times New Roman"/>
        </w:rPr>
        <w:t xml:space="preserve">, </w:t>
      </w:r>
      <w:r w:rsidRPr="00862D30">
        <w:rPr>
          <w:rFonts w:ascii="Times New Roman" w:hAnsi="Times New Roman"/>
          <w:i/>
          <w:iCs/>
        </w:rPr>
        <w:t>19</w:t>
      </w:r>
      <w:r w:rsidRPr="00862D30">
        <w:rPr>
          <w:rFonts w:ascii="Times New Roman" w:hAnsi="Times New Roman"/>
        </w:rPr>
        <w:t>(5), 461-477. https://doi.org/10.1002/(SICI)1097-0266(199805)19:5&lt;</w:t>
      </w:r>
      <w:proofErr w:type="gramStart"/>
      <w:r w:rsidRPr="00862D30">
        <w:rPr>
          <w:rFonts w:ascii="Times New Roman" w:hAnsi="Times New Roman"/>
        </w:rPr>
        <w:t>461::</w:t>
      </w:r>
      <w:proofErr w:type="gramEnd"/>
      <w:r w:rsidRPr="00862D30">
        <w:rPr>
          <w:rFonts w:ascii="Times New Roman" w:hAnsi="Times New Roman"/>
        </w:rPr>
        <w:t>AID-SMJ953&gt;3.0.CO;2-L</w:t>
      </w:r>
    </w:p>
    <w:p w14:paraId="63FA37CE"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Miller, J. D. (2022). Public understanding of science and technology in the Internet era. </w:t>
      </w:r>
      <w:r w:rsidRPr="00862D30">
        <w:rPr>
          <w:rFonts w:ascii="Times New Roman" w:hAnsi="Times New Roman"/>
          <w:i/>
          <w:iCs/>
        </w:rPr>
        <w:t>Public Understanding of Science</w:t>
      </w:r>
      <w:r w:rsidRPr="00862D30">
        <w:rPr>
          <w:rFonts w:ascii="Times New Roman" w:hAnsi="Times New Roman"/>
        </w:rPr>
        <w:t xml:space="preserve">, </w:t>
      </w:r>
      <w:r w:rsidRPr="00862D30">
        <w:rPr>
          <w:rFonts w:ascii="Times New Roman" w:hAnsi="Times New Roman"/>
          <w:i/>
          <w:iCs/>
        </w:rPr>
        <w:t>31</w:t>
      </w:r>
      <w:r w:rsidRPr="00862D30">
        <w:rPr>
          <w:rFonts w:ascii="Times New Roman" w:hAnsi="Times New Roman"/>
        </w:rPr>
        <w:t>(3), 266-272. https://doi.org/10.1177/09636625211073485</w:t>
      </w:r>
    </w:p>
    <w:p w14:paraId="113BCF1A"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Nelson, R. R., &amp; Winter, S. G. (2004). </w:t>
      </w:r>
      <w:r w:rsidRPr="00862D30">
        <w:rPr>
          <w:rFonts w:ascii="Times New Roman" w:hAnsi="Times New Roman"/>
          <w:i/>
          <w:iCs/>
        </w:rPr>
        <w:t>An evolutionary theory of economic change</w:t>
      </w:r>
      <w:r w:rsidRPr="00862D30">
        <w:rPr>
          <w:rFonts w:ascii="Times New Roman" w:hAnsi="Times New Roman"/>
        </w:rPr>
        <w:t xml:space="preserve"> (digitally reprinted). The Belknap Press of Harvard Univ. Press.</w:t>
      </w:r>
    </w:p>
    <w:p w14:paraId="3E84D630"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Prahalad, C. K., &amp; Bettis, R. A. (1986). The dominant logic: A new linkage between diversity and performance. </w:t>
      </w:r>
      <w:r w:rsidRPr="00862D30">
        <w:rPr>
          <w:rFonts w:ascii="Times New Roman" w:hAnsi="Times New Roman"/>
          <w:i/>
          <w:iCs/>
        </w:rPr>
        <w:t>Strategic Management Journal</w:t>
      </w:r>
      <w:r w:rsidRPr="00862D30">
        <w:rPr>
          <w:rFonts w:ascii="Times New Roman" w:hAnsi="Times New Roman"/>
        </w:rPr>
        <w:t xml:space="preserve">, </w:t>
      </w:r>
      <w:r w:rsidRPr="00862D30">
        <w:rPr>
          <w:rFonts w:ascii="Times New Roman" w:hAnsi="Times New Roman"/>
          <w:i/>
          <w:iCs/>
        </w:rPr>
        <w:t>7</w:t>
      </w:r>
      <w:r w:rsidRPr="00862D30">
        <w:rPr>
          <w:rFonts w:ascii="Times New Roman" w:hAnsi="Times New Roman"/>
        </w:rPr>
        <w:t>(6), 485-501. https://doi.org/10.1002/smj.4250070602</w:t>
      </w:r>
    </w:p>
    <w:p w14:paraId="0919BCB1" w14:textId="77777777" w:rsidR="00862D30" w:rsidRPr="00862D30" w:rsidRDefault="00862D30" w:rsidP="00862D30">
      <w:pPr>
        <w:pStyle w:val="Bibliography"/>
        <w:spacing w:line="240" w:lineRule="auto"/>
        <w:rPr>
          <w:rFonts w:ascii="Times New Roman" w:hAnsi="Times New Roman"/>
          <w:lang w:val="es-ES"/>
        </w:rPr>
      </w:pPr>
      <w:r w:rsidRPr="00862D30">
        <w:rPr>
          <w:rFonts w:ascii="Times New Roman" w:hAnsi="Times New Roman"/>
        </w:rPr>
        <w:t xml:space="preserve">Real Colegio </w:t>
      </w:r>
      <w:proofErr w:type="spellStart"/>
      <w:r w:rsidRPr="00862D30">
        <w:rPr>
          <w:rFonts w:ascii="Times New Roman" w:hAnsi="Times New Roman"/>
        </w:rPr>
        <w:t>Complutense</w:t>
      </w:r>
      <w:proofErr w:type="spellEnd"/>
      <w:r w:rsidRPr="00862D30">
        <w:rPr>
          <w:rFonts w:ascii="Times New Roman" w:hAnsi="Times New Roman"/>
        </w:rPr>
        <w:t xml:space="preserve">. (s. f.). </w:t>
      </w:r>
      <w:r w:rsidRPr="00862D30">
        <w:rPr>
          <w:rFonts w:ascii="Times New Roman" w:hAnsi="Times New Roman"/>
          <w:i/>
          <w:iCs/>
        </w:rPr>
        <w:t>Knowledge, Technology and Complexity in Economic Growth</w:t>
      </w:r>
      <w:r w:rsidRPr="00862D30">
        <w:rPr>
          <w:rFonts w:ascii="Times New Roman" w:hAnsi="Times New Roman"/>
        </w:rPr>
        <w:t xml:space="preserve">. </w:t>
      </w:r>
      <w:r w:rsidRPr="00862D30">
        <w:rPr>
          <w:rFonts w:ascii="Times New Roman" w:hAnsi="Times New Roman"/>
          <w:lang w:val="es-ES"/>
        </w:rPr>
        <w:t>Recuperado 27 de julio de 2022, de https://rcc.harvard.edu/knowledge-technology-and-complexity-economic-growth</w:t>
      </w:r>
    </w:p>
    <w:p w14:paraId="3B689031" w14:textId="77777777" w:rsidR="00862D30" w:rsidRPr="00862D30" w:rsidRDefault="00862D30" w:rsidP="00862D30">
      <w:pPr>
        <w:pStyle w:val="Bibliography"/>
        <w:spacing w:line="240" w:lineRule="auto"/>
        <w:rPr>
          <w:rFonts w:ascii="Times New Roman" w:hAnsi="Times New Roman"/>
        </w:rPr>
      </w:pPr>
      <w:proofErr w:type="spellStart"/>
      <w:r w:rsidRPr="00862D30">
        <w:rPr>
          <w:rFonts w:ascii="Times New Roman" w:hAnsi="Times New Roman"/>
          <w:lang w:val="es-ES"/>
        </w:rPr>
        <w:t>Soumitra</w:t>
      </w:r>
      <w:proofErr w:type="spellEnd"/>
      <w:r w:rsidRPr="00862D30">
        <w:rPr>
          <w:rFonts w:ascii="Times New Roman" w:hAnsi="Times New Roman"/>
          <w:lang w:val="es-ES"/>
        </w:rPr>
        <w:t xml:space="preserve">, D., Bruno, L., Sacha, W.-V., Rivera, L., Lorena, &amp; </w:t>
      </w:r>
      <w:proofErr w:type="spellStart"/>
      <w:r w:rsidRPr="00862D30">
        <w:rPr>
          <w:rFonts w:ascii="Times New Roman" w:hAnsi="Times New Roman"/>
          <w:lang w:val="es-ES"/>
        </w:rPr>
        <w:t>Organization</w:t>
      </w:r>
      <w:proofErr w:type="spellEnd"/>
      <w:r w:rsidRPr="00862D30">
        <w:rPr>
          <w:rFonts w:ascii="Times New Roman" w:hAnsi="Times New Roman"/>
          <w:lang w:val="es-ES"/>
        </w:rPr>
        <w:t xml:space="preserve">, W. I. P. (2021). </w:t>
      </w:r>
      <w:r w:rsidRPr="00862D30">
        <w:rPr>
          <w:rFonts w:ascii="Times New Roman" w:hAnsi="Times New Roman"/>
          <w:i/>
          <w:iCs/>
        </w:rPr>
        <w:t>Global innovation index.</w:t>
      </w:r>
      <w:r w:rsidRPr="00862D30">
        <w:rPr>
          <w:rFonts w:ascii="Times New Roman" w:hAnsi="Times New Roman"/>
        </w:rPr>
        <w:t xml:space="preserve"> Unknown. https://doi.org/10.34667/TIND.44315</w:t>
      </w:r>
    </w:p>
    <w:p w14:paraId="357082FD"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Teece, D. J., Pisano, G., &amp; </w:t>
      </w:r>
      <w:proofErr w:type="spellStart"/>
      <w:r w:rsidRPr="00862D30">
        <w:rPr>
          <w:rFonts w:ascii="Times New Roman" w:hAnsi="Times New Roman"/>
        </w:rPr>
        <w:t>Shuen</w:t>
      </w:r>
      <w:proofErr w:type="spellEnd"/>
      <w:r w:rsidRPr="00862D30">
        <w:rPr>
          <w:rFonts w:ascii="Times New Roman" w:hAnsi="Times New Roman"/>
        </w:rPr>
        <w:t xml:space="preserve">, A. (1997). Dynamic capabilities and strategic management. </w:t>
      </w:r>
      <w:r w:rsidRPr="00862D30">
        <w:rPr>
          <w:rFonts w:ascii="Times New Roman" w:hAnsi="Times New Roman"/>
          <w:i/>
          <w:iCs/>
        </w:rPr>
        <w:t>Strategic Management Journal</w:t>
      </w:r>
      <w:r w:rsidRPr="00862D30">
        <w:rPr>
          <w:rFonts w:ascii="Times New Roman" w:hAnsi="Times New Roman"/>
        </w:rPr>
        <w:t xml:space="preserve">, </w:t>
      </w:r>
      <w:r w:rsidRPr="00862D30">
        <w:rPr>
          <w:rFonts w:ascii="Times New Roman" w:hAnsi="Times New Roman"/>
          <w:i/>
          <w:iCs/>
        </w:rPr>
        <w:t>18</w:t>
      </w:r>
      <w:r w:rsidRPr="00862D30">
        <w:rPr>
          <w:rFonts w:ascii="Times New Roman" w:hAnsi="Times New Roman"/>
        </w:rPr>
        <w:t>(7), 509-533. https://doi.org/10.1002/(SICI)1097-0266(199708)18:7&lt;</w:t>
      </w:r>
      <w:proofErr w:type="gramStart"/>
      <w:r w:rsidRPr="00862D30">
        <w:rPr>
          <w:rFonts w:ascii="Times New Roman" w:hAnsi="Times New Roman"/>
        </w:rPr>
        <w:t>509::</w:t>
      </w:r>
      <w:proofErr w:type="gramEnd"/>
      <w:r w:rsidRPr="00862D30">
        <w:rPr>
          <w:rFonts w:ascii="Times New Roman" w:hAnsi="Times New Roman"/>
        </w:rPr>
        <w:t>AID-SMJ882&gt;3.0.CO;2-Z</w:t>
      </w:r>
    </w:p>
    <w:p w14:paraId="385DFFEC"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Todorova, G., &amp; </w:t>
      </w:r>
      <w:proofErr w:type="spellStart"/>
      <w:r w:rsidRPr="00862D30">
        <w:rPr>
          <w:rFonts w:ascii="Times New Roman" w:hAnsi="Times New Roman"/>
        </w:rPr>
        <w:t>Durisin</w:t>
      </w:r>
      <w:proofErr w:type="spellEnd"/>
      <w:r w:rsidRPr="00862D30">
        <w:rPr>
          <w:rFonts w:ascii="Times New Roman" w:hAnsi="Times New Roman"/>
        </w:rPr>
        <w:t xml:space="preserve">, B. (2007). Absorptive Capacity: Valuing a Reconceptualization. </w:t>
      </w:r>
      <w:r w:rsidRPr="00862D30">
        <w:rPr>
          <w:rFonts w:ascii="Times New Roman" w:hAnsi="Times New Roman"/>
          <w:i/>
          <w:iCs/>
        </w:rPr>
        <w:t>The Academy of Management Review</w:t>
      </w:r>
      <w:r w:rsidRPr="00862D30">
        <w:rPr>
          <w:rFonts w:ascii="Times New Roman" w:hAnsi="Times New Roman"/>
        </w:rPr>
        <w:t xml:space="preserve">, </w:t>
      </w:r>
      <w:r w:rsidRPr="00862D30">
        <w:rPr>
          <w:rFonts w:ascii="Times New Roman" w:hAnsi="Times New Roman"/>
          <w:i/>
          <w:iCs/>
        </w:rPr>
        <w:t>32</w:t>
      </w:r>
      <w:r w:rsidRPr="00862D30">
        <w:rPr>
          <w:rFonts w:ascii="Times New Roman" w:hAnsi="Times New Roman"/>
        </w:rPr>
        <w:t>(3), 774-786.</w:t>
      </w:r>
    </w:p>
    <w:p w14:paraId="092FDCAD"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lang w:val="es-ES"/>
        </w:rPr>
        <w:t xml:space="preserve">Vega-Jurado, J., Gutiérrez-Gracia, A., &amp; Fernández-de-Lucio, I. (2008). </w:t>
      </w:r>
      <w:r w:rsidRPr="00862D30">
        <w:rPr>
          <w:rFonts w:ascii="Times New Roman" w:hAnsi="Times New Roman"/>
        </w:rPr>
        <w:t xml:space="preserve">Analyzing the determinants of firm’s absorptive capacity: Beyond R&amp;D. </w:t>
      </w:r>
      <w:r w:rsidRPr="00862D30">
        <w:rPr>
          <w:rFonts w:ascii="Times New Roman" w:hAnsi="Times New Roman"/>
          <w:i/>
          <w:iCs/>
        </w:rPr>
        <w:t>R&amp;D Management</w:t>
      </w:r>
      <w:r w:rsidRPr="00862D30">
        <w:rPr>
          <w:rFonts w:ascii="Times New Roman" w:hAnsi="Times New Roman"/>
        </w:rPr>
        <w:t xml:space="preserve">, </w:t>
      </w:r>
      <w:r w:rsidRPr="00862D30">
        <w:rPr>
          <w:rFonts w:ascii="Times New Roman" w:hAnsi="Times New Roman"/>
          <w:i/>
          <w:iCs/>
        </w:rPr>
        <w:t>38</w:t>
      </w:r>
      <w:r w:rsidRPr="00862D30">
        <w:rPr>
          <w:rFonts w:ascii="Times New Roman" w:hAnsi="Times New Roman"/>
        </w:rPr>
        <w:t>(4), 392-405. https://doi.org/10.1111/j.1467-9310.2008.00525.x</w:t>
      </w:r>
    </w:p>
    <w:p w14:paraId="0C318775" w14:textId="77777777" w:rsidR="00862D30" w:rsidRPr="00862D30" w:rsidRDefault="00862D30" w:rsidP="00862D30">
      <w:pPr>
        <w:pStyle w:val="Bibliography"/>
        <w:spacing w:line="240" w:lineRule="auto"/>
        <w:rPr>
          <w:rFonts w:ascii="Times New Roman" w:hAnsi="Times New Roman"/>
        </w:rPr>
      </w:pPr>
      <w:proofErr w:type="spellStart"/>
      <w:r w:rsidRPr="00862D30">
        <w:rPr>
          <w:rFonts w:ascii="Times New Roman" w:hAnsi="Times New Roman"/>
        </w:rPr>
        <w:t>Vivas</w:t>
      </w:r>
      <w:proofErr w:type="spellEnd"/>
      <w:r w:rsidRPr="00862D30">
        <w:rPr>
          <w:rFonts w:ascii="Times New Roman" w:hAnsi="Times New Roman"/>
        </w:rPr>
        <w:t xml:space="preserve">, L. S. (2005). Competitive advantage and strategy formulation: The key role of dynamic capabilities. </w:t>
      </w:r>
      <w:r w:rsidRPr="00862D30">
        <w:rPr>
          <w:rFonts w:ascii="Times New Roman" w:hAnsi="Times New Roman"/>
          <w:i/>
          <w:iCs/>
        </w:rPr>
        <w:t>Management Decision</w:t>
      </w:r>
      <w:r w:rsidRPr="00862D30">
        <w:rPr>
          <w:rFonts w:ascii="Times New Roman" w:hAnsi="Times New Roman"/>
        </w:rPr>
        <w:t xml:space="preserve">, </w:t>
      </w:r>
      <w:r w:rsidRPr="00862D30">
        <w:rPr>
          <w:rFonts w:ascii="Times New Roman" w:hAnsi="Times New Roman"/>
          <w:i/>
          <w:iCs/>
        </w:rPr>
        <w:t>43</w:t>
      </w:r>
      <w:r w:rsidRPr="00862D30">
        <w:rPr>
          <w:rFonts w:ascii="Times New Roman" w:hAnsi="Times New Roman"/>
        </w:rPr>
        <w:t>(5), 661-669. https://doi.org/10.1108/00251740510597699</w:t>
      </w:r>
    </w:p>
    <w:p w14:paraId="6326463B"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Zahra, S. A., &amp; George, G. (2002). Absorptive Capacity: A Review, Reconceptualization, and Extension. </w:t>
      </w:r>
      <w:r w:rsidRPr="00862D30">
        <w:rPr>
          <w:rFonts w:ascii="Times New Roman" w:hAnsi="Times New Roman"/>
          <w:i/>
          <w:iCs/>
        </w:rPr>
        <w:t>The Academy of Management Review</w:t>
      </w:r>
      <w:r w:rsidRPr="00862D30">
        <w:rPr>
          <w:rFonts w:ascii="Times New Roman" w:hAnsi="Times New Roman"/>
        </w:rPr>
        <w:t xml:space="preserve">, </w:t>
      </w:r>
      <w:r w:rsidRPr="00862D30">
        <w:rPr>
          <w:rFonts w:ascii="Times New Roman" w:hAnsi="Times New Roman"/>
          <w:i/>
          <w:iCs/>
        </w:rPr>
        <w:t>27</w:t>
      </w:r>
      <w:r w:rsidRPr="00862D30">
        <w:rPr>
          <w:rFonts w:ascii="Times New Roman" w:hAnsi="Times New Roman"/>
        </w:rPr>
        <w:t>(2), 185. https://doi.org/10.2307/4134351</w:t>
      </w:r>
    </w:p>
    <w:p w14:paraId="4E611E26" w14:textId="77777777" w:rsidR="00862D30" w:rsidRPr="00862D30" w:rsidRDefault="00862D30" w:rsidP="00862D30">
      <w:pPr>
        <w:pStyle w:val="Bibliography"/>
        <w:spacing w:line="240" w:lineRule="auto"/>
        <w:rPr>
          <w:rFonts w:ascii="Times New Roman" w:hAnsi="Times New Roman"/>
        </w:rPr>
      </w:pPr>
      <w:r w:rsidRPr="00862D30">
        <w:rPr>
          <w:rFonts w:ascii="Times New Roman" w:hAnsi="Times New Roman"/>
        </w:rPr>
        <w:t xml:space="preserve">Zhan, Y., &amp; Yi, C. (2022). Business environment distance, absorptive capacity and innovation performance of EMNEs: Evidence from China. </w:t>
      </w:r>
      <w:proofErr w:type="spellStart"/>
      <w:r w:rsidRPr="00862D30">
        <w:rPr>
          <w:rFonts w:ascii="Times New Roman" w:hAnsi="Times New Roman"/>
          <w:i/>
          <w:iCs/>
        </w:rPr>
        <w:t>Kybernetes</w:t>
      </w:r>
      <w:proofErr w:type="spellEnd"/>
      <w:r w:rsidRPr="00862D30">
        <w:rPr>
          <w:rFonts w:ascii="Times New Roman" w:hAnsi="Times New Roman"/>
        </w:rPr>
        <w:t>. Scopus. https://doi.org/10.1108/K-11-2021-1094</w:t>
      </w:r>
    </w:p>
    <w:p w14:paraId="0996CE0F" w14:textId="1BBAD514" w:rsidR="00862D30" w:rsidRPr="00862D30" w:rsidRDefault="00862D30" w:rsidP="00862D30">
      <w:pPr>
        <w:rPr>
          <w:rFonts w:ascii="Times New Roman" w:hAnsi="Times New Roman"/>
          <w:sz w:val="28"/>
          <w:szCs w:val="28"/>
          <w:lang w:val="es-ES_tradnl"/>
        </w:rPr>
      </w:pPr>
      <w:r w:rsidRPr="00862D30">
        <w:rPr>
          <w:rFonts w:ascii="Times New Roman" w:hAnsi="Times New Roman"/>
          <w:lang w:val="es-ES_tradnl"/>
        </w:rPr>
        <w:fldChar w:fldCharType="end"/>
      </w:r>
    </w:p>
    <w:sectPr w:rsidR="00862D30" w:rsidRPr="00862D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66C"/>
    <w:multiLevelType w:val="hybridMultilevel"/>
    <w:tmpl w:val="B26C68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6E13C0"/>
    <w:multiLevelType w:val="multilevel"/>
    <w:tmpl w:val="D53616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F44A21"/>
    <w:multiLevelType w:val="hybridMultilevel"/>
    <w:tmpl w:val="53B0E1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B0B0737"/>
    <w:multiLevelType w:val="multilevel"/>
    <w:tmpl w:val="0FC4174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D563931"/>
    <w:multiLevelType w:val="hybridMultilevel"/>
    <w:tmpl w:val="75C8E508"/>
    <w:lvl w:ilvl="0" w:tplc="E010504A">
      <w:start w:val="1"/>
      <w:numFmt w:val="bullet"/>
      <w:lvlText w:val="•"/>
      <w:lvlJc w:val="left"/>
      <w:pPr>
        <w:tabs>
          <w:tab w:val="num" w:pos="720"/>
        </w:tabs>
        <w:ind w:left="720" w:hanging="360"/>
      </w:pPr>
      <w:rPr>
        <w:rFonts w:ascii="Arial" w:hAnsi="Arial" w:hint="default"/>
      </w:rPr>
    </w:lvl>
    <w:lvl w:ilvl="1" w:tplc="80A847B8" w:tentative="1">
      <w:start w:val="1"/>
      <w:numFmt w:val="bullet"/>
      <w:lvlText w:val="•"/>
      <w:lvlJc w:val="left"/>
      <w:pPr>
        <w:tabs>
          <w:tab w:val="num" w:pos="1440"/>
        </w:tabs>
        <w:ind w:left="1440" w:hanging="360"/>
      </w:pPr>
      <w:rPr>
        <w:rFonts w:ascii="Arial" w:hAnsi="Arial" w:hint="default"/>
      </w:rPr>
    </w:lvl>
    <w:lvl w:ilvl="2" w:tplc="F06ACC66" w:tentative="1">
      <w:start w:val="1"/>
      <w:numFmt w:val="bullet"/>
      <w:lvlText w:val="•"/>
      <w:lvlJc w:val="left"/>
      <w:pPr>
        <w:tabs>
          <w:tab w:val="num" w:pos="2160"/>
        </w:tabs>
        <w:ind w:left="2160" w:hanging="360"/>
      </w:pPr>
      <w:rPr>
        <w:rFonts w:ascii="Arial" w:hAnsi="Arial" w:hint="default"/>
      </w:rPr>
    </w:lvl>
    <w:lvl w:ilvl="3" w:tplc="FC64439C" w:tentative="1">
      <w:start w:val="1"/>
      <w:numFmt w:val="bullet"/>
      <w:lvlText w:val="•"/>
      <w:lvlJc w:val="left"/>
      <w:pPr>
        <w:tabs>
          <w:tab w:val="num" w:pos="2880"/>
        </w:tabs>
        <w:ind w:left="2880" w:hanging="360"/>
      </w:pPr>
      <w:rPr>
        <w:rFonts w:ascii="Arial" w:hAnsi="Arial" w:hint="default"/>
      </w:rPr>
    </w:lvl>
    <w:lvl w:ilvl="4" w:tplc="31389B88" w:tentative="1">
      <w:start w:val="1"/>
      <w:numFmt w:val="bullet"/>
      <w:lvlText w:val="•"/>
      <w:lvlJc w:val="left"/>
      <w:pPr>
        <w:tabs>
          <w:tab w:val="num" w:pos="3600"/>
        </w:tabs>
        <w:ind w:left="3600" w:hanging="360"/>
      </w:pPr>
      <w:rPr>
        <w:rFonts w:ascii="Arial" w:hAnsi="Arial" w:hint="default"/>
      </w:rPr>
    </w:lvl>
    <w:lvl w:ilvl="5" w:tplc="53B6F556" w:tentative="1">
      <w:start w:val="1"/>
      <w:numFmt w:val="bullet"/>
      <w:lvlText w:val="•"/>
      <w:lvlJc w:val="left"/>
      <w:pPr>
        <w:tabs>
          <w:tab w:val="num" w:pos="4320"/>
        </w:tabs>
        <w:ind w:left="4320" w:hanging="360"/>
      </w:pPr>
      <w:rPr>
        <w:rFonts w:ascii="Arial" w:hAnsi="Arial" w:hint="default"/>
      </w:rPr>
    </w:lvl>
    <w:lvl w:ilvl="6" w:tplc="6B201906" w:tentative="1">
      <w:start w:val="1"/>
      <w:numFmt w:val="bullet"/>
      <w:lvlText w:val="•"/>
      <w:lvlJc w:val="left"/>
      <w:pPr>
        <w:tabs>
          <w:tab w:val="num" w:pos="5040"/>
        </w:tabs>
        <w:ind w:left="5040" w:hanging="360"/>
      </w:pPr>
      <w:rPr>
        <w:rFonts w:ascii="Arial" w:hAnsi="Arial" w:hint="default"/>
      </w:rPr>
    </w:lvl>
    <w:lvl w:ilvl="7" w:tplc="5BDEBA46" w:tentative="1">
      <w:start w:val="1"/>
      <w:numFmt w:val="bullet"/>
      <w:lvlText w:val="•"/>
      <w:lvlJc w:val="left"/>
      <w:pPr>
        <w:tabs>
          <w:tab w:val="num" w:pos="5760"/>
        </w:tabs>
        <w:ind w:left="5760" w:hanging="360"/>
      </w:pPr>
      <w:rPr>
        <w:rFonts w:ascii="Arial" w:hAnsi="Arial" w:hint="default"/>
      </w:rPr>
    </w:lvl>
    <w:lvl w:ilvl="8" w:tplc="A5183734" w:tentative="1">
      <w:start w:val="1"/>
      <w:numFmt w:val="bullet"/>
      <w:lvlText w:val="•"/>
      <w:lvlJc w:val="left"/>
      <w:pPr>
        <w:tabs>
          <w:tab w:val="num" w:pos="6480"/>
        </w:tabs>
        <w:ind w:left="6480" w:hanging="360"/>
      </w:pPr>
      <w:rPr>
        <w:rFonts w:ascii="Arial" w:hAnsi="Arial" w:hint="default"/>
      </w:rPr>
    </w:lvl>
  </w:abstractNum>
  <w:num w:numId="1" w16cid:durableId="699282358">
    <w:abstractNumId w:val="1"/>
  </w:num>
  <w:num w:numId="2" w16cid:durableId="2037997981">
    <w:abstractNumId w:val="3"/>
  </w:num>
  <w:num w:numId="3" w16cid:durableId="211505754">
    <w:abstractNumId w:val="0"/>
  </w:num>
  <w:num w:numId="4" w16cid:durableId="525296441">
    <w:abstractNumId w:val="2"/>
  </w:num>
  <w:num w:numId="5" w16cid:durableId="1181167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30"/>
    <w:rsid w:val="0005022D"/>
    <w:rsid w:val="001973F9"/>
    <w:rsid w:val="0047646A"/>
    <w:rsid w:val="00862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1F39"/>
  <w15:chartTrackingRefBased/>
  <w15:docId w15:val="{6A59ADB4-DD9F-47BA-B37F-479DF951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30"/>
    <w:pPr>
      <w:spacing w:after="0" w:line="240" w:lineRule="auto"/>
    </w:pPr>
    <w:rPr>
      <w:rFonts w:ascii="Cambria" w:eastAsia="MS Mincho" w:hAnsi="Cambria" w:cs="Times New Roman"/>
      <w:kern w:val="0"/>
      <w:sz w:val="24"/>
      <w:szCs w:val="24"/>
      <w:lang w:val="en-US"/>
      <w14:ligatures w14:val="none"/>
    </w:rPr>
  </w:style>
  <w:style w:type="paragraph" w:styleId="Heading1">
    <w:name w:val="heading 1"/>
    <w:basedOn w:val="Normal"/>
    <w:link w:val="Heading1Char"/>
    <w:uiPriority w:val="1"/>
    <w:qFormat/>
    <w:rsid w:val="00862D30"/>
    <w:pPr>
      <w:widowControl w:val="0"/>
      <w:autoSpaceDE w:val="0"/>
      <w:autoSpaceDN w:val="0"/>
      <w:ind w:left="1160" w:right="1179"/>
      <w:jc w:val="center"/>
      <w:outlineLvl w:val="0"/>
    </w:pPr>
    <w:rPr>
      <w:rFonts w:ascii="Arial" w:eastAsia="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62D30"/>
    <w:rPr>
      <w:rFonts w:ascii="Arial" w:eastAsia="Arial" w:hAnsi="Arial" w:cs="Arial"/>
      <w:b/>
      <w:bCs/>
      <w:kern w:val="0"/>
      <w:lang w:val="en-US"/>
      <w14:ligatures w14:val="none"/>
    </w:rPr>
  </w:style>
  <w:style w:type="paragraph" w:customStyle="1" w:styleId="normal0">
    <w:name w:val="normal"/>
    <w:rsid w:val="00862D30"/>
    <w:pPr>
      <w:spacing w:line="360" w:lineRule="auto"/>
      <w:jc w:val="both"/>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862D30"/>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862D30"/>
    <w:rPr>
      <w:rFonts w:ascii="Arial" w:eastAsia="Arial" w:hAnsi="Arial" w:cs="Arial"/>
      <w:kern w:val="0"/>
      <w:lang w:val="en-US"/>
      <w14:ligatures w14:val="none"/>
    </w:rPr>
  </w:style>
  <w:style w:type="paragraph" w:styleId="ListParagraph">
    <w:name w:val="List Paragraph"/>
    <w:basedOn w:val="Normal"/>
    <w:uiPriority w:val="72"/>
    <w:qFormat/>
    <w:rsid w:val="00862D30"/>
    <w:pPr>
      <w:ind w:left="708"/>
    </w:pPr>
  </w:style>
  <w:style w:type="paragraph" w:styleId="Bibliography">
    <w:name w:val="Bibliography"/>
    <w:basedOn w:val="Normal"/>
    <w:next w:val="Normal"/>
    <w:uiPriority w:val="37"/>
    <w:unhideWhenUsed/>
    <w:rsid w:val="00862D3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8145</Words>
  <Characters>44799</Characters>
  <Application>Microsoft Office Word</Application>
  <DocSecurity>0</DocSecurity>
  <Lines>373</Lines>
  <Paragraphs>105</Paragraphs>
  <ScaleCrop>false</ScaleCrop>
  <Company/>
  <LinksUpToDate>false</LinksUpToDate>
  <CharactersWithSpaces>52839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Chaihuaque Dueñas</dc:creator>
  <cp:keywords/>
  <dc:description/>
  <cp:lastModifiedBy>Bruno Chaihuaque Dueñas</cp:lastModifiedBy>
  <cp:revision>1</cp:revision>
  <dcterms:created xsi:type="dcterms:W3CDTF">2023-03-04T05:46:00Z</dcterms:created>
  <dcterms:modified xsi:type="dcterms:W3CDTF">2023-03-04T05:53:00Z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id="1IF0k6al"/&gt;&lt;style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