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864"/>
          <w:sz w:val="40"/>
          <w:szCs w:val="40"/>
        </w:rPr>
        <w:t xml:space="preserve">Consolidating State WARN Layoff Notices at Scale</w:t>
      </w:r>
    </w:p>
    <w:p>
      <w:pPr>
        <w:spacing w:after="40"/>
      </w:pPr>
      <w:r>
        <w:rPr>
          <w:rFonts w:ascii="Calibri" w:cs="Calibri" w:eastAsia="Calibri" w:hAnsi="Calibri"/>
          <w:color w:val="595959"/>
          <w:sz w:val="26"/>
          <w:szCs w:val="26"/>
        </w:rPr>
        <w:t xml:space="preserve">A Landscape &amp; Architecture Report</w:t>
      </w:r>
    </w:p>
    <w:p>
      <w:pPr>
        <w:spacing w:after="200"/>
      </w:pPr>
      <w:r>
        <w:rPr>
          <w:rFonts w:ascii="Calibri" w:cs="Calibri" w:eastAsia="Calibri" w:hAnsi="Calibri"/>
          <w:i/>
          <w:iCs/>
          <w:color w:val="595959"/>
          <w:sz w:val="18"/>
          <w:szCs w:val="18"/>
        </w:rPr>
        <w:t xml:space="preserve">Prepared July 16, 2026  ·  Research / lay-of-the-land phase</w:t>
      </w:r>
    </w:p>
    <w:p>
      <w:pPr>
        <w:pStyle w:val="Heading1"/>
        <w:spacing w:after="120" w:before="280"/>
      </w:pPr>
      <w:r>
        <w:rPr>
          <w:rFonts w:ascii="Calibri" w:cs="Calibri" w:eastAsia="Calibri" w:hAnsi="Calibri"/>
          <w:b/>
          <w:bCs/>
          <w:color w:val="1F3864"/>
          <w:sz w:val="30"/>
          <w:szCs w:val="30"/>
        </w:rPr>
        <w:t xml:space="preserve">Executive Summary</w:t>
      </w:r>
    </w:p>
    <w:p>
      <w:pPr>
        <w:spacing w:after="120" w:line="276"/>
      </w:pPr>
      <w:r>
        <w:rPr>
          <w:rFonts w:ascii="Calibri" w:cs="Calibri" w:eastAsia="Calibri" w:hAnsi="Calibri"/>
          <w:sz w:val="21"/>
          <w:szCs w:val="21"/>
        </w:rPr>
        <w:t xml:space="preserve">The federal WARN Act requires employers of 100+ workers to give 60 days' notice of qualifying plant closings and mass layoffs. Those notices are filed with state workforce agencies, and there is no national feed — each of the ~47 jurisdictions that publish online does so in its own format. This report maps that terrain and lays out how to consolidate it into a single normalized dataset at scale.</w:t>
      </w:r>
    </w:p>
    <w:p>
      <w:pPr>
        <w:spacing w:after="120" w:line="276"/>
      </w:pPr>
      <w:r>
        <w:rPr>
          <w:rFonts w:ascii="Calibri" w:cs="Calibri" w:eastAsia="Calibri" w:hAnsi="Calibri"/>
          <w:b/>
          <w:bCs/>
          <w:sz w:val="21"/>
          <w:szCs w:val="21"/>
        </w:rPr>
        <w:t xml:space="preserve">The core finding: </w:t>
      </w:r>
      <w:r>
        <w:rPr>
          <w:rFonts w:ascii="Calibri" w:cs="Calibri" w:eastAsia="Calibri" w:hAnsi="Calibri"/>
          <w:sz w:val="21"/>
          <w:szCs w:val="21"/>
        </w:rPr>
        <w:t xml:space="preserve">the problem is not 50 unique engineering problems but roughly five recurring access patterns — structured API/CSV, Excel download, HTML table, PDF, and Tableau/dashboard. A source-adapter architecture that solves each pattern once, plus a shared normalization layer, covers the whole country. Several states also share a single vendor backend, so one adapter can serve many of them.</w:t>
      </w:r>
    </w:p>
    <w:p>
      <w:pPr>
        <w:spacing w:after="120" w:line="276"/>
      </w:pPr>
      <w:r>
        <w:rPr>
          <w:rFonts w:ascii="Calibri" w:cs="Calibri" w:eastAsia="Calibri" w:hAnsi="Calibri"/>
          <w:b/>
          <w:bCs/>
          <w:sz w:val="21"/>
          <w:szCs w:val="21"/>
        </w:rPr>
        <w:t xml:space="preserve">You do not need to start from zero. </w:t>
      </w:r>
      <w:r>
        <w:rPr>
          <w:rFonts w:ascii="Calibri" w:cs="Calibri" w:eastAsia="Calibri" w:hAnsi="Calibri"/>
          <w:sz w:val="21"/>
          <w:szCs w:val="21"/>
        </w:rPr>
        <w:t xml:space="preserve">Stanford's Big Local News maintains </w:t>
      </w:r>
      <w:r>
        <w:rPr>
          <w:rFonts w:ascii="Calibri" w:cs="Calibri" w:eastAsia="Calibri" w:hAnsi="Calibri"/>
          <w:i/>
          <w:iCs/>
          <w:sz w:val="21"/>
          <w:szCs w:val="21"/>
        </w:rPr>
        <w:t xml:space="preserve">biglocalnews/warn-scraper</w:t>
      </w:r>
      <w:r>
        <w:rPr>
          <w:rFonts w:ascii="Calibri" w:cs="Calibri" w:eastAsia="Calibri" w:hAnsi="Calibri"/>
          <w:sz w:val="21"/>
          <w:szCs w:val="21"/>
        </w:rPr>
        <w:t xml:space="preserve">, an open-source Python tool with working per-state scrapers for 43 of these states. It is the single best existing map of each site's format and the recommended reference (and plausibly a fork base) for a build phase.</w:t>
      </w:r>
    </w:p>
    <w:p>
      <w:pPr>
        <w:pStyle w:val="Heading1"/>
        <w:spacing w:after="120" w:before="280"/>
      </w:pPr>
      <w:r>
        <w:rPr>
          <w:rFonts w:ascii="Calibri" w:cs="Calibri" w:eastAsia="Calibri" w:hAnsi="Calibri"/>
          <w:b/>
          <w:bCs/>
          <w:color w:val="1F3864"/>
          <w:sz w:val="30"/>
          <w:szCs w:val="30"/>
        </w:rPr>
        <w:t xml:space="preserve">1. The Publishing Landscape</w:t>
      </w:r>
    </w:p>
    <w:p>
      <w:pPr>
        <w:spacing w:after="120" w:line="276"/>
      </w:pPr>
      <w:r>
        <w:rPr>
          <w:rFonts w:ascii="Calibri" w:cs="Calibri" w:eastAsia="Calibri" w:hAnsi="Calibri"/>
          <w:sz w:val="21"/>
          <w:szCs w:val="21"/>
        </w:rPr>
        <w:t xml:space="preserve">WARN administration is decentralized. Each state's Rapid Response / dislocated-worker unit receives notices and decides independently whether and how to publish them. The result spans a spectrum:</w:t>
      </w:r>
    </w:p>
    <w:p>
      <w:pPr>
        <w:pStyle w:val="ListParagraph"/>
        <w:numPr>
          <w:ilvl w:val="0"/>
          <w:numId w:val="1"/>
        </w:numPr>
        <w:spacing w:after="60" w:line="264"/>
      </w:pPr>
      <w:r>
        <w:rPr>
          <w:rFonts w:ascii="Calibri" w:cs="Calibri" w:eastAsia="Calibri" w:hAnsi="Calibri"/>
          <w:b/>
          <w:bCs/>
          <w:sz w:val="21"/>
          <w:szCs w:val="21"/>
        </w:rPr>
        <w:t xml:space="preserve">Fully structured (best case): </w:t>
      </w:r>
      <w:r>
        <w:rPr>
          <w:rFonts w:ascii="Calibri" w:cs="Calibri" w:eastAsia="Calibri" w:hAnsi="Calibri"/>
          <w:sz w:val="21"/>
          <w:szCs w:val="21"/>
        </w:rPr>
        <w:t xml:space="preserve">a clean API, CSV, or Google Sheet you can pull directly — e.g., Connecticut (JSON API), Illinois (REST export), Colorado (public Google Sheet).</w:t>
      </w:r>
    </w:p>
    <w:p>
      <w:pPr>
        <w:pStyle w:val="ListParagraph"/>
        <w:numPr>
          <w:ilvl w:val="0"/>
          <w:numId w:val="1"/>
        </w:numPr>
        <w:spacing w:after="60" w:line="264"/>
      </w:pPr>
      <w:r>
        <w:rPr>
          <w:rFonts w:ascii="Calibri" w:cs="Calibri" w:eastAsia="Calibri" w:hAnsi="Calibri"/>
          <w:b/>
          <w:bCs/>
          <w:sz w:val="21"/>
          <w:szCs w:val="21"/>
        </w:rPr>
        <w:t xml:space="preserve">Semi-structured: </w:t>
      </w:r>
      <w:r>
        <w:rPr>
          <w:rFonts w:ascii="Calibri" w:cs="Calibri" w:eastAsia="Calibri" w:hAnsi="Calibri"/>
          <w:sz w:val="21"/>
          <w:szCs w:val="21"/>
        </w:rPr>
        <w:t xml:space="preserve">Excel workbooks or HTML tables that parse reliably but drift with site redesigns — e.g., New Jersey (single xlsx), Indiana, Missouri, Utah (HTML tables).</w:t>
      </w:r>
    </w:p>
    <w:p>
      <w:pPr>
        <w:pStyle w:val="ListParagraph"/>
        <w:numPr>
          <w:ilvl w:val="0"/>
          <w:numId w:val="1"/>
        </w:numPr>
        <w:spacing w:after="60" w:line="264"/>
      </w:pPr>
      <w:r>
        <w:rPr>
          <w:rFonts w:ascii="Calibri" w:cs="Calibri" w:eastAsia="Calibri" w:hAnsi="Calibri"/>
          <w:b/>
          <w:bCs/>
          <w:sz w:val="21"/>
          <w:szCs w:val="21"/>
        </w:rPr>
        <w:t xml:space="preserve">Unstructured (worst case): </w:t>
      </w:r>
      <w:r>
        <w:rPr>
          <w:rFonts w:ascii="Calibri" w:cs="Calibri" w:eastAsia="Calibri" w:hAnsi="Calibri"/>
          <w:sz w:val="21"/>
          <w:szCs w:val="21"/>
        </w:rPr>
        <w:t xml:space="preserve">PDF reports where layout varies year to year and requires text-extraction or OCR — e.g., California, Louisiana, Nevada, South Carolina.</w:t>
      </w:r>
    </w:p>
    <w:p>
      <w:pPr>
        <w:pStyle w:val="ListParagraph"/>
        <w:numPr>
          <w:ilvl w:val="0"/>
          <w:numId w:val="1"/>
        </w:numPr>
        <w:spacing w:after="60" w:line="264"/>
      </w:pPr>
      <w:r>
        <w:rPr>
          <w:rFonts w:ascii="Calibri" w:cs="Calibri" w:eastAsia="Calibri" w:hAnsi="Calibri"/>
          <w:b/>
          <w:bCs/>
          <w:sz w:val="21"/>
          <w:szCs w:val="21"/>
        </w:rPr>
        <w:t xml:space="preserve">Not published at all: </w:t>
      </w:r>
      <w:r>
        <w:rPr>
          <w:rFonts w:ascii="Calibri" w:cs="Calibri" w:eastAsia="Calibri" w:hAnsi="Calibri"/>
          <w:sz w:val="21"/>
          <w:szCs w:val="21"/>
        </w:rPr>
        <w:t xml:space="preserve">Arkansas, New Hampshire, West Virginia, and Wyoming release WARN data only through public-records requests — out of scope for automated scraping, obtainable only by FOIA-style requests or by buying from an aggregator.</w:t>
      </w:r>
    </w:p>
    <w:p>
      <w:pPr>
        <w:pStyle w:val="Heading2"/>
        <w:spacing w:after="80" w:before="200"/>
      </w:pPr>
      <w:r>
        <w:rPr>
          <w:rFonts w:ascii="Calibri" w:cs="Calibri" w:eastAsia="Calibri" w:hAnsi="Calibri"/>
          <w:b/>
          <w:bCs/>
          <w:color w:val="1F3864"/>
          <w:sz w:val="24"/>
          <w:szCs w:val="24"/>
        </w:rPr>
        <w:t xml:space="preserve">Coverage summary</w:t>
      </w:r>
    </w:p>
    <w:tbl>
      <w:tblPr>
        <w:tblW w:type="dxa" w:w="9200"/>
        <w:tblBorders>
          <w:top w:val="single" w:color="BFBFBF" w:sz="2"/>
          <w:left w:val="single" w:color="BFBFBF" w:sz="2"/>
          <w:bottom w:val="single" w:color="BFBFBF" w:sz="2"/>
          <w:right w:val="single" w:color="BFBFBF" w:sz="2"/>
          <w:insideH w:val="single" w:color="D9D9D9" w:sz="1"/>
          <w:insideV w:val="single" w:color="D9D9D9" w:sz="1"/>
        </w:tblBorders>
      </w:tblPr>
      <w:tblGrid>
        <w:gridCol w:w="3400"/>
        <w:gridCol w:w="1200"/>
        <w:gridCol w:w="4600"/>
      </w:tblGrid>
      <w:tr>
        <w:trPr>
          <w:tblHeader/>
        </w:trPr>
        <w:tc>
          <w:tcPr>
            <w:tcW w:type="dxa" w:w="3400"/>
            <w:shd w:fill="1F3864" w:color="auto" w:val="clear"/>
            <w:tcMar>
              <w:top w:type="dxa" w:w="40"/>
              <w:left w:type="dxa" w:w="80"/>
              <w:bottom w:type="dxa" w:w="40"/>
              <w:right w:type="dxa" w:w="80"/>
            </w:tcMar>
          </w:tcPr>
          <w:p>
            <w:r>
              <w:rPr>
                <w:rFonts w:ascii="Calibri" w:cs="Calibri" w:eastAsia="Calibri" w:hAnsi="Calibri"/>
                <w:b/>
                <w:bCs/>
                <w:color w:val="FFFFFF"/>
                <w:sz w:val="18"/>
                <w:szCs w:val="18"/>
              </w:rPr>
              <w:t xml:space="preserve">Category</w:t>
            </w:r>
          </w:p>
        </w:tc>
        <w:tc>
          <w:tcPr>
            <w:tcW w:type="dxa" w:w="1200"/>
            <w:shd w:fill="1F3864" w:color="auto" w:val="clear"/>
            <w:tcMar>
              <w:top w:type="dxa" w:w="40"/>
              <w:left w:type="dxa" w:w="80"/>
              <w:bottom w:type="dxa" w:w="40"/>
              <w:right w:type="dxa" w:w="80"/>
            </w:tcMar>
          </w:tcPr>
          <w:p>
            <w:r>
              <w:rPr>
                <w:rFonts w:ascii="Calibri" w:cs="Calibri" w:eastAsia="Calibri" w:hAnsi="Calibri"/>
                <w:b/>
                <w:bCs/>
                <w:color w:val="FFFFFF"/>
                <w:sz w:val="18"/>
                <w:szCs w:val="18"/>
              </w:rPr>
              <w:t xml:space="preserve">Count</w:t>
            </w:r>
          </w:p>
        </w:tc>
        <w:tc>
          <w:tcPr>
            <w:tcW w:type="dxa" w:w="4600"/>
            <w:shd w:fill="1F3864" w:color="auto" w:val="clear"/>
            <w:tcMar>
              <w:top w:type="dxa" w:w="40"/>
              <w:left w:type="dxa" w:w="80"/>
              <w:bottom w:type="dxa" w:w="40"/>
              <w:right w:type="dxa" w:w="80"/>
            </w:tcMar>
          </w:tcPr>
          <w:p>
            <w:r>
              <w:rPr>
                <w:rFonts w:ascii="Calibri" w:cs="Calibri" w:eastAsia="Calibri" w:hAnsi="Calibri"/>
                <w:b/>
                <w:bCs/>
                <w:color w:val="FFFFFF"/>
                <w:sz w:val="18"/>
                <w:szCs w:val="18"/>
              </w:rPr>
              <w:t xml:space="preserve">Notes</w:t>
            </w:r>
          </w:p>
        </w:tc>
      </w:tr>
      <w:tr>
        <w:tc>
          <w:tcPr>
            <w:tcW w:type="dxa" w:w="3400"/>
            <w:shd w:fill="FFFFFF" w:color="auto" w:val="clear"/>
            <w:tcMar>
              <w:top w:type="dxa" w:w="40"/>
              <w:left w:type="dxa" w:w="80"/>
              <w:bottom w:type="dxa" w:w="40"/>
              <w:right w:type="dxa" w:w="80"/>
            </w:tcMar>
          </w:tcPr>
          <w:p>
            <w:r>
              <w:rPr>
                <w:rFonts w:ascii="Calibri" w:cs="Calibri" w:eastAsia="Calibri" w:hAnsi="Calibri"/>
                <w:color w:val="000000"/>
                <w:sz w:val="18"/>
                <w:szCs w:val="18"/>
              </w:rPr>
              <w:t xml:space="preserve">Public online portals</w:t>
            </w:r>
          </w:p>
        </w:tc>
        <w:tc>
          <w:tcPr>
            <w:tcW w:type="dxa" w:w="1200"/>
            <w:shd w:fill="FFFFFF" w:color="auto" w:val="clear"/>
            <w:tcMar>
              <w:top w:type="dxa" w:w="40"/>
              <w:left w:type="dxa" w:w="80"/>
              <w:bottom w:type="dxa" w:w="40"/>
              <w:right w:type="dxa" w:w="80"/>
            </w:tcMar>
          </w:tcPr>
          <w:p>
            <w:r>
              <w:rPr>
                <w:rFonts w:ascii="Calibri" w:cs="Calibri" w:eastAsia="Calibri" w:hAnsi="Calibri"/>
                <w:color w:val="000000"/>
                <w:sz w:val="18"/>
                <w:szCs w:val="18"/>
              </w:rPr>
              <w:t xml:space="preserve">47</w:t>
            </w:r>
          </w:p>
        </w:tc>
        <w:tc>
          <w:tcPr>
            <w:tcW w:type="dxa" w:w="4600"/>
            <w:shd w:fill="FFFFFF" w:color="auto" w:val="clear"/>
            <w:tcMar>
              <w:top w:type="dxa" w:w="40"/>
              <w:left w:type="dxa" w:w="80"/>
              <w:bottom w:type="dxa" w:w="40"/>
              <w:right w:type="dxa" w:w="80"/>
            </w:tcMar>
          </w:tcPr>
          <w:p>
            <w:r>
              <w:rPr>
                <w:rFonts w:ascii="Calibri" w:cs="Calibri" w:eastAsia="Calibri" w:hAnsi="Calibri"/>
                <w:color w:val="000000"/>
                <w:sz w:val="18"/>
                <w:szCs w:val="18"/>
              </w:rPr>
              <w:t xml:space="preserve">46 states + DC; the practical universe for scraping</w:t>
            </w:r>
          </w:p>
        </w:tc>
      </w:tr>
      <w:tr>
        <w:tc>
          <w:tcPr>
            <w:tcW w:type="dxa" w:w="3400"/>
            <w:shd w:fill="F2F5FA" w:color="auto" w:val="clear"/>
            <w:tcMar>
              <w:top w:type="dxa" w:w="40"/>
              <w:left w:type="dxa" w:w="80"/>
              <w:bottom w:type="dxa" w:w="40"/>
              <w:right w:type="dxa" w:w="80"/>
            </w:tcMar>
          </w:tcPr>
          <w:p>
            <w:r>
              <w:rPr>
                <w:rFonts w:ascii="Calibri" w:cs="Calibri" w:eastAsia="Calibri" w:hAnsi="Calibri"/>
                <w:color w:val="000000"/>
                <w:sz w:val="18"/>
                <w:szCs w:val="18"/>
              </w:rPr>
              <w:t xml:space="preserve">Covered by warn-scraper</w:t>
            </w:r>
          </w:p>
        </w:tc>
        <w:tc>
          <w:tcPr>
            <w:tcW w:type="dxa" w:w="1200"/>
            <w:shd w:fill="F2F5FA" w:color="auto" w:val="clear"/>
            <w:tcMar>
              <w:top w:type="dxa" w:w="40"/>
              <w:left w:type="dxa" w:w="80"/>
              <w:bottom w:type="dxa" w:w="40"/>
              <w:right w:type="dxa" w:w="80"/>
            </w:tcMar>
          </w:tcPr>
          <w:p>
            <w:r>
              <w:rPr>
                <w:rFonts w:ascii="Calibri" w:cs="Calibri" w:eastAsia="Calibri" w:hAnsi="Calibri"/>
                <w:color w:val="000000"/>
                <w:sz w:val="18"/>
                <w:szCs w:val="18"/>
              </w:rPr>
              <w:t xml:space="preserve">43</w:t>
            </w:r>
          </w:p>
        </w:tc>
        <w:tc>
          <w:tcPr>
            <w:tcW w:type="dxa" w:w="4600"/>
            <w:shd w:fill="F2F5FA" w:color="auto" w:val="clear"/>
            <w:tcMar>
              <w:top w:type="dxa" w:w="40"/>
              <w:left w:type="dxa" w:w="80"/>
              <w:bottom w:type="dxa" w:w="40"/>
              <w:right w:type="dxa" w:w="80"/>
            </w:tcMar>
          </w:tcPr>
          <w:p>
            <w:r>
              <w:rPr>
                <w:rFonts w:ascii="Calibri" w:cs="Calibri" w:eastAsia="Calibri" w:hAnsi="Calibri"/>
                <w:color w:val="000000"/>
                <w:sz w:val="18"/>
                <w:szCs w:val="18"/>
              </w:rPr>
              <w:t xml:space="preserve">Working reference implementations exist</w:t>
            </w:r>
          </w:p>
        </w:tc>
      </w:tr>
      <w:tr>
        <w:tc>
          <w:tcPr>
            <w:tcW w:type="dxa" w:w="3400"/>
            <w:shd w:fill="FFFFFF" w:color="auto" w:val="clear"/>
            <w:tcMar>
              <w:top w:type="dxa" w:w="40"/>
              <w:left w:type="dxa" w:w="80"/>
              <w:bottom w:type="dxa" w:w="40"/>
              <w:right w:type="dxa" w:w="80"/>
            </w:tcMar>
          </w:tcPr>
          <w:p>
            <w:r>
              <w:rPr>
                <w:rFonts w:ascii="Calibri" w:cs="Calibri" w:eastAsia="Calibri" w:hAnsi="Calibri"/>
                <w:color w:val="000000"/>
                <w:sz w:val="18"/>
                <w:szCs w:val="18"/>
              </w:rPr>
              <w:t xml:space="preserve">Portal exists, NOT in warn-scraper</w:t>
            </w:r>
          </w:p>
        </w:tc>
        <w:tc>
          <w:tcPr>
            <w:tcW w:type="dxa" w:w="1200"/>
            <w:shd w:fill="FFFFFF" w:color="auto" w:val="clear"/>
            <w:tcMar>
              <w:top w:type="dxa" w:w="40"/>
              <w:left w:type="dxa" w:w="80"/>
              <w:bottom w:type="dxa" w:w="40"/>
              <w:right w:type="dxa" w:w="80"/>
            </w:tcMar>
          </w:tcPr>
          <w:p>
            <w:r>
              <w:rPr>
                <w:rFonts w:ascii="Calibri" w:cs="Calibri" w:eastAsia="Calibri" w:hAnsi="Calibri"/>
                <w:color w:val="000000"/>
                <w:sz w:val="18"/>
                <w:szCs w:val="18"/>
              </w:rPr>
              <w:t xml:space="preserve">4</w:t>
            </w:r>
          </w:p>
        </w:tc>
        <w:tc>
          <w:tcPr>
            <w:tcW w:type="dxa" w:w="4600"/>
            <w:shd w:fill="FFFFFF" w:color="auto" w:val="clear"/>
            <w:tcMar>
              <w:top w:type="dxa" w:w="40"/>
              <w:left w:type="dxa" w:w="80"/>
              <w:bottom w:type="dxa" w:w="40"/>
              <w:right w:type="dxa" w:w="80"/>
            </w:tcMar>
          </w:tcPr>
          <w:p>
            <w:r>
              <w:rPr>
                <w:rFonts w:ascii="Calibri" w:cs="Calibri" w:eastAsia="Calibri" w:hAnsi="Calibri"/>
                <w:color w:val="000000"/>
                <w:sz w:val="18"/>
                <w:szCs w:val="18"/>
              </w:rPr>
              <w:t xml:space="preserve">MA, MN, NC, NV — need new adapters</w:t>
            </w:r>
          </w:p>
        </w:tc>
      </w:tr>
      <w:tr>
        <w:tc>
          <w:tcPr>
            <w:tcW w:type="dxa" w:w="3400"/>
            <w:shd w:fill="F2F5FA" w:color="auto" w:val="clear"/>
            <w:tcMar>
              <w:top w:type="dxa" w:w="40"/>
              <w:left w:type="dxa" w:w="80"/>
              <w:bottom w:type="dxa" w:w="40"/>
              <w:right w:type="dxa" w:w="80"/>
            </w:tcMar>
          </w:tcPr>
          <w:p>
            <w:r>
              <w:rPr>
                <w:rFonts w:ascii="Calibri" w:cs="Calibri" w:eastAsia="Calibri" w:hAnsi="Calibri"/>
                <w:color w:val="000000"/>
                <w:sz w:val="18"/>
                <w:szCs w:val="18"/>
              </w:rPr>
              <w:t xml:space="preserve">Records-request only (no portal)</w:t>
            </w:r>
          </w:p>
        </w:tc>
        <w:tc>
          <w:tcPr>
            <w:tcW w:type="dxa" w:w="1200"/>
            <w:shd w:fill="F2F5FA" w:color="auto" w:val="clear"/>
            <w:tcMar>
              <w:top w:type="dxa" w:w="40"/>
              <w:left w:type="dxa" w:w="80"/>
              <w:bottom w:type="dxa" w:w="40"/>
              <w:right w:type="dxa" w:w="80"/>
            </w:tcMar>
          </w:tcPr>
          <w:p>
            <w:r>
              <w:rPr>
                <w:rFonts w:ascii="Calibri" w:cs="Calibri" w:eastAsia="Calibri" w:hAnsi="Calibri"/>
                <w:color w:val="000000"/>
                <w:sz w:val="18"/>
                <w:szCs w:val="18"/>
              </w:rPr>
              <w:t xml:space="preserve">4</w:t>
            </w:r>
          </w:p>
        </w:tc>
        <w:tc>
          <w:tcPr>
            <w:tcW w:type="dxa" w:w="4600"/>
            <w:shd w:fill="F2F5FA" w:color="auto" w:val="clear"/>
            <w:tcMar>
              <w:top w:type="dxa" w:w="40"/>
              <w:left w:type="dxa" w:w="80"/>
              <w:bottom w:type="dxa" w:w="40"/>
              <w:right w:type="dxa" w:w="80"/>
            </w:tcMar>
          </w:tcPr>
          <w:p>
            <w:r>
              <w:rPr>
                <w:rFonts w:ascii="Calibri" w:cs="Calibri" w:eastAsia="Calibri" w:hAnsi="Calibri"/>
                <w:color w:val="000000"/>
                <w:sz w:val="18"/>
                <w:szCs w:val="18"/>
              </w:rPr>
              <w:t xml:space="preserve">AR, NH, WV, WY — not scrapable</w:t>
            </w:r>
          </w:p>
        </w:tc>
      </w:tr>
    </w:tbl>
    <w:p>
      <w:pPr>
        <w:pStyle w:val="Heading1"/>
        <w:spacing w:after="120" w:before="280"/>
      </w:pPr>
      <w:r>
        <w:rPr>
          <w:rFonts w:ascii="Calibri" w:cs="Calibri" w:eastAsia="Calibri" w:hAnsi="Calibri"/>
          <w:b/>
          <w:bCs/>
          <w:color w:val="1F3864"/>
          <w:sz w:val="30"/>
          <w:szCs w:val="30"/>
        </w:rPr>
        <w:t xml:space="preserve">2. Format Taxonomy — Five Patterns Cover Everything</w:t>
      </w:r>
    </w:p>
    <w:p>
      <w:pPr>
        <w:spacing w:after="120" w:line="276"/>
      </w:pPr>
      <w:r>
        <w:rPr>
          <w:rFonts w:ascii="Calibri" w:cs="Calibri" w:eastAsia="Calibri" w:hAnsi="Calibri"/>
          <w:sz w:val="21"/>
          <w:szCs w:val="21"/>
        </w:rPr>
        <w:t xml:space="preserve">Rather than 47 bespoke problems, the sites cluster into five access patterns. Solving each once is the key to scaling.</w:t>
      </w:r>
    </w:p>
    <w:tbl>
      <w:tblPr>
        <w:tblW w:type="dxa" w:w="9200"/>
        <w:tblBorders>
          <w:top w:val="single" w:color="BFBFBF" w:sz="2"/>
          <w:left w:val="single" w:color="BFBFBF" w:sz="2"/>
          <w:bottom w:val="single" w:color="BFBFBF" w:sz="2"/>
          <w:right w:val="single" w:color="BFBFBF" w:sz="2"/>
          <w:insideH w:val="single" w:color="D9D9D9" w:sz="1"/>
          <w:insideV w:val="single" w:color="D9D9D9" w:sz="1"/>
        </w:tblBorders>
      </w:tblPr>
      <w:tblGrid>
        <w:gridCol w:w="3200"/>
        <w:gridCol w:w="1200"/>
        <w:gridCol w:w="4800"/>
      </w:tblGrid>
      <w:tr>
        <w:trPr>
          <w:tblHeader/>
        </w:trPr>
        <w:tc>
          <w:tcPr>
            <w:tcW w:type="dxa" w:w="3200"/>
            <w:shd w:fill="1F3864" w:color="auto" w:val="clear"/>
            <w:tcMar>
              <w:top w:type="dxa" w:w="40"/>
              <w:left w:type="dxa" w:w="80"/>
              <w:bottom w:type="dxa" w:w="40"/>
              <w:right w:type="dxa" w:w="80"/>
            </w:tcMar>
          </w:tcPr>
          <w:p>
            <w:r>
              <w:rPr>
                <w:rFonts w:ascii="Calibri" w:cs="Calibri" w:eastAsia="Calibri" w:hAnsi="Calibri"/>
                <w:b/>
                <w:bCs/>
                <w:color w:val="FFFFFF"/>
                <w:sz w:val="18"/>
                <w:szCs w:val="18"/>
              </w:rPr>
              <w:t xml:space="preserve">Pattern</w:t>
            </w:r>
          </w:p>
        </w:tc>
        <w:tc>
          <w:tcPr>
            <w:tcW w:type="dxa" w:w="1200"/>
            <w:shd w:fill="1F3864" w:color="auto" w:val="clear"/>
            <w:tcMar>
              <w:top w:type="dxa" w:w="40"/>
              <w:left w:type="dxa" w:w="80"/>
              <w:bottom w:type="dxa" w:w="40"/>
              <w:right w:type="dxa" w:w="80"/>
            </w:tcMar>
          </w:tcPr>
          <w:p>
            <w:r>
              <w:rPr>
                <w:rFonts w:ascii="Calibri" w:cs="Calibri" w:eastAsia="Calibri" w:hAnsi="Calibri"/>
                <w:b/>
                <w:bCs/>
                <w:color w:val="FFFFFF"/>
                <w:sz w:val="18"/>
                <w:szCs w:val="18"/>
              </w:rPr>
              <w:t xml:space="preserve">Effort</w:t>
            </w:r>
          </w:p>
        </w:tc>
        <w:tc>
          <w:tcPr>
            <w:tcW w:type="dxa" w:w="4800"/>
            <w:shd w:fill="1F3864" w:color="auto" w:val="clear"/>
            <w:tcMar>
              <w:top w:type="dxa" w:w="40"/>
              <w:left w:type="dxa" w:w="80"/>
              <w:bottom w:type="dxa" w:w="40"/>
              <w:right w:type="dxa" w:w="80"/>
            </w:tcMar>
          </w:tcPr>
          <w:p>
            <w:r>
              <w:rPr>
                <w:rFonts w:ascii="Calibri" w:cs="Calibri" w:eastAsia="Calibri" w:hAnsi="Calibri"/>
                <w:b/>
                <w:bCs/>
                <w:color w:val="FFFFFF"/>
                <w:sz w:val="18"/>
                <w:szCs w:val="18"/>
              </w:rPr>
              <w:t xml:space="preserve">Representative states</w:t>
            </w:r>
          </w:p>
        </w:tc>
      </w:tr>
      <w:tr>
        <w:tc>
          <w:tcPr>
            <w:tcW w:type="dxa" w:w="3200"/>
            <w:shd w:fill="FFFFFF" w:color="auto" w:val="clear"/>
            <w:tcMar>
              <w:top w:type="dxa" w:w="40"/>
              <w:left w:type="dxa" w:w="80"/>
              <w:bottom w:type="dxa" w:w="40"/>
              <w:right w:type="dxa" w:w="80"/>
            </w:tcMar>
          </w:tcPr>
          <w:p>
            <w:r>
              <w:rPr>
                <w:rFonts w:ascii="Calibri" w:cs="Calibri" w:eastAsia="Calibri" w:hAnsi="Calibri"/>
                <w:color w:val="000000"/>
                <w:sz w:val="18"/>
                <w:szCs w:val="18"/>
              </w:rPr>
              <w:t xml:space="preserve">Structured API / CSV / JSON / Sheets</w:t>
            </w:r>
          </w:p>
        </w:tc>
        <w:tc>
          <w:tcPr>
            <w:tcW w:type="dxa" w:w="1200"/>
            <w:shd w:fill="FFFFFF" w:color="auto" w:val="clear"/>
            <w:tcMar>
              <w:top w:type="dxa" w:w="40"/>
              <w:left w:type="dxa" w:w="80"/>
              <w:bottom w:type="dxa" w:w="40"/>
              <w:right w:type="dxa" w:w="80"/>
            </w:tcMar>
          </w:tcPr>
          <w:p>
            <w:r>
              <w:rPr>
                <w:rFonts w:ascii="Calibri" w:cs="Calibri" w:eastAsia="Calibri" w:hAnsi="Calibri"/>
                <w:color w:val="000000"/>
                <w:sz w:val="18"/>
                <w:szCs w:val="18"/>
              </w:rPr>
              <w:t xml:space="preserve">Low</w:t>
            </w:r>
          </w:p>
        </w:tc>
        <w:tc>
          <w:tcPr>
            <w:tcW w:type="dxa" w:w="4800"/>
            <w:shd w:fill="FFFFFF" w:color="auto" w:val="clear"/>
            <w:tcMar>
              <w:top w:type="dxa" w:w="40"/>
              <w:left w:type="dxa" w:w="80"/>
              <w:bottom w:type="dxa" w:w="40"/>
              <w:right w:type="dxa" w:w="80"/>
            </w:tcMar>
          </w:tcPr>
          <w:p>
            <w:r>
              <w:rPr>
                <w:rFonts w:ascii="Calibri" w:cs="Calibri" w:eastAsia="Calibri" w:hAnsi="Calibri"/>
                <w:color w:val="000000"/>
                <w:sz w:val="18"/>
                <w:szCs w:val="18"/>
              </w:rPr>
              <w:t xml:space="preserve">CT, IL, CO, WI, AL, MI, NE (JSON/CSV endpoints)</w:t>
            </w:r>
          </w:p>
        </w:tc>
      </w:tr>
      <w:tr>
        <w:tc>
          <w:tcPr>
            <w:tcW w:type="dxa" w:w="3200"/>
            <w:shd w:fill="F2F5FA" w:color="auto" w:val="clear"/>
            <w:tcMar>
              <w:top w:type="dxa" w:w="40"/>
              <w:left w:type="dxa" w:w="80"/>
              <w:bottom w:type="dxa" w:w="40"/>
              <w:right w:type="dxa" w:w="80"/>
            </w:tcMar>
          </w:tcPr>
          <w:p>
            <w:r>
              <w:rPr>
                <w:rFonts w:ascii="Calibri" w:cs="Calibri" w:eastAsia="Calibri" w:hAnsi="Calibri"/>
                <w:color w:val="000000"/>
                <w:sz w:val="18"/>
                <w:szCs w:val="18"/>
              </w:rPr>
              <w:t xml:space="preserve">Excel file download (.xlsx/.xls)</w:t>
            </w:r>
          </w:p>
        </w:tc>
        <w:tc>
          <w:tcPr>
            <w:tcW w:type="dxa" w:w="1200"/>
            <w:shd w:fill="F2F5FA" w:color="auto" w:val="clear"/>
            <w:tcMar>
              <w:top w:type="dxa" w:w="40"/>
              <w:left w:type="dxa" w:w="80"/>
              <w:bottom w:type="dxa" w:w="40"/>
              <w:right w:type="dxa" w:w="80"/>
            </w:tcMar>
          </w:tcPr>
          <w:p>
            <w:r>
              <w:rPr>
                <w:rFonts w:ascii="Calibri" w:cs="Calibri" w:eastAsia="Calibri" w:hAnsi="Calibri"/>
                <w:color w:val="000000"/>
                <w:sz w:val="18"/>
                <w:szCs w:val="18"/>
              </w:rPr>
              <w:t xml:space="preserve">Low–Med</w:t>
            </w:r>
          </w:p>
        </w:tc>
        <w:tc>
          <w:tcPr>
            <w:tcW w:type="dxa" w:w="4800"/>
            <w:shd w:fill="F2F5FA" w:color="auto" w:val="clear"/>
            <w:tcMar>
              <w:top w:type="dxa" w:w="40"/>
              <w:left w:type="dxa" w:w="80"/>
              <w:bottom w:type="dxa" w:w="40"/>
              <w:right w:type="dxa" w:w="80"/>
            </w:tcMar>
          </w:tcPr>
          <w:p>
            <w:r>
              <w:rPr>
                <w:rFonts w:ascii="Calibri" w:cs="Calibri" w:eastAsia="Calibri" w:hAnsi="Calibri"/>
                <w:color w:val="000000"/>
                <w:sz w:val="18"/>
                <w:szCs w:val="18"/>
              </w:rPr>
              <w:t xml:space="preserve">NJ, OR, MT, RI, KY, IA, TX (historical)</w:t>
            </w:r>
          </w:p>
        </w:tc>
      </w:tr>
      <w:tr>
        <w:tc>
          <w:tcPr>
            <w:tcW w:type="dxa" w:w="3200"/>
            <w:shd w:fill="FFFFFF" w:color="auto" w:val="clear"/>
            <w:tcMar>
              <w:top w:type="dxa" w:w="40"/>
              <w:left w:type="dxa" w:w="80"/>
              <w:bottom w:type="dxa" w:w="40"/>
              <w:right w:type="dxa" w:w="80"/>
            </w:tcMar>
          </w:tcPr>
          <w:p>
            <w:r>
              <w:rPr>
                <w:rFonts w:ascii="Calibri" w:cs="Calibri" w:eastAsia="Calibri" w:hAnsi="Calibri"/>
                <w:color w:val="000000"/>
                <w:sz w:val="18"/>
                <w:szCs w:val="18"/>
              </w:rPr>
              <w:t xml:space="preserve">HTML table scrape</w:t>
            </w:r>
          </w:p>
        </w:tc>
        <w:tc>
          <w:tcPr>
            <w:tcW w:type="dxa" w:w="1200"/>
            <w:shd w:fill="FFFFFF" w:color="auto" w:val="clear"/>
            <w:tcMar>
              <w:top w:type="dxa" w:w="40"/>
              <w:left w:type="dxa" w:w="80"/>
              <w:bottom w:type="dxa" w:w="40"/>
              <w:right w:type="dxa" w:w="80"/>
            </w:tcMar>
          </w:tcPr>
          <w:p>
            <w:r>
              <w:rPr>
                <w:rFonts w:ascii="Calibri" w:cs="Calibri" w:eastAsia="Calibri" w:hAnsi="Calibri"/>
                <w:color w:val="000000"/>
                <w:sz w:val="18"/>
                <w:szCs w:val="18"/>
              </w:rPr>
              <w:t xml:space="preserve">Medium</w:t>
            </w:r>
          </w:p>
        </w:tc>
        <w:tc>
          <w:tcPr>
            <w:tcW w:type="dxa" w:w="4800"/>
            <w:shd w:fill="FFFFFF" w:color="auto" w:val="clear"/>
            <w:tcMar>
              <w:top w:type="dxa" w:w="40"/>
              <w:left w:type="dxa" w:w="80"/>
              <w:bottom w:type="dxa" w:w="40"/>
              <w:right w:type="dxa" w:w="80"/>
            </w:tcMar>
          </w:tcPr>
          <w:p>
            <w:r>
              <w:rPr>
                <w:rFonts w:ascii="Calibri" w:cs="Calibri" w:eastAsia="Calibri" w:hAnsi="Calibri"/>
                <w:color w:val="000000"/>
                <w:sz w:val="18"/>
                <w:szCs w:val="18"/>
              </w:rPr>
              <w:t xml:space="preserve">AK, DC, IN, MD, MO, PA, SD, UT, MN, OH, TN</w:t>
            </w:r>
          </w:p>
        </w:tc>
      </w:tr>
      <w:tr>
        <w:tc>
          <w:tcPr>
            <w:tcW w:type="dxa" w:w="3200"/>
            <w:shd w:fill="F2F5FA" w:color="auto" w:val="clear"/>
            <w:tcMar>
              <w:top w:type="dxa" w:w="40"/>
              <w:left w:type="dxa" w:w="80"/>
              <w:bottom w:type="dxa" w:w="40"/>
              <w:right w:type="dxa" w:w="80"/>
            </w:tcMar>
          </w:tcPr>
          <w:p>
            <w:r>
              <w:rPr>
                <w:rFonts w:ascii="Calibri" w:cs="Calibri" w:eastAsia="Calibri" w:hAnsi="Calibri"/>
                <w:color w:val="000000"/>
                <w:sz w:val="18"/>
                <w:szCs w:val="18"/>
              </w:rPr>
              <w:t xml:space="preserve">PDF report parsing</w:t>
            </w:r>
          </w:p>
        </w:tc>
        <w:tc>
          <w:tcPr>
            <w:tcW w:type="dxa" w:w="1200"/>
            <w:shd w:fill="F2F5FA" w:color="auto" w:val="clear"/>
            <w:tcMar>
              <w:top w:type="dxa" w:w="40"/>
              <w:left w:type="dxa" w:w="80"/>
              <w:bottom w:type="dxa" w:w="40"/>
              <w:right w:type="dxa" w:w="80"/>
            </w:tcMar>
          </w:tcPr>
          <w:p>
            <w:r>
              <w:rPr>
                <w:rFonts w:ascii="Calibri" w:cs="Calibri" w:eastAsia="Calibri" w:hAnsi="Calibri"/>
                <w:color w:val="000000"/>
                <w:sz w:val="18"/>
                <w:szCs w:val="18"/>
              </w:rPr>
              <w:t xml:space="preserve">High</w:t>
            </w:r>
          </w:p>
        </w:tc>
        <w:tc>
          <w:tcPr>
            <w:tcW w:type="dxa" w:w="4800"/>
            <w:shd w:fill="F2F5FA" w:color="auto" w:val="clear"/>
            <w:tcMar>
              <w:top w:type="dxa" w:w="40"/>
              <w:left w:type="dxa" w:w="80"/>
              <w:bottom w:type="dxa" w:w="40"/>
              <w:right w:type="dxa" w:w="80"/>
            </w:tcMar>
          </w:tcPr>
          <w:p>
            <w:r>
              <w:rPr>
                <w:rFonts w:ascii="Calibri" w:cs="Calibri" w:eastAsia="Calibri" w:hAnsi="Calibri"/>
                <w:color w:val="000000"/>
                <w:sz w:val="18"/>
                <w:szCs w:val="18"/>
              </w:rPr>
              <w:t xml:space="preserve">CA, FL, HI, ID, LA, MS, ND, NM, SC, NV</w:t>
            </w:r>
          </w:p>
        </w:tc>
      </w:tr>
      <w:tr>
        <w:tc>
          <w:tcPr>
            <w:tcW w:type="dxa" w:w="3200"/>
            <w:shd w:fill="FFFFFF" w:color="auto" w:val="clear"/>
            <w:tcMar>
              <w:top w:type="dxa" w:w="40"/>
              <w:left w:type="dxa" w:w="80"/>
              <w:bottom w:type="dxa" w:w="40"/>
              <w:right w:type="dxa" w:w="80"/>
            </w:tcMar>
          </w:tcPr>
          <w:p>
            <w:r>
              <w:rPr>
                <w:rFonts w:ascii="Calibri" w:cs="Calibri" w:eastAsia="Calibri" w:hAnsi="Calibri"/>
                <w:color w:val="000000"/>
                <w:sz w:val="18"/>
                <w:szCs w:val="18"/>
              </w:rPr>
              <w:t xml:space="preserve">Tableau / analytics dashboard</w:t>
            </w:r>
          </w:p>
        </w:tc>
        <w:tc>
          <w:tcPr>
            <w:tcW w:type="dxa" w:w="1200"/>
            <w:shd w:fill="FFFFFF" w:color="auto" w:val="clear"/>
            <w:tcMar>
              <w:top w:type="dxa" w:w="40"/>
              <w:left w:type="dxa" w:w="80"/>
              <w:bottom w:type="dxa" w:w="40"/>
              <w:right w:type="dxa" w:w="80"/>
            </w:tcMar>
          </w:tcPr>
          <w:p>
            <w:r>
              <w:rPr>
                <w:rFonts w:ascii="Calibri" w:cs="Calibri" w:eastAsia="Calibri" w:hAnsi="Calibri"/>
                <w:color w:val="000000"/>
                <w:sz w:val="18"/>
                <w:szCs w:val="18"/>
              </w:rPr>
              <w:t xml:space="preserve">Med–High</w:t>
            </w:r>
          </w:p>
        </w:tc>
        <w:tc>
          <w:tcPr>
            <w:tcW w:type="dxa" w:w="4800"/>
            <w:shd w:fill="FFFFFF" w:color="auto" w:val="clear"/>
            <w:tcMar>
              <w:top w:type="dxa" w:w="40"/>
              <w:left w:type="dxa" w:w="80"/>
              <w:bottom w:type="dxa" w:w="40"/>
              <w:right w:type="dxa" w:w="80"/>
            </w:tcMar>
          </w:tcPr>
          <w:p>
            <w:r>
              <w:rPr>
                <w:rFonts w:ascii="Calibri" w:cs="Calibri" w:eastAsia="Calibri" w:hAnsi="Calibri"/>
                <w:color w:val="000000"/>
                <w:sz w:val="18"/>
                <w:szCs w:val="18"/>
              </w:rPr>
              <w:t xml:space="preserve">NY (Tableau), NC (LEAD dashboard)</w:t>
            </w:r>
          </w:p>
        </w:tc>
      </w:tr>
    </w:tbl>
    <w:p>
      <w:pPr>
        <w:spacing w:after="120" w:line="276"/>
      </w:pPr>
      <w:r>
        <w:rPr>
          <w:rFonts w:ascii="Calibri" w:cs="Calibri" w:eastAsia="Calibri" w:hAnsi="Calibri"/>
          <w:b/>
          <w:bCs/>
          <w:sz w:val="21"/>
          <w:szCs w:val="21"/>
        </w:rPr>
        <w:t xml:space="preserve">Form-driven CSV exports </w:t>
      </w:r>
      <w:r>
        <w:rPr>
          <w:rFonts w:ascii="Calibri" w:cs="Calibri" w:eastAsia="Calibri" w:hAnsi="Calibri"/>
          <w:sz w:val="21"/>
          <w:szCs w:val="21"/>
        </w:rPr>
        <w:t xml:space="preserve">(AZ, DE, KS, ME, VT and others on the AJLA vendor) sit between patterns 1 and 3: you submit a search form, then download a CSV — structured output behind a small automation step.</w:t>
      </w:r>
    </w:p>
    <w:p>
      <w:pPr>
        <w:pStyle w:val="Heading1"/>
        <w:spacing w:after="120" w:before="280"/>
      </w:pPr>
      <w:r>
        <w:rPr>
          <w:rFonts w:ascii="Calibri" w:cs="Calibri" w:eastAsia="Calibri" w:hAnsi="Calibri"/>
          <w:b/>
          <w:bCs/>
          <w:color w:val="1F3864"/>
          <w:sz w:val="30"/>
          <w:szCs w:val="30"/>
        </w:rPr>
        <w:t xml:space="preserve">3. Shared Vendors = Force Multipliers</w:t>
      </w:r>
    </w:p>
    <w:p>
      <w:pPr>
        <w:spacing w:after="120" w:line="276"/>
      </w:pPr>
      <w:r>
        <w:rPr>
          <w:rFonts w:ascii="Calibri" w:cs="Calibri" w:eastAsia="Calibri" w:hAnsi="Calibri"/>
          <w:sz w:val="21"/>
          <w:szCs w:val="21"/>
        </w:rPr>
        <w:t xml:space="preserve">The single biggest scale lever is that some states run identical third-party platforms. One adapter, parameterized by state, covers all of them:</w:t>
      </w:r>
    </w:p>
    <w:p>
      <w:pPr>
        <w:pStyle w:val="ListParagraph"/>
        <w:numPr>
          <w:ilvl w:val="0"/>
          <w:numId w:val="1"/>
        </w:numPr>
        <w:spacing w:after="60" w:line="264"/>
      </w:pPr>
      <w:r>
        <w:rPr>
          <w:rFonts w:ascii="Calibri" w:cs="Calibri" w:eastAsia="Calibri" w:hAnsi="Calibri"/>
          <w:b/>
          <w:bCs/>
          <w:color w:val="C00000"/>
          <w:sz w:val="21"/>
          <w:szCs w:val="21"/>
        </w:rPr>
        <w:t xml:space="preserve">America's JobLink (AJLA): </w:t>
      </w:r>
      <w:r>
        <w:rPr>
          <w:rFonts w:ascii="Calibri" w:cs="Calibri" w:eastAsia="Calibri" w:hAnsi="Calibri"/>
          <w:sz w:val="21"/>
          <w:szCs w:val="21"/>
        </w:rPr>
        <w:t xml:space="preserve">Arizona, Delaware, Kansas, Maine, and Vermont all expose the same </w:t>
      </w:r>
      <w:r>
        <w:rPr>
          <w:rFonts w:ascii="Calibri" w:cs="Calibri" w:eastAsia="Calibri" w:hAnsi="Calibri"/>
          <w:i/>
          <w:iCs/>
          <w:sz w:val="21"/>
          <w:szCs w:val="21"/>
        </w:rPr>
        <w:t xml:space="preserve">/search/warn_lookups</w:t>
      </w:r>
      <w:r>
        <w:rPr>
          <w:rFonts w:ascii="Calibri" w:cs="Calibri" w:eastAsia="Calibri" w:hAnsi="Calibri"/>
          <w:sz w:val="21"/>
          <w:szCs w:val="21"/>
        </w:rPr>
        <w:t xml:space="preserve"> form and CSV export. One adapter → five states.</w:t>
      </w:r>
    </w:p>
    <w:p>
      <w:pPr>
        <w:pStyle w:val="ListParagraph"/>
        <w:numPr>
          <w:ilvl w:val="0"/>
          <w:numId w:val="1"/>
        </w:numPr>
        <w:spacing w:after="60" w:line="264"/>
      </w:pPr>
      <w:r>
        <w:rPr>
          <w:rFonts w:ascii="Calibri" w:cs="Calibri" w:eastAsia="Calibri" w:hAnsi="Calibri"/>
          <w:b/>
          <w:bCs/>
          <w:sz w:val="21"/>
          <w:szCs w:val="21"/>
        </w:rPr>
        <w:t xml:space="preserve">Google Sheets–backed: </w:t>
      </w:r>
      <w:r>
        <w:rPr>
          <w:rFonts w:ascii="Calibri" w:cs="Calibri" w:eastAsia="Calibri" w:hAnsi="Calibri"/>
          <w:sz w:val="21"/>
          <w:szCs w:val="21"/>
        </w:rPr>
        <w:t xml:space="preserve">Colorado and Wisconsin publish through Google Sheets; a single Sheets-API reader handles both and any future adopters.</w:t>
      </w:r>
    </w:p>
    <w:p>
      <w:pPr>
        <w:pStyle w:val="ListParagraph"/>
        <w:numPr>
          <w:ilvl w:val="0"/>
          <w:numId w:val="1"/>
        </w:numPr>
        <w:spacing w:after="60" w:line="264"/>
      </w:pPr>
      <w:r>
        <w:rPr>
          <w:rFonts w:ascii="Calibri" w:cs="Calibri" w:eastAsia="Calibri" w:hAnsi="Calibri"/>
          <w:b/>
          <w:bCs/>
          <w:sz w:val="21"/>
          <w:szCs w:val="21"/>
        </w:rPr>
        <w:t xml:space="preserve">Salesforce Community portals: </w:t>
      </w:r>
      <w:r>
        <w:rPr>
          <w:rFonts w:ascii="Calibri" w:cs="Calibri" w:eastAsia="Calibri" w:hAnsi="Calibri"/>
          <w:sz w:val="21"/>
          <w:szCs w:val="21"/>
        </w:rPr>
        <w:t xml:space="preserve">Oklahoma serves data via Salesforce Aura/Apex JSON; the same technique generalizes if other states migrate to Salesforce (a common govtech trend).</w:t>
      </w:r>
    </w:p>
    <w:p>
      <w:pPr>
        <w:pStyle w:val="ListParagraph"/>
        <w:numPr>
          <w:ilvl w:val="0"/>
          <w:numId w:val="1"/>
        </w:numPr>
        <w:spacing w:after="60" w:line="264"/>
      </w:pPr>
      <w:r>
        <w:rPr>
          <w:rFonts w:ascii="Calibri" w:cs="Calibri" w:eastAsia="Calibri" w:hAnsi="Calibri"/>
          <w:b/>
          <w:bCs/>
          <w:sz w:val="21"/>
          <w:szCs w:val="21"/>
        </w:rPr>
        <w:t xml:space="preserve">Tableau Public: </w:t>
      </w:r>
      <w:r>
        <w:rPr>
          <w:rFonts w:ascii="Calibri" w:cs="Calibri" w:eastAsia="Calibri" w:hAnsi="Calibri"/>
          <w:sz w:val="21"/>
          <w:szCs w:val="21"/>
        </w:rPr>
        <w:t xml:space="preserve">New York exposes a Tableau viz whose backing CSV can be pulled directly; the same extraction works for any Tableau-hosted dashboard.</w:t>
      </w:r>
    </w:p>
    <w:p>
      <w:pPr>
        <w:spacing w:after="120" w:line="276"/>
      </w:pPr>
      <w:r>
        <w:rPr>
          <w:rFonts w:ascii="Calibri" w:cs="Calibri" w:eastAsia="Calibri" w:hAnsi="Calibri"/>
          <w:sz w:val="21"/>
          <w:szCs w:val="21"/>
        </w:rPr>
        <w:t xml:space="preserve">Designing adapters around platform families rather than individual states is what turns a 47-state slog into roughly a dozen distinct integrations plus configuration.</w:t>
      </w:r>
    </w:p>
    <w:p>
      <w:r>
        <w:br w:type="page"/>
      </w:r>
    </w:p>
    <w:p>
      <w:pPr>
        <w:pStyle w:val="Heading1"/>
        <w:spacing w:after="120" w:before="280"/>
      </w:pPr>
      <w:r>
        <w:rPr>
          <w:rFonts w:ascii="Calibri" w:cs="Calibri" w:eastAsia="Calibri" w:hAnsi="Calibri"/>
          <w:b/>
          <w:bCs/>
          <w:color w:val="1F3864"/>
          <w:sz w:val="30"/>
          <w:szCs w:val="30"/>
        </w:rPr>
        <w:t xml:space="preserve">4. Recommended Ingestion Architecture</w:t>
      </w:r>
    </w:p>
    <w:p>
      <w:pPr>
        <w:spacing w:after="120" w:line="276"/>
      </w:pPr>
      <w:r>
        <w:rPr>
          <w:rFonts w:ascii="Calibri" w:cs="Calibri" w:eastAsia="Calibri" w:hAnsi="Calibri"/>
          <w:sz w:val="21"/>
          <w:szCs w:val="21"/>
        </w:rPr>
        <w:t xml:space="preserve">A four-layer pipeline keeps state-specific messiness isolated from the clean consolidated dataset:</w:t>
      </w:r>
    </w:p>
    <w:p>
      <w:pPr>
        <w:pStyle w:val="Heading2"/>
        <w:spacing w:after="80" w:before="200"/>
      </w:pPr>
      <w:r>
        <w:rPr>
          <w:rFonts w:ascii="Calibri" w:cs="Calibri" w:eastAsia="Calibri" w:hAnsi="Calibri"/>
          <w:b/>
          <w:bCs/>
          <w:color w:val="1F3864"/>
          <w:sz w:val="24"/>
          <w:szCs w:val="24"/>
        </w:rPr>
        <w:t xml:space="preserve">Layer 1 — Source adapters (per pattern, configured per state)</w:t>
      </w:r>
    </w:p>
    <w:p>
      <w:pPr>
        <w:spacing w:after="120" w:line="276"/>
      </w:pPr>
      <w:r>
        <w:rPr>
          <w:rFonts w:ascii="Calibri" w:cs="Calibri" w:eastAsia="Calibri" w:hAnsi="Calibri"/>
          <w:sz w:val="21"/>
          <w:szCs w:val="21"/>
        </w:rPr>
        <w:t xml:space="preserve">Each adapter's only job is to fetch a state's raw data and emit rows in a common intermediate shape. Group them by the five patterns above so most states are configuration, not new code. Adapters should record the source URL, fetch timestamp, and a raw-payload snapshot for auditability and reprocessing.</w:t>
      </w:r>
    </w:p>
    <w:p>
      <w:pPr>
        <w:pStyle w:val="Heading2"/>
        <w:spacing w:after="80" w:before="200"/>
      </w:pPr>
      <w:r>
        <w:rPr>
          <w:rFonts w:ascii="Calibri" w:cs="Calibri" w:eastAsia="Calibri" w:hAnsi="Calibri"/>
          <w:b/>
          <w:bCs/>
          <w:color w:val="1F3864"/>
          <w:sz w:val="24"/>
          <w:szCs w:val="24"/>
        </w:rPr>
        <w:t xml:space="preserve">Layer 2 — Normalization</w:t>
      </w:r>
    </w:p>
    <w:p>
      <w:pPr>
        <w:spacing w:after="120" w:line="276"/>
      </w:pPr>
      <w:r>
        <w:rPr>
          <w:rFonts w:ascii="Calibri" w:cs="Calibri" w:eastAsia="Calibri" w:hAnsi="Calibri"/>
          <w:sz w:val="21"/>
          <w:szCs w:val="21"/>
        </w:rPr>
        <w:t xml:space="preserve">Map each state's idiosyncratic columns to one canonical schema, parse dates and integers, standardize company names, and geocode where possible. This is where the bulk of ongoing maintenance lives, because states rename columns and shuffle PDF layouts.</w:t>
      </w:r>
    </w:p>
    <w:p>
      <w:pPr>
        <w:spacing w:after="120" w:line="276"/>
      </w:pPr>
      <w:r>
        <w:rPr>
          <w:rFonts w:ascii="Calibri" w:cs="Calibri" w:eastAsia="Calibri" w:hAnsi="Calibri"/>
          <w:b/>
          <w:bCs/>
          <w:sz w:val="21"/>
          <w:szCs w:val="21"/>
        </w:rPr>
        <w:t xml:space="preserve">Proposed canonical fields: </w:t>
      </w:r>
      <w:r>
        <w:rPr>
          <w:rFonts w:ascii="Calibri" w:cs="Calibri" w:eastAsia="Calibri" w:hAnsi="Calibri"/>
          <w:sz w:val="21"/>
          <w:szCs w:val="21"/>
        </w:rPr>
        <w:t xml:space="preserve">state, employer_name, location/city, county, notice_date, effective/layoff_date, employees_affected, layoff_type (closure vs. mass layoff), industry/NAICS, source_url, source_notice_id, raw_record_hash, first_seen, last_seen.</w:t>
      </w:r>
    </w:p>
    <w:p>
      <w:pPr>
        <w:pStyle w:val="Heading2"/>
        <w:spacing w:after="80" w:before="200"/>
      </w:pPr>
      <w:r>
        <w:rPr>
          <w:rFonts w:ascii="Calibri" w:cs="Calibri" w:eastAsia="Calibri" w:hAnsi="Calibri"/>
          <w:b/>
          <w:bCs/>
          <w:color w:val="1F3864"/>
          <w:sz w:val="24"/>
          <w:szCs w:val="24"/>
        </w:rPr>
        <w:t xml:space="preserve">Layer 3 — Deduplication &amp; change tracking</w:t>
      </w:r>
    </w:p>
    <w:p>
      <w:pPr>
        <w:spacing w:after="120" w:line="276"/>
      </w:pPr>
      <w:r>
        <w:rPr>
          <w:rFonts w:ascii="Calibri" w:cs="Calibri" w:eastAsia="Calibri" w:hAnsi="Calibri"/>
          <w:sz w:val="21"/>
          <w:szCs w:val="21"/>
        </w:rPr>
        <w:t xml:space="preserve">The same notice often appears across multiple pulls, gets amended, or shows up in both a live list and a historical file. Assign a deterministic key (state + employer + notice_date + location, plus a fuzzy match on employer name) and track amendments as versions rather than overwriting. A content hash of the raw record cheaply detects real changes.</w:t>
      </w:r>
    </w:p>
    <w:p>
      <w:pPr>
        <w:pStyle w:val="Heading2"/>
        <w:spacing w:after="80" w:before="200"/>
      </w:pPr>
      <w:r>
        <w:rPr>
          <w:rFonts w:ascii="Calibri" w:cs="Calibri" w:eastAsia="Calibri" w:hAnsi="Calibri"/>
          <w:b/>
          <w:bCs/>
          <w:color w:val="1F3864"/>
          <w:sz w:val="24"/>
          <w:szCs w:val="24"/>
        </w:rPr>
        <w:t xml:space="preserve">Layer 4 — Storage, scheduling &amp; delivery</w:t>
      </w:r>
    </w:p>
    <w:p>
      <w:pPr>
        <w:spacing w:after="120" w:line="276"/>
      </w:pPr>
      <w:r>
        <w:rPr>
          <w:rFonts w:ascii="Calibri" w:cs="Calibri" w:eastAsia="Calibri" w:hAnsi="Calibri"/>
          <w:sz w:val="21"/>
          <w:szCs w:val="21"/>
        </w:rPr>
        <w:t xml:space="preserve">Persist to a database (Postgres is ample) with the raw snapshots in object storage. Schedule pulls on a cadence matched to each state — weekly is sufficient for most; a few update daily. Because ~4 states are records-request only, plan a manual/FOIA ingestion path plus, optionally, backfilling gaps from a commercial aggregator (layoffdata.com, WARN Firehose) rather than scraping.</w:t>
      </w:r>
    </w:p>
    <w:p>
      <w:pPr>
        <w:pStyle w:val="Heading1"/>
        <w:spacing w:after="120" w:before="280"/>
      </w:pPr>
      <w:r>
        <w:rPr>
          <w:rFonts w:ascii="Calibri" w:cs="Calibri" w:eastAsia="Calibri" w:hAnsi="Calibri"/>
          <w:b/>
          <w:bCs/>
          <w:color w:val="1F3864"/>
          <w:sz w:val="30"/>
          <w:szCs w:val="30"/>
        </w:rPr>
        <w:t xml:space="preserve">5. Suggested Rollout Sequence</w:t>
      </w:r>
    </w:p>
    <w:p>
      <w:pPr>
        <w:spacing w:after="120" w:line="276"/>
      </w:pPr>
      <w:r>
        <w:rPr>
          <w:rFonts w:ascii="Calibri" w:cs="Calibri" w:eastAsia="Calibri" w:hAnsi="Calibri"/>
          <w:sz w:val="21"/>
          <w:szCs w:val="21"/>
        </w:rPr>
        <w:t xml:space="preserve">Sequence by effort-to-value so the dataset is useful early:</w:t>
      </w:r>
    </w:p>
    <w:p>
      <w:pPr>
        <w:pStyle w:val="ListParagraph"/>
        <w:numPr>
          <w:ilvl w:val="0"/>
          <w:numId w:val="1"/>
        </w:numPr>
        <w:spacing w:after="60" w:line="264"/>
      </w:pPr>
      <w:r>
        <w:rPr>
          <w:rFonts w:ascii="Calibri" w:cs="Calibri" w:eastAsia="Calibri" w:hAnsi="Calibri"/>
          <w:b/>
          <w:bCs/>
          <w:sz w:val="21"/>
          <w:szCs w:val="21"/>
        </w:rPr>
        <w:t xml:space="preserve">Phase 1 (fastest, highest volume): </w:t>
      </w:r>
      <w:r>
        <w:rPr>
          <w:rFonts w:ascii="Calibri" w:cs="Calibri" w:eastAsia="Calibri" w:hAnsi="Calibri"/>
          <w:sz w:val="21"/>
          <w:szCs w:val="21"/>
        </w:rPr>
        <w:t xml:space="preserve">structured sources + big states with clean feeds — IL, CT, CO, NJ, NY, TX, WI, plus the AJLA five (AZ, DE, KS, ME, VT) via one adapter.</w:t>
      </w:r>
    </w:p>
    <w:p>
      <w:pPr>
        <w:pStyle w:val="ListParagraph"/>
        <w:numPr>
          <w:ilvl w:val="0"/>
          <w:numId w:val="1"/>
        </w:numPr>
        <w:spacing w:after="60" w:line="264"/>
      </w:pPr>
      <w:r>
        <w:rPr>
          <w:rFonts w:ascii="Calibri" w:cs="Calibri" w:eastAsia="Calibri" w:hAnsi="Calibri"/>
          <w:b/>
          <w:bCs/>
          <w:sz w:val="21"/>
          <w:szCs w:val="21"/>
        </w:rPr>
        <w:t xml:space="preserve">Phase 2: </w:t>
      </w:r>
      <w:r>
        <w:rPr>
          <w:rFonts w:ascii="Calibri" w:cs="Calibri" w:eastAsia="Calibri" w:hAnsi="Calibri"/>
          <w:sz w:val="21"/>
          <w:szCs w:val="21"/>
        </w:rPr>
        <w:t xml:space="preserve">HTML-table states — IN, MO, MD, PA, UT, SD, OH, TN, MN, and similar.</w:t>
      </w:r>
    </w:p>
    <w:p>
      <w:pPr>
        <w:pStyle w:val="ListParagraph"/>
        <w:numPr>
          <w:ilvl w:val="0"/>
          <w:numId w:val="1"/>
        </w:numPr>
        <w:spacing w:after="60" w:line="264"/>
      </w:pPr>
      <w:r>
        <w:rPr>
          <w:rFonts w:ascii="Calibri" w:cs="Calibri" w:eastAsia="Calibri" w:hAnsi="Calibri"/>
          <w:b/>
          <w:bCs/>
          <w:sz w:val="21"/>
          <w:szCs w:val="21"/>
        </w:rPr>
        <w:t xml:space="preserve">Phase 3 (hardest): </w:t>
      </w:r>
      <w:r>
        <w:rPr>
          <w:rFonts w:ascii="Calibri" w:cs="Calibri" w:eastAsia="Calibri" w:hAnsi="Calibri"/>
          <w:sz w:val="21"/>
          <w:szCs w:val="21"/>
        </w:rPr>
        <w:t xml:space="preserve">PDF-heavy states — CA, FL, LA, MS, ND, NM, SC, ID, HI, NV — where parsing and format drift demand the most maintenance.</w:t>
      </w:r>
    </w:p>
    <w:p>
      <w:pPr>
        <w:pStyle w:val="ListParagraph"/>
        <w:numPr>
          <w:ilvl w:val="0"/>
          <w:numId w:val="1"/>
        </w:numPr>
        <w:spacing w:after="60" w:line="264"/>
      </w:pPr>
      <w:r>
        <w:rPr>
          <w:rFonts w:ascii="Calibri" w:cs="Calibri" w:eastAsia="Calibri" w:hAnsi="Calibri"/>
          <w:b/>
          <w:bCs/>
          <w:sz w:val="21"/>
          <w:szCs w:val="21"/>
        </w:rPr>
        <w:t xml:space="preserve">Phase 4 (manual): </w:t>
      </w:r>
      <w:r>
        <w:rPr>
          <w:rFonts w:ascii="Calibri" w:cs="Calibri" w:eastAsia="Calibri" w:hAnsi="Calibri"/>
          <w:sz w:val="21"/>
          <w:szCs w:val="21"/>
        </w:rPr>
        <w:t xml:space="preserve">records-request states — AR, NH, WV, WY — via periodic FOIA or aggregator backfill.</w:t>
      </w:r>
    </w:p>
    <w:p>
      <w:pPr>
        <w:pStyle w:val="Heading1"/>
        <w:spacing w:after="120" w:before="280"/>
      </w:pPr>
      <w:r>
        <w:rPr>
          <w:rFonts w:ascii="Calibri" w:cs="Calibri" w:eastAsia="Calibri" w:hAnsi="Calibri"/>
          <w:b/>
          <w:bCs/>
          <w:color w:val="1F3864"/>
          <w:sz w:val="30"/>
          <w:szCs w:val="30"/>
        </w:rPr>
        <w:t xml:space="preserve">6. Build vs. Fork (for the eventual build phase)</w:t>
      </w:r>
    </w:p>
    <w:p>
      <w:pPr>
        <w:spacing w:after="120" w:line="276"/>
      </w:pPr>
      <w:r>
        <w:rPr>
          <w:rFonts w:ascii="Calibri" w:cs="Calibri" w:eastAsia="Calibri" w:hAnsi="Calibri"/>
          <w:b/>
          <w:bCs/>
          <w:sz w:val="21"/>
          <w:szCs w:val="21"/>
        </w:rPr>
        <w:t xml:space="preserve">Recommendation: fork or vendor warn-scraper as the ingestion base, and build your own normalization, storage, and delivery on top.</w:t>
      </w:r>
      <w:r>
        <w:rPr>
          <w:rFonts w:ascii="Calibri" w:cs="Calibri" w:eastAsia="Calibri" w:hAnsi="Calibri"/>
          <w:sz w:val="21"/>
          <w:szCs w:val="21"/>
        </w:rPr>
        <w:t xml:space="preserve"> Its 43 per-state scrapers already encode hard-won knowledge of each site's quirks (form tokens, PDF layouts, viewstate handling), which is the expensive part to rediscover. Its weakness is that it is a CLI that emits per-state CSVs, not a consolidated, deduplicated, normalized database — which is exactly the value you would add. Building the scraping layer entirely fresh would mean re-deriving dozens of brittle site integrations for little benefit.</w:t>
      </w:r>
    </w:p>
    <w:p>
      <w:pPr>
        <w:spacing w:after="120" w:line="276"/>
      </w:pPr>
      <w:r>
        <w:rPr>
          <w:rFonts w:ascii="Calibri" w:cs="Calibri" w:eastAsia="Calibri" w:hAnsi="Calibri"/>
          <w:sz w:val="21"/>
          <w:szCs w:val="21"/>
        </w:rPr>
        <w:t xml:space="preserve">Caveats to verify during the build: license compatibility, how current each state scraper is (government sites move — PA and OH have already migrated domains), and whether you need lower latency than a batch CLI provides.</w:t>
      </w:r>
    </w:p>
    <w:p>
      <w:pPr>
        <w:pStyle w:val="Heading1"/>
        <w:spacing w:after="120" w:before="280"/>
      </w:pPr>
      <w:r>
        <w:rPr>
          <w:rFonts w:ascii="Calibri" w:cs="Calibri" w:eastAsia="Calibri" w:hAnsi="Calibri"/>
          <w:b/>
          <w:bCs/>
          <w:color w:val="1F3864"/>
          <w:sz w:val="30"/>
          <w:szCs w:val="30"/>
        </w:rPr>
        <w:t xml:space="preserve">7. Risks &amp; Ongoing Maintenance</w:t>
      </w:r>
    </w:p>
    <w:p>
      <w:pPr>
        <w:pStyle w:val="ListParagraph"/>
        <w:numPr>
          <w:ilvl w:val="0"/>
          <w:numId w:val="1"/>
        </w:numPr>
        <w:spacing w:after="60" w:line="264"/>
      </w:pPr>
      <w:r>
        <w:rPr>
          <w:rFonts w:ascii="Calibri" w:cs="Calibri" w:eastAsia="Calibri" w:hAnsi="Calibri"/>
          <w:b/>
          <w:bCs/>
          <w:sz w:val="21"/>
          <w:szCs w:val="21"/>
        </w:rPr>
        <w:t xml:space="preserve">Format drift: </w:t>
      </w:r>
      <w:r>
        <w:rPr>
          <w:rFonts w:ascii="Calibri" w:cs="Calibri" w:eastAsia="Calibri" w:hAnsi="Calibri"/>
          <w:sz w:val="21"/>
          <w:szCs w:val="21"/>
        </w:rPr>
        <w:t xml:space="preserve">state sites redesign without notice; HTML and PDF adapters break silently. Add per-source row-count and freshness alerts.</w:t>
      </w:r>
    </w:p>
    <w:p>
      <w:pPr>
        <w:pStyle w:val="ListParagraph"/>
        <w:numPr>
          <w:ilvl w:val="0"/>
          <w:numId w:val="1"/>
        </w:numPr>
        <w:spacing w:after="60" w:line="264"/>
      </w:pPr>
      <w:r>
        <w:rPr>
          <w:rFonts w:ascii="Calibri" w:cs="Calibri" w:eastAsia="Calibri" w:hAnsi="Calibri"/>
          <w:b/>
          <w:bCs/>
          <w:sz w:val="21"/>
          <w:szCs w:val="21"/>
        </w:rPr>
        <w:t xml:space="preserve">Anti-bot friction: </w:t>
      </w:r>
      <w:r>
        <w:rPr>
          <w:rFonts w:ascii="Calibri" w:cs="Calibri" w:eastAsia="Calibri" w:hAnsi="Calibri"/>
          <w:sz w:val="21"/>
          <w:szCs w:val="21"/>
        </w:rPr>
        <w:t xml:space="preserve">a few states (notably Virginia) sit behind bot protection and need a headless browser; Washington uses an ASP.NET viewstate form.</w:t>
      </w:r>
    </w:p>
    <w:p>
      <w:pPr>
        <w:pStyle w:val="ListParagraph"/>
        <w:numPr>
          <w:ilvl w:val="0"/>
          <w:numId w:val="1"/>
        </w:numPr>
        <w:spacing w:after="60" w:line="264"/>
      </w:pPr>
      <w:r>
        <w:rPr>
          <w:rFonts w:ascii="Calibri" w:cs="Calibri" w:eastAsia="Calibri" w:hAnsi="Calibri"/>
          <w:b/>
          <w:bCs/>
          <w:sz w:val="21"/>
          <w:szCs w:val="21"/>
        </w:rPr>
        <w:t xml:space="preserve">PDF variance: </w:t>
      </w:r>
      <w:r>
        <w:rPr>
          <w:rFonts w:ascii="Calibri" w:cs="Calibri" w:eastAsia="Calibri" w:hAnsi="Calibri"/>
          <w:sz w:val="21"/>
          <w:szCs w:val="21"/>
        </w:rPr>
        <w:t xml:space="preserve">the hardest ongoing cost — layouts change year to year and OCR errors creep in.</w:t>
      </w:r>
    </w:p>
    <w:p>
      <w:pPr>
        <w:pStyle w:val="ListParagraph"/>
        <w:numPr>
          <w:ilvl w:val="0"/>
          <w:numId w:val="1"/>
        </w:numPr>
        <w:spacing w:after="60" w:line="264"/>
      </w:pPr>
      <w:r>
        <w:rPr>
          <w:rFonts w:ascii="Calibri" w:cs="Calibri" w:eastAsia="Calibri" w:hAnsi="Calibri"/>
          <w:b/>
          <w:bCs/>
          <w:sz w:val="21"/>
          <w:szCs w:val="21"/>
        </w:rPr>
        <w:t xml:space="preserve">Semantic inconsistency: </w:t>
      </w:r>
      <w:r>
        <w:rPr>
          <w:rFonts w:ascii="Calibri" w:cs="Calibri" w:eastAsia="Calibri" w:hAnsi="Calibri"/>
          <w:sz w:val="21"/>
          <w:szCs w:val="21"/>
        </w:rPr>
        <w:t xml:space="preserve">states differ on what counts as a notice, whether amendments are separate rows, and how they count affected employees — normalization rules need documented, per-state decisions.</w:t>
      </w:r>
    </w:p>
    <w:p>
      <w:pPr>
        <w:pStyle w:val="ListParagraph"/>
        <w:numPr>
          <w:ilvl w:val="0"/>
          <w:numId w:val="1"/>
        </w:numPr>
        <w:spacing w:after="60" w:line="264"/>
      </w:pPr>
      <w:r>
        <w:rPr>
          <w:rFonts w:ascii="Calibri" w:cs="Calibri" w:eastAsia="Calibri" w:hAnsi="Calibri"/>
          <w:b/>
          <w:bCs/>
          <w:sz w:val="21"/>
          <w:szCs w:val="21"/>
        </w:rPr>
        <w:t xml:space="preserve">Coverage gaps: </w:t>
      </w:r>
      <w:r>
        <w:rPr>
          <w:rFonts w:ascii="Calibri" w:cs="Calibri" w:eastAsia="Calibri" w:hAnsi="Calibri"/>
          <w:sz w:val="21"/>
          <w:szCs w:val="21"/>
        </w:rPr>
        <w:t xml:space="preserve">records-only states and thresholds mean the consolidated set is never fully complete; be explicit about coverage in any downstream product.</w:t>
      </w:r>
    </w:p>
    <w:p>
      <w:pPr>
        <w:pStyle w:val="Heading1"/>
        <w:spacing w:after="120" w:before="280"/>
      </w:pPr>
      <w:r>
        <w:rPr>
          <w:rFonts w:ascii="Calibri" w:cs="Calibri" w:eastAsia="Calibri" w:hAnsi="Calibri"/>
          <w:b/>
          <w:bCs/>
          <w:color w:val="1F3864"/>
          <w:sz w:val="30"/>
          <w:szCs w:val="30"/>
        </w:rPr>
        <w:t xml:space="preserve">Sources</w:t>
      </w:r>
    </w:p>
    <w:p>
      <w:pPr>
        <w:spacing w:after="60"/>
      </w:pPr>
      <w:r>
        <w:rPr>
          <w:rFonts w:ascii="Calibri" w:cs="Calibri" w:eastAsia="Calibri" w:hAnsi="Calibri"/>
          <w:color w:val="595959"/>
          <w:sz w:val="17"/>
          <w:szCs w:val="17"/>
        </w:rPr>
        <w:t xml:space="preserve">biglocalnews/warn-scraper (GitHub) — per-state scraper reference: https://github.com/biglocalnews/warn-scraper</w:t>
      </w:r>
    </w:p>
    <w:p>
      <w:pPr>
        <w:spacing w:after="60"/>
      </w:pPr>
      <w:r>
        <w:rPr>
          <w:rFonts w:ascii="Calibri" w:cs="Calibri" w:eastAsia="Calibri" w:hAnsi="Calibri"/>
          <w:color w:val="595959"/>
          <w:sz w:val="17"/>
          <w:szCs w:val="17"/>
        </w:rPr>
        <w:t xml:space="preserve">WARNTracker.com — aggregator: https://www.warntracker.com/</w:t>
      </w:r>
    </w:p>
    <w:p>
      <w:pPr>
        <w:spacing w:after="60"/>
      </w:pPr>
      <w:r>
        <w:rPr>
          <w:rFonts w:ascii="Calibri" w:cs="Calibri" w:eastAsia="Calibri" w:hAnsi="Calibri"/>
          <w:color w:val="595959"/>
          <w:sz w:val="17"/>
          <w:szCs w:val="17"/>
        </w:rPr>
        <w:t xml:space="preserve">layoffdata.com — aggregator (49 states/territories): https://layoffdata.com/data/</w:t>
      </w:r>
    </w:p>
    <w:p>
      <w:pPr>
        <w:spacing w:after="60"/>
      </w:pPr>
      <w:r>
        <w:rPr>
          <w:rFonts w:ascii="Calibri" w:cs="Calibri" w:eastAsia="Calibri" w:hAnsi="Calibri"/>
          <w:color w:val="595959"/>
          <w:sz w:val="17"/>
          <w:szCs w:val="17"/>
        </w:rPr>
        <w:t xml:space="preserve">WARN Firehose — aggregator: https://warnfirehose.com/</w:t>
      </w:r>
    </w:p>
    <w:p>
      <w:pPr>
        <w:spacing w:after="60"/>
      </w:pPr>
      <w:r>
        <w:rPr>
          <w:rFonts w:ascii="Calibri" w:cs="Calibri" w:eastAsia="Calibri" w:hAnsi="Calibri"/>
          <w:color w:val="595959"/>
          <w:sz w:val="17"/>
          <w:szCs w:val="17"/>
        </w:rPr>
        <w:t xml:space="preserve">Mass.gov WARN updates: https://www.mass.gov/info-details/worker-adjustment-and-retraining-notification-act-warn-layoff-and-closure-updates</w:t>
      </w:r>
    </w:p>
    <w:p>
      <w:pPr>
        <w:spacing w:after="60"/>
      </w:pPr>
      <w:r>
        <w:rPr>
          <w:rFonts w:ascii="Calibri" w:cs="Calibri" w:eastAsia="Calibri" w:hAnsi="Calibri"/>
          <w:color w:val="595959"/>
          <w:sz w:val="17"/>
          <w:szCs w:val="17"/>
        </w:rPr>
        <w:t xml:space="preserve">MN DEED WARN archive: https://mn.gov/deed/business/layoff-resources/warn-archive/</w:t>
      </w:r>
    </w:p>
    <w:p>
      <w:pPr>
        <w:spacing w:after="60"/>
      </w:pPr>
      <w:r>
        <w:rPr>
          <w:rFonts w:ascii="Calibri" w:cs="Calibri" w:eastAsia="Calibri" w:hAnsi="Calibri"/>
          <w:color w:val="595959"/>
          <w:sz w:val="17"/>
          <w:szCs w:val="17"/>
        </w:rPr>
        <w:t xml:space="preserve">NC Commerce Workforce WARN Reports: https://www.commerce.nc.gov/data-tools-reports/labor-market-data-tools/workforce-warn-reports</w:t>
      </w:r>
    </w:p>
    <w:p>
      <w:pPr>
        <w:spacing w:after="60"/>
      </w:pPr>
      <w:r>
        <w:rPr>
          <w:rFonts w:ascii="Calibri" w:cs="Calibri" w:eastAsia="Calibri" w:hAnsi="Calibri"/>
          <w:color w:val="595959"/>
          <w:sz w:val="17"/>
          <w:szCs w:val="17"/>
        </w:rPr>
        <w:t xml:space="preserve">NV DETR WARN: https://detr.nv.gov/Page/WARN</w:t>
      </w:r>
    </w:p>
    <w:p>
      <w:pPr>
        <w:spacing w:after="60"/>
      </w:pPr>
      <w:r>
        <w:rPr>
          <w:rFonts w:ascii="Calibri" w:cs="Calibri" w:eastAsia="Calibri" w:hAnsi="Calibri"/>
          <w:color w:val="595959"/>
          <w:sz w:val="17"/>
          <w:szCs w:val="17"/>
        </w:rPr>
        <w:t xml:space="preserve">US DOL WARN compliance: https://www.dol.gov/agencies/eta/layoffs/warn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2026-07-16T18:26:11.720Z</dcterms:created>
  <dcterms:modified xsi:type="dcterms:W3CDTF">2026-07-16T18:26:11.721Z</dcterms:modified>
</cp:coreProperties>
</file>

<file path=docProps/custom.xml><?xml version="1.0" encoding="utf-8"?>
<Properties xmlns="http://schemas.openxmlformats.org/officeDocument/2006/custom-properties" xmlns:vt="http://schemas.openxmlformats.org/officeDocument/2006/docPropsVTypes"/>
</file>