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0F" w:rsidRDefault="008500A1">
      <w:r w:rsidRPr="00B33842">
        <w:t>Estimating shifts in squid distribution</w:t>
      </w:r>
    </w:p>
    <w:p w:rsidR="006C7550" w:rsidRPr="006C7550" w:rsidRDefault="006C7550">
      <w:pPr>
        <w:rPr>
          <w:b/>
        </w:rPr>
      </w:pPr>
      <w:r>
        <w:rPr>
          <w:b/>
        </w:rPr>
        <w:t>Methods</w:t>
      </w:r>
    </w:p>
    <w:p w:rsidR="000D3F3E" w:rsidRDefault="000D3F3E">
      <w:r>
        <w:rPr>
          <w:i/>
        </w:rPr>
        <w:t>Data</w:t>
      </w:r>
    </w:p>
    <w:p w:rsidR="000D3F3E" w:rsidRPr="000D3F3E" w:rsidRDefault="000D3F3E">
      <w:r>
        <w:tab/>
      </w:r>
      <w:r w:rsidR="00B91565">
        <w:t>We obtained squid catch data from fishery independent surveys conducted by the Northwest Fisheries Science Center from 1998 to 2019 and from the Southwest Fisheries Science Center from 2010 to 2016 (</w:t>
      </w:r>
      <w:r w:rsidR="00B91565">
        <w:fldChar w:fldCharType="begin"/>
      </w:r>
      <w:r w:rsidR="00B91565">
        <w:instrText xml:space="preserve"> REF _Ref40963096 \h </w:instrText>
      </w:r>
      <w:r w:rsidR="00B91565">
        <w:fldChar w:fldCharType="separate"/>
      </w:r>
      <w:r w:rsidR="006807ED">
        <w:t xml:space="preserve">Figure </w:t>
      </w:r>
      <w:r w:rsidR="006807ED">
        <w:rPr>
          <w:noProof/>
        </w:rPr>
        <w:t>1</w:t>
      </w:r>
      <w:r w:rsidR="00B91565">
        <w:fldChar w:fldCharType="end"/>
      </w:r>
      <w:r w:rsidR="00B91565">
        <w:t xml:space="preserve">). </w:t>
      </w:r>
      <w:r w:rsidR="00AB7EF0">
        <w:t>Surveys were conducted during the day using a surface trawl. Trawls were conducted at specific stations each; however, not all stations were sampled every year and in some years additions to the standard trawl location were made. Trawls typically last 30 minutes. We calculate trawl distance using xx and we estimate the effective width of the trawl to be xx m, such that the total area of each trawl could be estimated as the distance times the width. The abundance of squid in each trawl and up to 100 individual lengths were recorded</w:t>
      </w:r>
      <w:r w:rsidR="00B91565">
        <w:t>.</w:t>
      </w:r>
      <w:r w:rsidR="00AB7EF0">
        <w:t xml:space="preserve"> Additionally, biophysical data such as the temperature (</w:t>
      </w:r>
      <m:oMath>
        <m:r>
          <w:rPr>
            <w:rFonts w:ascii="Cambria Math" w:hAnsi="Cambria Math"/>
          </w:rPr>
          <m:t>°</m:t>
        </m:r>
        <m:r>
          <m:rPr>
            <m:sty m:val="p"/>
          </m:rPr>
          <w:rPr>
            <w:rFonts w:ascii="Cambria Math" w:hAnsi="Cambria Math"/>
          </w:rPr>
          <m:t>C</m:t>
        </m:r>
      </m:oMath>
      <w:r w:rsidR="00404673">
        <w:rPr>
          <w:rFonts w:eastAsiaTheme="minorEastAsia"/>
        </w:rPr>
        <w:t>), chlorophyll concentration (mg m</w:t>
      </w:r>
      <w:r w:rsidR="00404673">
        <w:rPr>
          <w:rFonts w:eastAsiaTheme="minorEastAsia"/>
          <w:vertAlign w:val="superscript"/>
        </w:rPr>
        <w:t>-</w:t>
      </w:r>
      <w:proofErr w:type="gramStart"/>
      <w:r w:rsidR="00404673">
        <w:rPr>
          <w:rFonts w:eastAsiaTheme="minorEastAsia"/>
          <w:vertAlign w:val="superscript"/>
        </w:rPr>
        <w:t>3</w:t>
      </w:r>
      <w:r w:rsidR="00404673">
        <w:rPr>
          <w:rFonts w:eastAsiaTheme="minorEastAsia"/>
        </w:rPr>
        <w:t xml:space="preserve"> ???</w:t>
      </w:r>
      <w:proofErr w:type="gramEnd"/>
      <w:r w:rsidR="00404673">
        <w:rPr>
          <w:rFonts w:eastAsiaTheme="minorEastAsia"/>
        </w:rPr>
        <w:t xml:space="preserve">), and salinity (ppm) at a depth of three meters was recorded during each trawl. There were some modifications to the </w:t>
      </w:r>
      <w:r w:rsidR="00065B0F">
        <w:rPr>
          <w:rFonts w:eastAsiaTheme="minorEastAsia"/>
        </w:rPr>
        <w:t>gear</w:t>
      </w:r>
      <w:r w:rsidR="00404673">
        <w:rPr>
          <w:rFonts w:eastAsiaTheme="minorEastAsia"/>
        </w:rPr>
        <w:t xml:space="preserve">, vessel, and crew over the years.  </w:t>
      </w:r>
      <w:r w:rsidR="00B91565">
        <w:t xml:space="preserve"> </w:t>
      </w:r>
      <w:r w:rsidR="00404673">
        <w:t xml:space="preserve">For the NWFSC survey, the vessel have been xx from xx to xx, and xx from xx to xx. In xx, a marine mammal excluder device was added to net. Indications are that </w:t>
      </w:r>
      <w:r w:rsidR="00065B0F">
        <w:t xml:space="preserve">this may have had large/small impacts on the catches, and any changes in the science and survey crew leads occurred after significant overlap with previous crews. Similarly, the SWFSC surveys had </w:t>
      </w:r>
      <w:proofErr w:type="spellStart"/>
      <w:r w:rsidR="00065B0F">
        <w:t>xxxxx</w:t>
      </w:r>
      <w:proofErr w:type="spellEnd"/>
      <w:r w:rsidR="00065B0F">
        <w:t>.</w:t>
      </w:r>
    </w:p>
    <w:p w:rsidR="000D3F3E" w:rsidRPr="000D3F3E" w:rsidRDefault="000D3F3E">
      <w:pPr>
        <w:rPr>
          <w:i/>
        </w:rPr>
      </w:pPr>
      <w:r w:rsidRPr="000D3F3E">
        <w:rPr>
          <w:i/>
        </w:rPr>
        <w:t xml:space="preserve">Spatiotemporal model </w:t>
      </w:r>
    </w:p>
    <w:p w:rsidR="008500A1" w:rsidRPr="00B33842" w:rsidRDefault="00B91565" w:rsidP="00636DC7">
      <w:pPr>
        <w:ind w:firstLine="720"/>
      </w:pPr>
      <w:r>
        <w:t xml:space="preserve">We use a </w:t>
      </w:r>
      <w:proofErr w:type="spellStart"/>
      <w:r>
        <w:t>geostatistical</w:t>
      </w:r>
      <w:proofErr w:type="spellEnd"/>
      <w:r>
        <w:t xml:space="preserve"> model to account for the unbalanced design of the two surveys. </w:t>
      </w:r>
      <w:r w:rsidR="008500A1" w:rsidRPr="00B33842">
        <w:t xml:space="preserve">To estimate shifts in the distribution of squid between 1998 and 2019 in response to biological (e.g., chlorophyll concentration (xx/mm), </w:t>
      </w:r>
      <w:proofErr w:type="spellStart"/>
      <w:r w:rsidR="008500A1" w:rsidRPr="00B33842">
        <w:t>Chl</w:t>
      </w:r>
      <w:proofErr w:type="spellEnd"/>
      <w:r w:rsidR="008500A1" w:rsidRPr="00B33842">
        <w:t xml:space="preserve"> a) and climate forces (e.g., temperature), we </w:t>
      </w:r>
      <w:r w:rsidR="008500A1" w:rsidRPr="00B33842">
        <w:lastRenderedPageBreak/>
        <w:t>analyzed catch data from fisheries independent surveys conducted by the National Oceanic and Atmospheric Association (NOAA) between 1998 and 2019.  We used a delta-generalized linear model (delta-</w:t>
      </w:r>
      <w:proofErr w:type="spellStart"/>
      <w:r w:rsidR="008500A1" w:rsidRPr="00B33842">
        <w:t>glmm</w:t>
      </w:r>
      <w:proofErr w:type="spellEnd"/>
      <w:r w:rsidR="008500A1" w:rsidRPr="00B33842">
        <w:t xml:space="preserve">) to estimate the probability of encountering squid during a survey, and the probability of positive catches if squid were encountered </w:t>
      </w:r>
    </w:p>
    <w:p w:rsidR="008500A1" w:rsidRPr="00B33842" w:rsidRDefault="00CA6D5F" w:rsidP="00CA6D5F">
      <w:pPr>
        <w:pStyle w:val="Caption"/>
      </w:pPr>
      <w:bookmarkStart w:id="0" w:name="_Ref40773321"/>
      <w:r w:rsidRPr="00B33842">
        <w:t xml:space="preserve">Equation </w:t>
      </w:r>
      <w:fldSimple w:instr=" SEQ Equation \* ARABIC ">
        <w:r w:rsidR="006807ED">
          <w:rPr>
            <w:noProof/>
          </w:rPr>
          <w:t>1</w:t>
        </w:r>
      </w:fldSimple>
      <w:bookmarkEnd w:id="0"/>
      <w:r w:rsidRPr="00B33842">
        <w:t>.</w:t>
      </w:r>
      <w:r w:rsidRPr="00B33842">
        <w:tab/>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=C</m:t>
                </m:r>
              </m:e>
            </m:d>
          </m:e>
        </m:func>
        <m:r>
          <m:rPr>
            <m:sty m:val="p"/>
          </m:rPr>
          <w:rPr>
            <w:rFonts w:ascii="Cambria Math" w:hAnsi="Cambria Math"/>
          </w:rPr>
          <m:t>=</m:t>
        </m:r>
        <m:d>
          <m:dPr>
            <m:begChr m:val="{"/>
            <m:endChr m:val=""/>
            <m:ctrlPr>
              <w:rPr>
                <w:rFonts w:ascii="Cambria Math" w:hAnsi="Cambria Math"/>
                <w:iCs w:val="0"/>
                <w:sz w:val="22"/>
                <w:szCs w:val="22"/>
              </w:rPr>
            </m:ctrlPr>
          </m:dPr>
          <m:e>
            <m:m>
              <m:mPr>
                <m:mcs>
                  <m:mc>
                    <m:mcPr>
                      <m:count m:val="1"/>
                      <m:mcJc m:val="center"/>
                    </m:mcPr>
                  </m:mc>
                </m:mcs>
                <m:ctrlPr>
                  <w:rPr>
                    <w:rFonts w:ascii="Cambria Math" w:hAnsi="Cambria Math"/>
                    <w:iCs w:val="0"/>
                    <w:sz w:val="22"/>
                    <w:szCs w:val="22"/>
                  </w:rPr>
                </m:ctrlPr>
              </m:mPr>
              <m:mr>
                <m:e>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e>
              </m:mr>
            </m:m>
          </m:e>
        </m:d>
        <m:m>
          <m:mPr>
            <m:mcs>
              <m:mc>
                <m:mcPr>
                  <m:count m:val="1"/>
                  <m:mcJc m:val="center"/>
                </m:mcPr>
              </m:mc>
            </m:mcs>
            <m:ctrlPr>
              <w:rPr>
                <w:rFonts w:ascii="Cambria Math" w:hAnsi="Cambria Math"/>
                <w:iCs w:val="0"/>
                <w:sz w:val="22"/>
                <w:szCs w:val="22"/>
              </w:rPr>
            </m:ctrlPr>
          </m:mPr>
          <m:mr>
            <m:e>
              <m:r>
                <m:rPr>
                  <m:sty m:val="p"/>
                </m:rPr>
                <w:rPr>
                  <w:rFonts w:ascii="Cambria Math" w:hAnsi="Cambria Math"/>
                </w:rPr>
                <m:t>if(C=0)</m:t>
              </m:r>
            </m:e>
          </m:mr>
          <m:mr>
            <m:e>
              <m:r>
                <m:rPr>
                  <m:sty m:val="p"/>
                </m:rPr>
                <w:rPr>
                  <w:rFonts w:ascii="Cambria Math" w:hAnsi="Cambria Math"/>
                </w:rPr>
                <m:t>if(C&gt;0)</m:t>
              </m:r>
            </m:e>
          </m:mr>
        </m:m>
      </m:oMath>
    </w:p>
    <w:p w:rsidR="001D431C" w:rsidRPr="00B33842" w:rsidRDefault="002B67C8">
      <w:pPr>
        <w:rPr>
          <w:rFonts w:eastAsiaTheme="minorEastAsia"/>
        </w:rPr>
      </w:pPr>
      <w:r w:rsidRPr="00B33842">
        <w:t xml:space="preserve">Where </w:t>
      </w:r>
      <w:r w:rsidRPr="00B33842">
        <w:rPr>
          <w:rFonts w:eastAsiaTheme="minorEastAsia"/>
        </w:rPr>
        <w:t xml:space="preserve">for the </w:t>
      </w:r>
      <w:proofErr w:type="spellStart"/>
      <w:r w:rsidRPr="00B33842">
        <w:rPr>
          <w:rFonts w:eastAsiaTheme="minorEastAsia"/>
        </w:rPr>
        <w:t>i</w:t>
      </w:r>
      <w:r w:rsidRPr="00B33842">
        <w:rPr>
          <w:rFonts w:eastAsiaTheme="minorEastAsia"/>
          <w:vertAlign w:val="superscript"/>
        </w:rPr>
        <w:t>th</w:t>
      </w:r>
      <w:proofErr w:type="spellEnd"/>
      <w:r w:rsidRPr="00B33842">
        <w:rPr>
          <w:rFonts w:eastAsiaTheme="minorEastAsia"/>
        </w:rPr>
        <w:t xml:space="preserve"> sample,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Pr="00B33842">
        <w:rPr>
          <w:rFonts w:eastAsiaTheme="minorEastAsia"/>
        </w:rPr>
        <w:t xml:space="preserve"> is observed number of squid captured,</w:t>
      </w:r>
      <w:r w:rsidRPr="00B33842">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B33842">
        <w:rPr>
          <w:rFonts w:eastAsiaTheme="minorEastAsia"/>
        </w:rPr>
        <w:t xml:space="preserve"> is the probability of positive catches,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oMath>
      <w:r w:rsidRPr="00B33842">
        <w:rPr>
          <w:rFonts w:eastAsiaTheme="minorEastAsia"/>
        </w:rPr>
        <w:t xml:space="preserve"> is the expected number of squid captured given positive catches</w:t>
      </w:r>
      <w:r w:rsidR="00561A2A" w:rsidRPr="00B33842">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oMath>
      <w:r w:rsidR="00561A2A" w:rsidRPr="00B33842">
        <w:rPr>
          <w:rFonts w:eastAsiaTheme="minorEastAsia"/>
        </w:rPr>
        <w:t xml:space="preserve"> is the effort offset (i.e., distance fished times the average opening of the net (0.05 km))</w:t>
      </w:r>
      <w:r w:rsidRPr="00B3384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oMath>
      <w:r w:rsidRPr="00B33842">
        <w:rPr>
          <w:rFonts w:eastAsiaTheme="minorEastAsia"/>
        </w:rPr>
        <w:t xml:space="preserve"> is the observed error not explained by </w:t>
      </w:r>
      <w:r w:rsidR="00BB6FB3" w:rsidRPr="00B33842">
        <w:rPr>
          <w:rFonts w:eastAsiaTheme="minorEastAsia"/>
        </w:rPr>
        <w:t>biological or environmental covariates, or random variation in the spatiotempo</w:t>
      </w:r>
      <w:r w:rsidR="001D431C" w:rsidRPr="00B33842">
        <w:rPr>
          <w:rFonts w:eastAsiaTheme="minorEastAsia"/>
        </w:rPr>
        <w:t xml:space="preserve">ral distribution of the catches, and g </w:t>
      </w:r>
      <w:r w:rsidR="00561A2A" w:rsidRPr="00B33842">
        <w:rPr>
          <w:rFonts w:eastAsiaTheme="minorEastAsia"/>
        </w:rPr>
        <w:t xml:space="preserve">is </w:t>
      </w:r>
      <w:r w:rsidR="001D431C" w:rsidRPr="00B33842">
        <w:rPr>
          <w:rFonts w:eastAsiaTheme="minorEastAsia"/>
        </w:rPr>
        <w:t xml:space="preserve">a probability distribution </w:t>
      </w:r>
      <w:r w:rsidR="00561A2A" w:rsidRPr="00B33842">
        <w:rPr>
          <w:rFonts w:eastAsiaTheme="minorEastAsia"/>
        </w:rPr>
        <w:t xml:space="preserve">describing the positive catches </w:t>
      </w:r>
      <w:r w:rsidR="001D431C" w:rsidRPr="00B33842">
        <w:rPr>
          <w:rFonts w:eastAsiaTheme="minorEastAsia"/>
        </w:rPr>
        <w:t>(e.g., gamma, log-normal, etc.).</w:t>
      </w:r>
    </w:p>
    <w:p w:rsidR="0094177E" w:rsidRDefault="00BB6FB3" w:rsidP="002526A4">
      <w:pPr>
        <w:rPr>
          <w:rFonts w:eastAsiaTheme="minorEastAsia"/>
        </w:rPr>
      </w:pPr>
      <w:r w:rsidRPr="00B33842">
        <w:rPr>
          <w:rFonts w:eastAsiaTheme="minorEastAsia"/>
        </w:rPr>
        <w:tab/>
        <w:t xml:space="preserve">We used </w:t>
      </w:r>
      <w:r w:rsidR="00561A2A" w:rsidRPr="00B33842">
        <w:rPr>
          <w:rFonts w:eastAsiaTheme="minorEastAsia"/>
        </w:rPr>
        <w:t xml:space="preserve">a </w:t>
      </w:r>
      <w:r w:rsidRPr="00B33842">
        <w:rPr>
          <w:rFonts w:eastAsiaTheme="minorEastAsia"/>
        </w:rPr>
        <w:t xml:space="preserve">variance-autoregressive spatiotemporal (VAST) model implemented in the </w:t>
      </w:r>
      <w:r w:rsidR="004D5B53" w:rsidRPr="00B33842">
        <w:rPr>
          <w:rFonts w:eastAsiaTheme="minorEastAsia"/>
        </w:rPr>
        <w:t xml:space="preserve">R package </w:t>
      </w:r>
      <w:r w:rsidRPr="00B33842">
        <w:rPr>
          <w:rFonts w:eastAsiaTheme="minorEastAsia"/>
        </w:rPr>
        <w:t xml:space="preserve">VAST to partition the sources of variability in the catches based on the fixed effects associated with the biological and environmental covariates, and random </w:t>
      </w:r>
      <w:r w:rsidR="00561A2A" w:rsidRPr="00B33842">
        <w:rPr>
          <w:rFonts w:eastAsiaTheme="minorEastAsia"/>
        </w:rPr>
        <w:t xml:space="preserve">spatial and spatiotemporal </w:t>
      </w:r>
      <w:r w:rsidRPr="00B33842">
        <w:rPr>
          <w:rFonts w:eastAsiaTheme="minorEastAsia"/>
        </w:rPr>
        <w:t xml:space="preserve">variation </w:t>
      </w:r>
      <w:r w:rsidR="00561A2A" w:rsidRPr="00B33842">
        <w:rPr>
          <w:rFonts w:eastAsiaTheme="minorEastAsia"/>
        </w:rPr>
        <w:t xml:space="preserve">for </w:t>
      </w:r>
      <w:r w:rsidRPr="00B33842">
        <w:rPr>
          <w:rFonts w:eastAsiaTheme="minorEastAsia"/>
        </w:rPr>
        <w:t xml:space="preserve">the encounter probabilities and positive catch rates. </w:t>
      </w:r>
      <w:r w:rsidR="0094177E">
        <w:rPr>
          <w:rFonts w:eastAsiaTheme="minorEastAsia"/>
        </w:rPr>
        <w:t>Thorson (2019) provides a detailed description of the statistical properties of VAST models, as well as the numerous decisions a</w:t>
      </w:r>
      <w:r w:rsidRPr="00B33842">
        <w:rPr>
          <w:rFonts w:eastAsiaTheme="minorEastAsia"/>
        </w:rPr>
        <w:t xml:space="preserve">nalyst </w:t>
      </w:r>
      <w:r w:rsidR="00561A2A" w:rsidRPr="00B33842">
        <w:rPr>
          <w:rFonts w:eastAsiaTheme="minorEastAsia"/>
        </w:rPr>
        <w:t xml:space="preserve">implementing VAST models must make </w:t>
      </w:r>
      <w:r w:rsidR="0094177E">
        <w:rPr>
          <w:rFonts w:eastAsiaTheme="minorEastAsia"/>
        </w:rPr>
        <w:t xml:space="preserve">concerning the </w:t>
      </w:r>
      <w:r w:rsidRPr="00B33842">
        <w:rPr>
          <w:rFonts w:eastAsiaTheme="minorEastAsia"/>
        </w:rPr>
        <w:t xml:space="preserve">type and quality of </w:t>
      </w:r>
      <w:r w:rsidR="0094177E">
        <w:rPr>
          <w:rFonts w:eastAsiaTheme="minorEastAsia"/>
        </w:rPr>
        <w:t xml:space="preserve">the </w:t>
      </w:r>
      <w:r w:rsidRPr="00B33842">
        <w:rPr>
          <w:rFonts w:eastAsiaTheme="minorEastAsia"/>
        </w:rPr>
        <w:t>data</w:t>
      </w:r>
      <w:r w:rsidR="0094177E">
        <w:rPr>
          <w:rFonts w:eastAsiaTheme="minorEastAsia"/>
        </w:rPr>
        <w:t xml:space="preserve"> they are using</w:t>
      </w:r>
      <w:r w:rsidRPr="00B33842">
        <w:rPr>
          <w:rFonts w:eastAsiaTheme="minorEastAsia"/>
        </w:rPr>
        <w:t>.</w:t>
      </w:r>
      <w:r w:rsidR="00CA6D5F" w:rsidRPr="00B33842">
        <w:rPr>
          <w:rFonts w:eastAsiaTheme="minorEastAsia"/>
        </w:rPr>
        <w:t xml:space="preserve"> </w:t>
      </w:r>
      <w:r w:rsidR="00E33BB3">
        <w:rPr>
          <w:rFonts w:eastAsiaTheme="minorEastAsia"/>
        </w:rPr>
        <w:fldChar w:fldCharType="begin"/>
      </w:r>
      <w:r w:rsidR="00E33BB3">
        <w:rPr>
          <w:rFonts w:eastAsiaTheme="minorEastAsia"/>
        </w:rPr>
        <w:instrText xml:space="preserve"> REF _Ref40910725 \h </w:instrText>
      </w:r>
      <w:r w:rsidR="00E33BB3">
        <w:rPr>
          <w:rFonts w:eastAsiaTheme="minorEastAsia"/>
        </w:rPr>
      </w:r>
      <w:r w:rsidR="00E33BB3">
        <w:rPr>
          <w:rFonts w:eastAsiaTheme="minorEastAsia"/>
        </w:rPr>
        <w:fldChar w:fldCharType="separate"/>
      </w:r>
      <w:r w:rsidR="006807ED">
        <w:t xml:space="preserve">Table </w:t>
      </w:r>
      <w:r w:rsidR="006807ED">
        <w:rPr>
          <w:noProof/>
        </w:rPr>
        <w:t>2</w:t>
      </w:r>
      <w:r w:rsidR="00E33BB3">
        <w:rPr>
          <w:rFonts w:eastAsiaTheme="minorEastAsia"/>
        </w:rPr>
        <w:fldChar w:fldCharType="end"/>
      </w:r>
      <w:r w:rsidR="00E33BB3">
        <w:rPr>
          <w:rFonts w:eastAsiaTheme="minorEastAsia"/>
        </w:rPr>
        <w:t xml:space="preserve"> </w:t>
      </w:r>
      <w:r w:rsidR="00A611D4">
        <w:rPr>
          <w:rFonts w:eastAsiaTheme="minorEastAsia"/>
        </w:rPr>
        <w:t>provides the fifteen decisions for our squid analysis as they relate to the decision tree provide by Thorson (2019).</w:t>
      </w:r>
    </w:p>
    <w:p w:rsidR="00F47538" w:rsidRPr="00B33842" w:rsidRDefault="0094177E" w:rsidP="0094177E">
      <w:pPr>
        <w:ind w:firstLine="720"/>
        <w:rPr>
          <w:rFonts w:eastAsiaTheme="minorEastAsia"/>
        </w:rPr>
      </w:pPr>
      <w:r>
        <w:rPr>
          <w:rFonts w:eastAsiaTheme="minorEastAsia"/>
        </w:rPr>
        <w:t xml:space="preserve">Briefly, and for the purposes of our data, </w:t>
      </w:r>
      <w:r w:rsidR="002526A4">
        <w:rPr>
          <w:rFonts w:eastAsiaTheme="minorEastAsia"/>
        </w:rPr>
        <w:t xml:space="preserve">the </w:t>
      </w:r>
      <w:r>
        <w:rPr>
          <w:rFonts w:eastAsiaTheme="minorEastAsia"/>
        </w:rPr>
        <w:t xml:space="preserve">VAST models include linear estimators </w:t>
      </w:r>
      <w:r w:rsidR="002526A4">
        <w:rPr>
          <w:rFonts w:eastAsiaTheme="minorEastAsia"/>
        </w:rPr>
        <w:t>for the encounter probability (</w:t>
      </w:r>
      <w:r w:rsidR="002526A4" w:rsidRPr="00B33842">
        <w:rPr>
          <w:rFonts w:eastAsiaTheme="minorEastAsia"/>
        </w:rPr>
        <w:fldChar w:fldCharType="begin"/>
      </w:r>
      <w:r w:rsidR="002526A4" w:rsidRPr="00B33842">
        <w:rPr>
          <w:rFonts w:eastAsiaTheme="minorEastAsia"/>
        </w:rPr>
        <w:instrText xml:space="preserve"> REF _Ref40795368 \h  \* MERGEFORMAT </w:instrText>
      </w:r>
      <w:r w:rsidR="002526A4" w:rsidRPr="00B33842">
        <w:rPr>
          <w:rFonts w:eastAsiaTheme="minorEastAsia"/>
        </w:rPr>
      </w:r>
      <w:r w:rsidR="002526A4" w:rsidRPr="00B33842">
        <w:rPr>
          <w:rFonts w:eastAsiaTheme="minorEastAsia"/>
        </w:rPr>
        <w:fldChar w:fldCharType="separate"/>
      </w:r>
      <w:r w:rsidR="006807ED" w:rsidRPr="00B33842">
        <w:t xml:space="preserve">Equation </w:t>
      </w:r>
      <w:r w:rsidR="006807ED">
        <w:rPr>
          <w:noProof/>
        </w:rPr>
        <w:t>2</w:t>
      </w:r>
      <w:r w:rsidR="002526A4" w:rsidRPr="00B33842">
        <w:rPr>
          <w:rFonts w:eastAsiaTheme="minorEastAsia"/>
        </w:rPr>
        <w:fldChar w:fldCharType="end"/>
      </w:r>
      <w:r w:rsidR="002526A4">
        <w:rPr>
          <w:rFonts w:eastAsiaTheme="minorEastAsia"/>
        </w:rPr>
        <w:t>)</w:t>
      </w:r>
      <w:r w:rsidR="002526A4" w:rsidRPr="00B33842">
        <w:rPr>
          <w:rFonts w:eastAsiaTheme="minorEastAsia"/>
        </w:rPr>
        <w:t xml:space="preserve"> </w:t>
      </w:r>
      <w:r w:rsidR="002526A4">
        <w:rPr>
          <w:rFonts w:eastAsiaTheme="minorEastAsia"/>
        </w:rPr>
        <w:t xml:space="preserve">and positive catches </w:t>
      </w:r>
      <w:r w:rsidR="002526A4" w:rsidRPr="00B33842">
        <w:rPr>
          <w:rFonts w:eastAsiaTheme="minorEastAsia"/>
        </w:rPr>
        <w:t>(</w:t>
      </w:r>
      <w:r w:rsidR="002526A4" w:rsidRPr="00B33842">
        <w:rPr>
          <w:rFonts w:eastAsiaTheme="minorEastAsia"/>
        </w:rPr>
        <w:fldChar w:fldCharType="begin"/>
      </w:r>
      <w:r w:rsidR="002526A4" w:rsidRPr="00B33842">
        <w:rPr>
          <w:rFonts w:eastAsiaTheme="minorEastAsia"/>
        </w:rPr>
        <w:instrText xml:space="preserve"> REF _Ref40795374 \h  \* MERGEFORMAT </w:instrText>
      </w:r>
      <w:r w:rsidR="002526A4" w:rsidRPr="00B33842">
        <w:rPr>
          <w:rFonts w:eastAsiaTheme="minorEastAsia"/>
        </w:rPr>
      </w:r>
      <w:r w:rsidR="002526A4" w:rsidRPr="00B33842">
        <w:rPr>
          <w:rFonts w:eastAsiaTheme="minorEastAsia"/>
        </w:rPr>
        <w:fldChar w:fldCharType="separate"/>
      </w:r>
      <w:r w:rsidR="006807ED" w:rsidRPr="00B33842">
        <w:t xml:space="preserve">Equation </w:t>
      </w:r>
      <w:r w:rsidR="006807ED">
        <w:rPr>
          <w:noProof/>
        </w:rPr>
        <w:t>3</w:t>
      </w:r>
      <w:r w:rsidR="002526A4" w:rsidRPr="00B33842">
        <w:rPr>
          <w:rFonts w:eastAsiaTheme="minorEastAsia"/>
        </w:rPr>
        <w:fldChar w:fldCharType="end"/>
      </w:r>
      <w:r w:rsidR="002526A4" w:rsidRPr="00B33842">
        <w:rPr>
          <w:rFonts w:eastAsiaTheme="minorEastAsia"/>
        </w:rPr>
        <w:t>)</w:t>
      </w:r>
      <w:r w:rsidR="002526A4">
        <w:rPr>
          <w:rFonts w:eastAsiaTheme="minorEastAsia"/>
        </w:rPr>
        <w:t xml:space="preserve"> based on </w:t>
      </w:r>
      <w:r w:rsidR="00636DC7" w:rsidRPr="00B33842">
        <w:rPr>
          <w:rFonts w:eastAsiaTheme="minorEastAsia"/>
        </w:rPr>
        <w:t xml:space="preserve">the </w:t>
      </w:r>
      <w:proofErr w:type="spellStart"/>
      <w:r w:rsidR="00636DC7" w:rsidRPr="00B33842">
        <w:rPr>
          <w:rFonts w:eastAsiaTheme="minorEastAsia"/>
        </w:rPr>
        <w:t>i</w:t>
      </w:r>
      <w:proofErr w:type="spellEnd"/>
      <w:r w:rsidR="00636DC7" w:rsidRPr="00B33842">
        <w:rPr>
          <w:rFonts w:eastAsiaTheme="minorEastAsia"/>
        </w:rPr>
        <w:t xml:space="preserve">) intercepts, ii) covariates, and iii) </w:t>
      </w:r>
      <w:r w:rsidR="002526A4">
        <w:rPr>
          <w:rFonts w:eastAsiaTheme="minorEastAsia"/>
        </w:rPr>
        <w:t xml:space="preserve">spatial and </w:t>
      </w:r>
      <w:r w:rsidR="00636DC7" w:rsidRPr="00B33842">
        <w:rPr>
          <w:rFonts w:eastAsiaTheme="minorEastAsia"/>
        </w:rPr>
        <w:t>spatiotemporal processes</w:t>
      </w:r>
      <w:r w:rsidR="002526A4">
        <w:rPr>
          <w:rFonts w:eastAsiaTheme="minorEastAsia"/>
        </w:rPr>
        <w:t>,</w:t>
      </w:r>
      <w:r w:rsidR="004B5B92" w:rsidRPr="00B33842">
        <w:rPr>
          <w:rFonts w:eastAsiaTheme="minorEastAsia"/>
        </w:rPr>
        <w:t xml:space="preserve"> </w:t>
      </w:r>
    </w:p>
    <w:p w:rsidR="00E40D8E" w:rsidRPr="00B33842" w:rsidRDefault="00E40D8E" w:rsidP="00E40D8E">
      <w:pPr>
        <w:pStyle w:val="Caption"/>
        <w:rPr>
          <w:rFonts w:eastAsiaTheme="minorEastAsia"/>
        </w:rPr>
      </w:pPr>
      <w:bookmarkStart w:id="1" w:name="_Ref40795368"/>
      <w:r w:rsidRPr="00B33842">
        <w:lastRenderedPageBreak/>
        <w:t xml:space="preserve">Equation </w:t>
      </w:r>
      <w:fldSimple w:instr=" SEQ Equation \* ARABIC ">
        <w:r w:rsidR="006807ED">
          <w:rPr>
            <w:noProof/>
          </w:rPr>
          <w:t>2</w:t>
        </w:r>
      </w:fldSimple>
      <w:bookmarkEnd w:id="1"/>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logit</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k=1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p</m:t>
                              </m:r>
                            </m:sub>
                          </m:sSub>
                        </m:sub>
                      </m:sSub>
                    </m:sup>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nary>
                </m:e>
              </m:groupChr>
            </m:e>
          </m:mr>
        </m:m>
        <m:r>
          <m:rPr>
            <m:sty m:val="p"/>
          </m:rPr>
          <w:rPr>
            <w:rFonts w:ascii="Cambria Math" w:eastAsiaTheme="minorEastAsia" w:hAnsi="Cambria Math"/>
          </w:rPr>
          <m:t xml:space="preserve"> </m:t>
        </m:r>
      </m:oMath>
      <w:r w:rsidRPr="00B33842">
        <w:rPr>
          <w:rFonts w:eastAsiaTheme="minorEastAsia"/>
        </w:rPr>
        <w:t xml:space="preserve"> </w:t>
      </w:r>
    </w:p>
    <w:p w:rsidR="004D5B53" w:rsidRPr="00B33842" w:rsidRDefault="0026685C" w:rsidP="004B5B92">
      <w:pPr>
        <w:pStyle w:val="Caption"/>
        <w:rPr>
          <w:rFonts w:eastAsiaTheme="minorEastAsia"/>
        </w:rPr>
      </w:pPr>
      <w:bookmarkStart w:id="2" w:name="_Ref40795374"/>
      <w:r w:rsidRPr="00B33842">
        <w:t xml:space="preserve">Equation </w:t>
      </w:r>
      <w:fldSimple w:instr=" SEQ Equation \* ARABIC ">
        <w:r w:rsidR="006807ED">
          <w:rPr>
            <w:noProof/>
          </w:rPr>
          <w:t>3</w:t>
        </w:r>
      </w:fldSimple>
      <w:bookmarkEnd w:id="2"/>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 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k=1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r</m:t>
                              </m:r>
                            </m:sub>
                          </m:sSub>
                        </m:sub>
                      </m:sSub>
                    </m:sup>
                    <m:e>
                      <m:sSub>
                        <m:sSubPr>
                          <m:ctrlPr>
                            <w:rPr>
                              <w:rFonts w:ascii="Cambria Math" w:eastAsiaTheme="minorEastAsia" w:hAnsi="Cambria Math"/>
                            </w:rPr>
                          </m:ctrlPr>
                        </m:sSubPr>
                        <m:e>
                          <m:r>
                            <m:rPr>
                              <m:sty m:val="p"/>
                            </m:rPr>
                            <w:rPr>
                              <w:rFonts w:ascii="Cambria Math" w:eastAsiaTheme="minorEastAsia" w:hAnsi="Cambria Math"/>
                            </w:rPr>
                            <m:t>λ</m:t>
                          </m:r>
                        </m:e>
                        <m: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r</m:t>
                              </m:r>
                            </m:sub>
                          </m:sSub>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nary>
                </m:e>
              </m:groupChr>
            </m:e>
          </m:mr>
        </m:m>
        <m:r>
          <m:rPr>
            <m:sty m:val="p"/>
          </m:rPr>
          <w:rPr>
            <w:rFonts w:ascii="Cambria Math" w:eastAsiaTheme="minorEastAsia" w:hAnsi="Cambria Math"/>
          </w:rPr>
          <m:t xml:space="preserve"> </m:t>
        </m:r>
      </m:oMath>
      <w:r w:rsidR="00F47538" w:rsidRPr="00B33842">
        <w:rPr>
          <w:rFonts w:eastAsiaTheme="minorEastAsia"/>
        </w:rPr>
        <w:t xml:space="preserve"> </w:t>
      </w:r>
    </w:p>
    <w:p w:rsidR="00B33842" w:rsidRDefault="002526A4" w:rsidP="002526A4">
      <w:pPr>
        <w:rPr>
          <w:rFonts w:eastAsiaTheme="minorEastAsia"/>
        </w:rPr>
      </w:pPr>
      <w:r>
        <w:rPr>
          <w:rFonts w:eastAsiaTheme="minorEastAsia"/>
        </w:rPr>
        <w:t>Based on an initial analysis of the size distribution data</w:t>
      </w:r>
      <w:r w:rsidR="005C3385">
        <w:rPr>
          <w:rFonts w:eastAsiaTheme="minorEastAsia"/>
        </w:rPr>
        <w:t xml:space="preserve"> (Supplemental figure xx)</w:t>
      </w:r>
      <w:r>
        <w:rPr>
          <w:rFonts w:eastAsiaTheme="minorEastAsia"/>
        </w:rPr>
        <w:t xml:space="preserve">, </w:t>
      </w:r>
      <w:r w:rsidR="005C3385">
        <w:rPr>
          <w:rFonts w:eastAsiaTheme="minorEastAsia"/>
        </w:rPr>
        <w:t xml:space="preserve">we categorized squid lengths </w:t>
      </w:r>
      <w:r w:rsidR="0094177E">
        <w:rPr>
          <w:rFonts w:eastAsiaTheme="minorEastAsia"/>
        </w:rPr>
        <w:t>in two bins,</w:t>
      </w:r>
      <w:r w:rsidR="005C3385">
        <w:rPr>
          <w:rFonts w:eastAsiaTheme="minorEastAsia"/>
        </w:rPr>
        <w:t xml:space="preserve"> </w:t>
      </w:r>
      <m:oMath>
        <m:r>
          <w:rPr>
            <w:rFonts w:ascii="Cambria Math" w:eastAsiaTheme="minorEastAsia" w:hAnsi="Cambria Math"/>
          </w:rPr>
          <m:t>≤80</m:t>
        </m:r>
      </m:oMath>
      <w:r w:rsidR="005C3385">
        <w:rPr>
          <w:rFonts w:eastAsiaTheme="minorEastAsia"/>
        </w:rPr>
        <w:t xml:space="preserve"> mm and </w:t>
      </w:r>
      <m:oMath>
        <m:r>
          <w:rPr>
            <w:rFonts w:ascii="Cambria Math" w:eastAsiaTheme="minorEastAsia" w:hAnsi="Cambria Math"/>
          </w:rPr>
          <m:t>&gt;</m:t>
        </m:r>
      </m:oMath>
      <w:r w:rsidR="005C3385">
        <w:rPr>
          <w:rFonts w:eastAsiaTheme="minorEastAsia"/>
        </w:rPr>
        <w:t xml:space="preserve">80 mm. </w:t>
      </w:r>
      <w:r w:rsidR="004B5B92" w:rsidRPr="00B33842">
        <w:rPr>
          <w:rFonts w:eastAsiaTheme="minorEastAsia"/>
        </w:rPr>
        <w:t xml:space="preserve">The intercept parameters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e>
        </m:d>
      </m:oMath>
      <w:r w:rsidR="004B5B92" w:rsidRPr="00B33842">
        <w:rPr>
          <w:rFonts w:eastAsiaTheme="minorEastAsia"/>
        </w:rPr>
        <w:t xml:space="preserve"> represent estimates of the </w:t>
      </w:r>
      <w:r w:rsidR="005C3385">
        <w:rPr>
          <w:rFonts w:eastAsiaTheme="minorEastAsia"/>
        </w:rPr>
        <w:t xml:space="preserve">annual changes in the encounter probability and positive </w:t>
      </w:r>
      <w:r w:rsidR="004B5B92" w:rsidRPr="00B33842">
        <w:rPr>
          <w:rFonts w:eastAsiaTheme="minorEastAsia"/>
        </w:rPr>
        <w:t>catches</w:t>
      </w:r>
      <w:r w:rsidR="005C3385">
        <w:rPr>
          <w:rFonts w:eastAsiaTheme="minorEastAsia"/>
        </w:rPr>
        <w:t>, respectively,</w:t>
      </w:r>
      <w:r w:rsidR="004B5B92" w:rsidRPr="00B33842">
        <w:rPr>
          <w:rFonts w:eastAsiaTheme="minorEastAsia"/>
        </w:rPr>
        <w:t xml:space="preserve"> for category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oMath>
      <w:r w:rsidR="004B5B92" w:rsidRPr="00B33842">
        <w:rPr>
          <w:rFonts w:eastAsiaTheme="minorEastAsia"/>
        </w:rPr>
        <w:t xml:space="preserve"> in year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5C3385">
        <w:rPr>
          <w:rFonts w:eastAsiaTheme="minorEastAsia"/>
        </w:rPr>
        <w:t xml:space="preserve"> for the </w:t>
      </w:r>
      <w:proofErr w:type="spellStart"/>
      <w:r w:rsidR="005C3385">
        <w:rPr>
          <w:rFonts w:eastAsiaTheme="minorEastAsia"/>
        </w:rPr>
        <w:t>i</w:t>
      </w:r>
      <w:r w:rsidR="005C3385">
        <w:rPr>
          <w:rFonts w:eastAsiaTheme="minorEastAsia"/>
          <w:vertAlign w:val="superscript"/>
        </w:rPr>
        <w:t>th</w:t>
      </w:r>
      <w:proofErr w:type="spellEnd"/>
      <w:r w:rsidR="005C3385">
        <w:rPr>
          <w:rFonts w:eastAsiaTheme="minorEastAsia"/>
        </w:rPr>
        <w:t xml:space="preserve"> observation</w:t>
      </w:r>
      <w:r w:rsidR="004B5B92" w:rsidRPr="00B33842">
        <w:rPr>
          <w:rFonts w:eastAsiaTheme="minorEastAsia"/>
        </w:rPr>
        <w:t xml:space="preserve">. </w:t>
      </w:r>
    </w:p>
    <w:p w:rsidR="004B5B92" w:rsidRPr="00B33842" w:rsidRDefault="004B5B92" w:rsidP="002526A4">
      <w:pPr>
        <w:ind w:firstLine="720"/>
        <w:rPr>
          <w:rFonts w:eastAsiaTheme="minorEastAsia"/>
        </w:rPr>
      </w:pPr>
      <w:r w:rsidRPr="00B33842">
        <w:rPr>
          <w:rFonts w:eastAsiaTheme="minorEastAsia"/>
        </w:rPr>
        <w:t xml:space="preserve">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random effects describe the residual variance not explained by the fixed intercepts or covariates for location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oMath>
      <w:r w:rsidR="005C3385">
        <w:rPr>
          <w:rFonts w:eastAsiaTheme="minorEastAsia"/>
        </w:rPr>
        <w:t xml:space="preserve"> </w:t>
      </w:r>
      <w:r w:rsidRPr="00B33842">
        <w:rPr>
          <w:rFonts w:eastAsiaTheme="minorEastAsia"/>
        </w:rPr>
        <w:t xml:space="preserve">of the </w:t>
      </w:r>
      <w:proofErr w:type="spellStart"/>
      <w:r w:rsidRPr="00B33842">
        <w:rPr>
          <w:rFonts w:eastAsiaTheme="minorEastAsia"/>
        </w:rPr>
        <w:t>i</w:t>
      </w:r>
      <w:r w:rsidRPr="00B33842">
        <w:rPr>
          <w:rFonts w:eastAsiaTheme="minorEastAsia"/>
          <w:vertAlign w:val="superscript"/>
        </w:rPr>
        <w:t>th</w:t>
      </w:r>
      <w:proofErr w:type="spellEnd"/>
      <w:r w:rsidR="005C3385">
        <w:rPr>
          <w:rFonts w:eastAsiaTheme="minorEastAsia"/>
        </w:rPr>
        <w:t xml:space="preserve"> observation</w:t>
      </w:r>
      <w:r w:rsidRPr="00B33842">
        <w:rPr>
          <w:rFonts w:eastAsiaTheme="minorEastAsia"/>
        </w:rPr>
        <w:t xml:space="preserve"> related to factor f. </w:t>
      </w:r>
      <w:r w:rsidR="004A7174" w:rsidRPr="00B33842">
        <w:rPr>
          <w:rFonts w:eastAsiaTheme="minorEastAsia"/>
        </w:rPr>
        <w:t xml:space="preserve">The VAST package allows us to estimate the correlation </w:t>
      </w:r>
      <w:r w:rsidR="00C46283" w:rsidRPr="00B33842">
        <w:rPr>
          <w:rFonts w:eastAsiaTheme="minorEastAsia"/>
        </w:rPr>
        <w:t xml:space="preserve">between the </w:t>
      </w:r>
      <w:r w:rsidR="004A7174" w:rsidRPr="00B33842">
        <w:rPr>
          <w:rFonts w:eastAsiaTheme="minorEastAsia"/>
        </w:rPr>
        <w:t xml:space="preserve">spatial fields for each length bin </w:t>
      </w:r>
      <w:r w:rsidR="00C46283" w:rsidRPr="00B33842">
        <w:rPr>
          <w:rFonts w:eastAsiaTheme="minorEastAsia"/>
        </w:rPr>
        <w:t xml:space="preserve">for both </w:t>
      </w:r>
      <w:r w:rsidR="00A144C2" w:rsidRPr="00B33842">
        <w:rPr>
          <w:rFonts w:eastAsiaTheme="minorEastAsia"/>
        </w:rPr>
        <w:t xml:space="preserve">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e>
        </m:d>
      </m:oMath>
      <w:r w:rsidR="00C46283" w:rsidRPr="00B33842">
        <w:rPr>
          <w:rFonts w:eastAsiaTheme="minorEastAsia"/>
        </w:rPr>
        <w:t xml:space="preserve"> </w:t>
      </w:r>
      <w:r w:rsidR="00A144C2" w:rsidRPr="00B33842">
        <w:rPr>
          <w:rFonts w:eastAsiaTheme="minorEastAsia"/>
        </w:rPr>
        <w:t>and spati</w:t>
      </w:r>
      <w:r w:rsidR="00C46283" w:rsidRPr="00B33842">
        <w:rPr>
          <w:rFonts w:eastAsiaTheme="minorEastAsia"/>
        </w:rPr>
        <w:t>o</w:t>
      </w:r>
      <w:r w:rsidR="00A144C2" w:rsidRPr="00B33842">
        <w:rPr>
          <w:rFonts w:eastAsiaTheme="minorEastAsia"/>
        </w:rPr>
        <w:t xml:space="preserve">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e>
        </m:d>
      </m:oMath>
      <w:r w:rsidR="00C46283" w:rsidRPr="00B33842">
        <w:rPr>
          <w:rFonts w:eastAsiaTheme="minorEastAsia"/>
        </w:rPr>
        <w:t xml:space="preserve"> </w:t>
      </w:r>
      <w:r w:rsidR="00A144C2" w:rsidRPr="00B33842">
        <w:rPr>
          <w:rFonts w:eastAsiaTheme="minorEastAsia"/>
        </w:rPr>
        <w:t>processes</w:t>
      </w:r>
      <w:r w:rsidR="00C46283" w:rsidRPr="00B33842">
        <w:rPr>
          <w:rFonts w:eastAsiaTheme="minorEastAsia"/>
        </w:rPr>
        <w:t xml:space="preserve"> using dynamic factor analysis</w:t>
      </w:r>
      <w:r w:rsidR="004A7174" w:rsidRPr="00B33842">
        <w:rPr>
          <w:rFonts w:eastAsiaTheme="minorEastAsia"/>
        </w:rPr>
        <w:t xml:space="preserve">. </w:t>
      </w:r>
      <w:r w:rsidR="00C46283" w:rsidRPr="00B33842">
        <w:rPr>
          <w:rFonts w:eastAsiaTheme="minorEastAsia"/>
        </w:rPr>
        <w:t xml:space="preserve">Grouping the length bin categories by different factors, where the number of factors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e>
        </m:d>
      </m:oMath>
      <w:r w:rsidR="00C46283" w:rsidRPr="00B33842">
        <w:rPr>
          <w:rFonts w:eastAsiaTheme="minorEastAsia"/>
        </w:rPr>
        <w:t xml:space="preserve"> is less than or equal to the number of categories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c</m:t>
            </m:r>
          </m:sub>
        </m:sSub>
      </m:oMath>
      <w:r w:rsidR="00C46283" w:rsidRPr="00B33842">
        <w:rPr>
          <w:rFonts w:eastAsiaTheme="minorEastAsia"/>
        </w:rPr>
        <w:t>)</w:t>
      </w:r>
      <w:r w:rsidR="00B33842" w:rsidRPr="00B33842">
        <w:rPr>
          <w:rFonts w:eastAsiaTheme="minorEastAsia"/>
        </w:rPr>
        <w:t xml:space="preserve">, is done with the loadings matrices </w:t>
      </w:r>
      <m:oMath>
        <m:d>
          <m:dPr>
            <m:ctrlPr>
              <w:rPr>
                <w:rFonts w:ascii="Cambria Math" w:eastAsiaTheme="minorEastAsia" w:hAnsi="Cambria Math"/>
              </w:rPr>
            </m:ctrlPr>
          </m:dPr>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and 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00B33842" w:rsidRPr="00B33842">
        <w:rPr>
          <w:rFonts w:eastAsiaTheme="minorEastAsia"/>
        </w:rPr>
        <w:t xml:space="preserve"> and a method referred to as dynamic factor analysis. A </w:t>
      </w:r>
      <w:r w:rsidR="0094177E">
        <w:rPr>
          <w:rFonts w:eastAsiaTheme="minorEastAsia"/>
        </w:rPr>
        <w:t xml:space="preserve">complete </w:t>
      </w:r>
      <w:r w:rsidR="00B33842" w:rsidRPr="00B33842">
        <w:rPr>
          <w:rFonts w:eastAsiaTheme="minorEastAsia"/>
        </w:rPr>
        <w:t>description of dynamic factor analysis is available in Holmes et al. and Thorson et al</w:t>
      </w:r>
      <w:proofErr w:type="gramStart"/>
      <w:r w:rsidR="00B33842" w:rsidRPr="00B33842">
        <w:rPr>
          <w:rFonts w:eastAsiaTheme="minorEastAsia"/>
        </w:rPr>
        <w:t>. .</w:t>
      </w:r>
      <w:proofErr w:type="gramEnd"/>
      <w:r w:rsidR="002526A4">
        <w:rPr>
          <w:rFonts w:eastAsiaTheme="minorEastAsia"/>
        </w:rPr>
        <w:t xml:space="preserve"> </w:t>
      </w:r>
      <w:r w:rsidR="004A7174" w:rsidRPr="00B33842">
        <w:rPr>
          <w:rFonts w:eastAsiaTheme="minorEastAsia"/>
        </w:rPr>
        <w:t xml:space="preserve">Our current analysis includes only </w:t>
      </w:r>
      <w:r w:rsidR="005C3385">
        <w:rPr>
          <w:rFonts w:eastAsiaTheme="minorEastAsia"/>
        </w:rPr>
        <w:t xml:space="preserve">a </w:t>
      </w:r>
      <w:r w:rsidR="004A7174" w:rsidRPr="00B33842">
        <w:rPr>
          <w:rFonts w:eastAsiaTheme="minorEastAsia"/>
        </w:rPr>
        <w:t xml:space="preserve">single species (i.e., </w:t>
      </w:r>
      <w:r w:rsidR="00A144C2" w:rsidRPr="00B33842">
        <w:rPr>
          <w:rFonts w:eastAsiaTheme="minorEastAsia"/>
        </w:rPr>
        <w:t xml:space="preserve">squid) and two </w:t>
      </w:r>
      <w:r w:rsidR="0094177E">
        <w:rPr>
          <w:rFonts w:eastAsiaTheme="minorEastAsia"/>
        </w:rPr>
        <w:t xml:space="preserve">categorical </w:t>
      </w:r>
      <w:r w:rsidR="00A144C2" w:rsidRPr="00B33842">
        <w:rPr>
          <w:rFonts w:eastAsiaTheme="minorEastAsia"/>
        </w:rPr>
        <w:t>length bins</w:t>
      </w:r>
      <w:r w:rsidR="0094177E">
        <w:rPr>
          <w:rFonts w:eastAsiaTheme="minorEastAsia"/>
        </w:rPr>
        <w:t xml:space="preserve">. </w:t>
      </w:r>
      <w:r w:rsidR="0094177E">
        <w:rPr>
          <w:rFonts w:eastAsiaTheme="minorEastAsia"/>
        </w:rPr>
        <w:lastRenderedPageBreak/>
        <w:t>T</w:t>
      </w:r>
      <w:r w:rsidR="00A144C2" w:rsidRPr="00B33842">
        <w:rPr>
          <w:rFonts w:eastAsiaTheme="minorEastAsia"/>
        </w:rPr>
        <w:t>herefore the number of factors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oMath>
      <w:r w:rsidR="00A144C2" w:rsidRPr="00B33842">
        <w:rPr>
          <w:rFonts w:eastAsiaTheme="minorEastAsia"/>
        </w:rPr>
        <w:t xml:space="preserve">) in the </w:t>
      </w:r>
      <w:r w:rsidR="0094177E">
        <w:rPr>
          <w:rFonts w:eastAsiaTheme="minorEastAsia"/>
        </w:rPr>
        <w:t>loadings matrices</w:t>
      </w:r>
      <w:r w:rsidR="00A144C2" w:rsidRPr="00B33842">
        <w:rPr>
          <w:rFonts w:eastAsiaTheme="minorEastAsia"/>
        </w:rPr>
        <w:t xml:space="preserve"> </w:t>
      </w:r>
      <w:r w:rsidR="00B33842" w:rsidRPr="00B33842">
        <w:rPr>
          <w:rFonts w:eastAsiaTheme="minorEastAsia"/>
        </w:rPr>
        <w:t xml:space="preserve">to address how these two length </w:t>
      </w:r>
      <w:r w:rsidR="0094177E">
        <w:rPr>
          <w:rFonts w:eastAsiaTheme="minorEastAsia"/>
        </w:rPr>
        <w:t>bins are</w:t>
      </w:r>
      <w:r w:rsidR="00B33842" w:rsidRPr="00B33842">
        <w:rPr>
          <w:rFonts w:eastAsiaTheme="minorEastAsia"/>
        </w:rPr>
        <w:t xml:space="preserve"> correlate</w:t>
      </w:r>
      <w:r w:rsidR="0094177E">
        <w:rPr>
          <w:rFonts w:eastAsiaTheme="minorEastAsia"/>
        </w:rPr>
        <w:t>d</w:t>
      </w:r>
      <w:r w:rsidR="00B33842" w:rsidRPr="00B33842">
        <w:rPr>
          <w:rFonts w:eastAsiaTheme="minorEastAsia"/>
        </w:rPr>
        <w:t xml:space="preserve"> in space </w:t>
      </w:r>
      <w:r w:rsidR="00A144C2" w:rsidRPr="00B33842">
        <w:rPr>
          <w:rFonts w:eastAsiaTheme="minorEastAsia"/>
        </w:rPr>
        <w:t xml:space="preserve">is </w:t>
      </w:r>
      <w:r w:rsidR="00C46283" w:rsidRPr="00B33842">
        <w:rPr>
          <w:rFonts w:eastAsiaTheme="minorEastAsia"/>
        </w:rPr>
        <w:t xml:space="preserve">simply </w:t>
      </w:r>
      <w:r w:rsidR="00A144C2" w:rsidRPr="00B33842">
        <w:rPr>
          <w:rFonts w:eastAsiaTheme="minorEastAsia"/>
        </w:rPr>
        <w:t xml:space="preserve">equal </w:t>
      </w:r>
      <w:r w:rsidR="0094177E">
        <w:rPr>
          <w:rFonts w:eastAsiaTheme="minorEastAsia"/>
        </w:rPr>
        <w:t xml:space="preserve">to </w:t>
      </w:r>
      <w:proofErr w:type="gramStart"/>
      <w:r w:rsidR="0094177E">
        <w:rPr>
          <w:rFonts w:eastAsiaTheme="minorEastAsia"/>
        </w:rPr>
        <w:t xml:space="preserve">two </w:t>
      </w:r>
      <w:proofErr w:type="gramEnd"/>
      <m:oMath>
        <m:d>
          <m:dPr>
            <m:ctrlPr>
              <w:rPr>
                <w:rFonts w:ascii="Cambria Math" w:eastAsiaTheme="minorEastAsia" w:hAnsi="Cambria Math"/>
              </w:rPr>
            </m:ctrlPr>
          </m:dPr>
          <m:e>
            <m:r>
              <m:rPr>
                <m:sty m:val="p"/>
              </m:rPr>
              <w:rPr>
                <w:rFonts w:ascii="Cambria Math" w:eastAsiaTheme="minorEastAsia" w:hAnsi="Cambria Math"/>
              </w:rPr>
              <m:t xml:space="preserve">i.e.,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r>
              <m:rPr>
                <m:sty m:val="p"/>
              </m:rPr>
              <w:rPr>
                <w:rFonts w:ascii="Cambria Math" w:eastAsiaTheme="minorEastAsia" w:hAnsi="Cambria Math"/>
              </w:rPr>
              <m:t>=2</m:t>
            </m:r>
          </m:e>
        </m:d>
      </m:oMath>
      <w:r w:rsidR="00A144C2" w:rsidRPr="00B33842">
        <w:rPr>
          <w:rFonts w:eastAsiaTheme="minorEastAsia"/>
        </w:rPr>
        <w:t xml:space="preserve">. However, future analyses may </w:t>
      </w:r>
      <w:r w:rsidR="00B33842" w:rsidRPr="00B33842">
        <w:rPr>
          <w:rFonts w:eastAsiaTheme="minorEastAsia"/>
        </w:rPr>
        <w:t xml:space="preserve">include questions concerning how multiple </w:t>
      </w:r>
      <w:r w:rsidR="00A144C2" w:rsidRPr="00B33842">
        <w:rPr>
          <w:rFonts w:eastAsiaTheme="minorEastAsia"/>
        </w:rPr>
        <w:t xml:space="preserve">species </w:t>
      </w:r>
      <w:r w:rsidR="005C3385">
        <w:rPr>
          <w:rFonts w:eastAsiaTheme="minorEastAsia"/>
        </w:rPr>
        <w:t xml:space="preserve">(competitors or predators) </w:t>
      </w:r>
      <w:r w:rsidR="00A144C2" w:rsidRPr="00B33842">
        <w:rPr>
          <w:rFonts w:eastAsiaTheme="minorEastAsia"/>
        </w:rPr>
        <w:t xml:space="preserve">and </w:t>
      </w:r>
      <w:r w:rsidR="005C3385">
        <w:rPr>
          <w:rFonts w:eastAsiaTheme="minorEastAsia"/>
        </w:rPr>
        <w:t xml:space="preserve">additional </w:t>
      </w:r>
      <w:r w:rsidR="00A144C2" w:rsidRPr="00B33842">
        <w:rPr>
          <w:rFonts w:eastAsiaTheme="minorEastAsia"/>
        </w:rPr>
        <w:t>length bins</w:t>
      </w:r>
      <w:r w:rsidR="00B33842" w:rsidRPr="00B33842">
        <w:rPr>
          <w:rFonts w:eastAsiaTheme="minorEastAsia"/>
        </w:rPr>
        <w:t xml:space="preserve"> are correlated in space, and the </w:t>
      </w:r>
      <w:r w:rsidR="005C3385">
        <w:rPr>
          <w:rFonts w:eastAsiaTheme="minorEastAsia"/>
        </w:rPr>
        <w:t xml:space="preserve">statistical framework of the </w:t>
      </w:r>
      <w:r w:rsidR="00B33842" w:rsidRPr="00B33842">
        <w:rPr>
          <w:rFonts w:eastAsiaTheme="minorEastAsia"/>
        </w:rPr>
        <w:t xml:space="preserve">VAST </w:t>
      </w:r>
      <w:r w:rsidR="005C3385">
        <w:rPr>
          <w:rFonts w:eastAsiaTheme="minorEastAsia"/>
        </w:rPr>
        <w:t xml:space="preserve">package </w:t>
      </w:r>
      <w:r w:rsidR="00B33842" w:rsidRPr="00B33842">
        <w:rPr>
          <w:rFonts w:eastAsiaTheme="minorEastAsia"/>
        </w:rPr>
        <w:t>allows for easy integration of</w:t>
      </w:r>
      <w:r w:rsidR="0094177E">
        <w:rPr>
          <w:rFonts w:eastAsiaTheme="minorEastAsia"/>
        </w:rPr>
        <w:t xml:space="preserve"> additional</w:t>
      </w:r>
      <w:r w:rsidR="00B33842" w:rsidRPr="00B33842">
        <w:rPr>
          <w:rFonts w:eastAsiaTheme="minorEastAsia"/>
        </w:rPr>
        <w:t xml:space="preserve"> data to address these questions</w:t>
      </w:r>
      <w:r w:rsidR="008060D5" w:rsidRPr="00B33842">
        <w:rPr>
          <w:rFonts w:eastAsiaTheme="minorEastAsia"/>
        </w:rPr>
        <w:t>.</w:t>
      </w:r>
    </w:p>
    <w:p w:rsidR="00B33842" w:rsidRDefault="00B464DF" w:rsidP="00C46283">
      <w:pPr>
        <w:ind w:firstLine="720"/>
        <w:rPr>
          <w:rFonts w:eastAsiaTheme="minorEastAsia"/>
        </w:rPr>
      </w:pPr>
      <w:r>
        <w:rPr>
          <w:rFonts w:eastAsiaTheme="minorEastAsia"/>
        </w:rPr>
        <w:t>T</w:t>
      </w:r>
      <w:r w:rsidR="002526A4" w:rsidRPr="00B33842">
        <w:rPr>
          <w:rFonts w:eastAsiaTheme="minorEastAsia"/>
        </w:rPr>
        <w:t xml:space="preserve">he parameters </w:t>
      </w:r>
      <m:oMath>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r</m:t>
            </m:r>
          </m:sub>
        </m:sSub>
        <m:r>
          <m:rPr>
            <m:sty m:val="p"/>
          </m:rPr>
          <w:rPr>
            <w:rFonts w:ascii="Cambria Math" w:eastAsiaTheme="minorEastAsia" w:hAnsi="Cambria Math"/>
          </w:rPr>
          <m:t>(k)</m:t>
        </m:r>
      </m:oMath>
      <w:r w:rsidR="002526A4" w:rsidRPr="00B33842">
        <w:rPr>
          <w:rFonts w:eastAsiaTheme="minorEastAsia"/>
        </w:rPr>
        <w:t xml:space="preserve"> describe the change in the catchability of squid based on the k</w:t>
      </w:r>
      <w:r w:rsidR="002526A4" w:rsidRPr="00B33842">
        <w:rPr>
          <w:rFonts w:eastAsiaTheme="minorEastAsia"/>
          <w:vertAlign w:val="superscript"/>
        </w:rPr>
        <w:t>th</w:t>
      </w:r>
      <w:r w:rsidR="002526A4" w:rsidRPr="00B33842">
        <w:rPr>
          <w:rFonts w:eastAsiaTheme="minorEastAsia"/>
        </w:rPr>
        <w:t xml:space="preserve"> covariate related to the </w:t>
      </w:r>
      <w:proofErr w:type="spellStart"/>
      <w:r w:rsidR="002526A4" w:rsidRPr="00B33842">
        <w:rPr>
          <w:rFonts w:eastAsiaTheme="minorEastAsia"/>
        </w:rPr>
        <w:t>i</w:t>
      </w:r>
      <w:r w:rsidR="002526A4" w:rsidRPr="00B33842">
        <w:rPr>
          <w:rFonts w:eastAsiaTheme="minorEastAsia"/>
          <w:vertAlign w:val="superscript"/>
        </w:rPr>
        <w:t>th</w:t>
      </w:r>
      <w:proofErr w:type="spellEnd"/>
      <w:r w:rsidR="002526A4" w:rsidRPr="00B33842">
        <w:rPr>
          <w:rFonts w:eastAsiaTheme="minorEastAsia"/>
        </w:rPr>
        <w:t xml:space="preserve"> </w:t>
      </w:r>
      <w:proofErr w:type="gramStart"/>
      <w:r w:rsidR="002526A4" w:rsidRPr="00B33842">
        <w:rPr>
          <w:rFonts w:eastAsiaTheme="minorEastAsia"/>
        </w:rPr>
        <w:t xml:space="preserve">observation </w:t>
      </w:r>
      <w:proofErr w:type="gramEnd"/>
      <m:oMath>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d>
      </m:oMath>
      <w:r w:rsidR="002526A4" w:rsidRPr="00B33842">
        <w:rPr>
          <w:rFonts w:eastAsiaTheme="minorEastAsia"/>
        </w:rPr>
        <w:t>. Because the covariates are related to the observation, there is no subscript for the encounter or positive catch models.</w:t>
      </w:r>
      <w:r w:rsidR="0094177E">
        <w:rPr>
          <w:rFonts w:eastAsiaTheme="minorEastAsia"/>
        </w:rPr>
        <w:t xml:space="preserve"> </w:t>
      </w:r>
      <w:r>
        <w:rPr>
          <w:rFonts w:eastAsiaTheme="minorEastAsia"/>
        </w:rPr>
        <w:t xml:space="preserve">Catchability covariates </w:t>
      </w:r>
      <w:r w:rsidR="00556608">
        <w:rPr>
          <w:rFonts w:eastAsiaTheme="minorEastAsia"/>
        </w:rPr>
        <w:t xml:space="preserve">are different </w:t>
      </w:r>
      <w:r>
        <w:rPr>
          <w:rFonts w:eastAsiaTheme="minorEastAsia"/>
        </w:rPr>
        <w:t xml:space="preserve">from density covariates. Density covariates </w:t>
      </w:r>
      <w:r w:rsidR="00556608">
        <w:rPr>
          <w:rFonts w:eastAsiaTheme="minorEastAsia"/>
        </w:rPr>
        <w:t xml:space="preserve">are observed at every location in every year and </w:t>
      </w:r>
      <w:r>
        <w:rPr>
          <w:rFonts w:eastAsiaTheme="minorEastAsia"/>
        </w:rPr>
        <w:t xml:space="preserve">are useful for extrapolation and forecasting. </w:t>
      </w:r>
      <w:r w:rsidR="00556608">
        <w:rPr>
          <w:rFonts w:eastAsiaTheme="minorEastAsia"/>
        </w:rPr>
        <w:t>The catchability covariates are anything that could affect catch rates but not density. In our case, we have data on the 3m depth measurements of temperature, chlorophyll a concentrations, and salinity which could all plausibly affect the vertical distribution of squid in search for suitable habitat and prey concentrations.</w:t>
      </w:r>
    </w:p>
    <w:p w:rsidR="00641907" w:rsidRDefault="000D3F3E" w:rsidP="00556608">
      <w:pPr>
        <w:rPr>
          <w:rFonts w:eastAsiaTheme="minorEastAsia"/>
          <w:i/>
        </w:rPr>
      </w:pPr>
      <w:r w:rsidRPr="000D3F3E">
        <w:rPr>
          <w:rFonts w:eastAsiaTheme="minorEastAsia"/>
          <w:i/>
        </w:rPr>
        <w:t xml:space="preserve">Model estimation, validation and selection </w:t>
      </w:r>
    </w:p>
    <w:p w:rsidR="00B66EF5" w:rsidRPr="00355BAF" w:rsidRDefault="00556608" w:rsidP="00355BAF">
      <w:pPr>
        <w:tabs>
          <w:tab w:val="left" w:pos="0"/>
        </w:tabs>
      </w:pPr>
      <w:r>
        <w:rPr>
          <w:rFonts w:eastAsiaTheme="minorEastAsia"/>
        </w:rPr>
        <w:tab/>
      </w:r>
      <w:r w:rsidR="00D84231">
        <w:rPr>
          <w:rFonts w:eastAsiaTheme="minorEastAsia"/>
        </w:rPr>
        <w:t xml:space="preserve">Using </w:t>
      </w:r>
      <w:r w:rsidR="00B91565">
        <w:rPr>
          <w:rFonts w:eastAsiaTheme="minorEastAsia"/>
        </w:rPr>
        <w:t xml:space="preserve">the Template Model Builder </w:t>
      </w:r>
      <w:r w:rsidR="00D84231">
        <w:rPr>
          <w:rFonts w:eastAsiaTheme="minorEastAsia"/>
        </w:rPr>
        <w:t xml:space="preserve">libraries </w:t>
      </w:r>
      <w:r w:rsidR="00B66EF5" w:rsidRPr="00760F8D">
        <w:fldChar w:fldCharType="begin"/>
      </w:r>
      <w:r w:rsidR="00B66EF5" w:rsidRPr="00760F8D">
        <w:instrText xml:space="preserve"> ADDIN ZOTERO_ITEM CSL_CITATION {"citationID":"SRwwbLET","properties":{"formattedCitation":"(Kristensen et al. 2015)","plainCitation":"(Kristensen et al. 2015)","noteIndex":0},"citationItems":[{"id":1501,"uris":["http://zotero.org/users/3830350/items/BSKPXXC5"],"uri":["http://zotero.org/users/3830350/items/BSKPXXC5"],"itemData":{"id":1501,"type":"article-journal","container-title":"arXiv preprint arXiv:1509.00660","source":"Google Scholar","title":"TMB: automatic differentiation and Laplace approximation","title-short":"TMB","URL":"https://arxiv.org/abs/1509.00660","author":[{"family":"Kristensen","given":"Kasper"},{"family":"Nielsen","given":"Anders"},{"family":"Berg","given":"Casper W."},{"family":"Skaug","given":"Hans"},{"family":"Bell","given":"Brad"}],"accessed":{"date-parts":[["2017",5,3]]},"issued":{"date-parts":[["2015"]]}}}],"schema":"https://github.com/citation-style-language/schema/raw/master/csl-citation.json"} </w:instrText>
      </w:r>
      <w:r w:rsidR="00B66EF5" w:rsidRPr="00760F8D">
        <w:fldChar w:fldCharType="separate"/>
      </w:r>
      <w:r w:rsidR="00B66EF5" w:rsidRPr="00760F8D">
        <w:t>(</w:t>
      </w:r>
      <w:r w:rsidR="00B91565">
        <w:rPr>
          <w:rFonts w:eastAsiaTheme="minorEastAsia"/>
        </w:rPr>
        <w:t xml:space="preserve">TMB package; </w:t>
      </w:r>
      <w:proofErr w:type="spellStart"/>
      <w:r w:rsidR="00B66EF5" w:rsidRPr="00760F8D">
        <w:t>Kristensen</w:t>
      </w:r>
      <w:proofErr w:type="spellEnd"/>
      <w:r w:rsidR="00B66EF5" w:rsidRPr="00760F8D">
        <w:t xml:space="preserve"> et al. 2015)</w:t>
      </w:r>
      <w:r w:rsidR="00B66EF5" w:rsidRPr="00760F8D">
        <w:fldChar w:fldCharType="end"/>
      </w:r>
      <w:r w:rsidR="00B66EF5">
        <w:t xml:space="preserve"> </w:t>
      </w:r>
      <w:r w:rsidR="00B91565">
        <w:rPr>
          <w:rFonts w:eastAsiaTheme="minorEastAsia"/>
        </w:rPr>
        <w:t xml:space="preserve">for </w:t>
      </w:r>
      <w:r w:rsidR="00B66EF5">
        <w:rPr>
          <w:rFonts w:eastAsiaTheme="minorEastAsia"/>
        </w:rPr>
        <w:t>R</w:t>
      </w:r>
      <w:r w:rsidR="00D84231">
        <w:rPr>
          <w:rFonts w:eastAsiaTheme="minorEastAsia"/>
        </w:rPr>
        <w:t>, t</w:t>
      </w:r>
      <w:r>
        <w:rPr>
          <w:rFonts w:eastAsiaTheme="minorEastAsia"/>
        </w:rPr>
        <w:t xml:space="preserve">he parameters of VAST model are estimated </w:t>
      </w:r>
      <w:r w:rsidR="00B66EF5">
        <w:rPr>
          <w:rFonts w:eastAsiaTheme="minorEastAsia"/>
        </w:rPr>
        <w:t xml:space="preserve">by </w:t>
      </w:r>
      <w:r w:rsidR="00392DA9">
        <w:rPr>
          <w:rFonts w:eastAsiaTheme="minorEastAsia"/>
        </w:rPr>
        <w:t xml:space="preserve">maximizing </w:t>
      </w:r>
      <w:r w:rsidR="00D84231">
        <w:rPr>
          <w:rFonts w:eastAsiaTheme="minorEastAsia"/>
        </w:rPr>
        <w:t>the marginal likelihood with respect to the fixed effect, while integrating out the random effect</w:t>
      </w:r>
      <w:r w:rsidR="00B91565">
        <w:rPr>
          <w:rFonts w:eastAsiaTheme="minorEastAsia"/>
        </w:rPr>
        <w:t>s</w:t>
      </w:r>
      <w:r w:rsidR="00D84231">
        <w:rPr>
          <w:rFonts w:eastAsiaTheme="minorEastAsia"/>
        </w:rPr>
        <w:t xml:space="preserve"> using a Laplace approximation</w:t>
      </w:r>
      <w:r w:rsidRPr="00760F8D">
        <w:t xml:space="preserve">. </w:t>
      </w:r>
      <w:r w:rsidR="00B91565">
        <w:t xml:space="preserve">Model selection and validation was done using AIC </w:t>
      </w:r>
      <w:r w:rsidR="00B66EF5">
        <w:t>(</w:t>
      </w:r>
      <w:proofErr w:type="spellStart"/>
      <w:r w:rsidR="00B66EF5" w:rsidRPr="00760F8D">
        <w:t>Akaike</w:t>
      </w:r>
      <w:proofErr w:type="spellEnd"/>
      <w:r w:rsidR="00B66EF5" w:rsidRPr="00760F8D">
        <w:t xml:space="preserve"> 1974</w:t>
      </w:r>
      <w:r w:rsidR="00B66EF5">
        <w:t>) and k-fold cross-validation</w:t>
      </w:r>
      <w:r w:rsidR="00B91565">
        <w:t>, respectively</w:t>
      </w:r>
      <w:r w:rsidR="001373CE">
        <w:t xml:space="preserve">. </w:t>
      </w:r>
    </w:p>
    <w:p w:rsidR="004D5B53" w:rsidRPr="006C7550" w:rsidRDefault="004D5B53">
      <w:pPr>
        <w:rPr>
          <w:rFonts w:eastAsiaTheme="minorEastAsia"/>
          <w:b/>
        </w:rPr>
      </w:pPr>
      <w:r w:rsidRPr="006C7550">
        <w:rPr>
          <w:rFonts w:eastAsiaTheme="minorEastAsia"/>
          <w:b/>
        </w:rPr>
        <w:t>Results</w:t>
      </w:r>
    </w:p>
    <w:p w:rsidR="001373CE" w:rsidRDefault="00FF6DE7" w:rsidP="00FF6DE7">
      <w:pPr>
        <w:ind w:firstLine="720"/>
        <w:rPr>
          <w:rFonts w:eastAsiaTheme="minorEastAsia"/>
        </w:rPr>
      </w:pPr>
      <w:r>
        <w:rPr>
          <w:rFonts w:eastAsiaTheme="minorEastAsia"/>
        </w:rPr>
        <w:lastRenderedPageBreak/>
        <w:t xml:space="preserve">We were able to fit </w:t>
      </w:r>
      <w:proofErr w:type="spellStart"/>
      <w:r>
        <w:rPr>
          <w:rFonts w:eastAsiaTheme="minorEastAsia"/>
        </w:rPr>
        <w:t>geostatistical</w:t>
      </w:r>
      <w:proofErr w:type="spellEnd"/>
      <w:r>
        <w:rPr>
          <w:rFonts w:eastAsiaTheme="minorEastAsia"/>
        </w:rPr>
        <w:t xml:space="preserve"> models to fisheries independent squid catches between 1998 and 2019, and the results suggest a large amount of spatiotemporal variability between years for encounter probability (</w:t>
      </w:r>
      <w:r>
        <w:rPr>
          <w:rFonts w:eastAsiaTheme="minorEastAsia"/>
        </w:rPr>
        <w:fldChar w:fldCharType="begin"/>
      </w:r>
      <w:r>
        <w:rPr>
          <w:rFonts w:eastAsiaTheme="minorEastAsia"/>
        </w:rPr>
        <w:instrText xml:space="preserve"> REF _Ref40956082 \h </w:instrText>
      </w:r>
      <w:r>
        <w:rPr>
          <w:rFonts w:eastAsiaTheme="minorEastAsia"/>
        </w:rPr>
      </w:r>
      <w:r>
        <w:rPr>
          <w:rFonts w:eastAsiaTheme="minorEastAsia"/>
        </w:rPr>
        <w:fldChar w:fldCharType="separate"/>
      </w:r>
      <w:r w:rsidR="006807ED">
        <w:t xml:space="preserve">Figure </w:t>
      </w:r>
      <w:r w:rsidR="006807ED">
        <w:rPr>
          <w:noProof/>
        </w:rPr>
        <w:t>3</w:t>
      </w:r>
      <w:r>
        <w:rPr>
          <w:rFonts w:eastAsiaTheme="minorEastAsia"/>
        </w:rPr>
        <w:fldChar w:fldCharType="end"/>
      </w:r>
      <w:r>
        <w:rPr>
          <w:rFonts w:eastAsiaTheme="minorEastAsia"/>
        </w:rPr>
        <w:t>) and density of squid (</w:t>
      </w:r>
      <w:r>
        <w:rPr>
          <w:rFonts w:eastAsiaTheme="minorEastAsia"/>
        </w:rPr>
        <w:fldChar w:fldCharType="begin"/>
      </w:r>
      <w:r>
        <w:rPr>
          <w:rFonts w:eastAsiaTheme="minorEastAsia"/>
        </w:rPr>
        <w:instrText xml:space="preserve"> REF _Ref40956086 \h </w:instrText>
      </w:r>
      <w:r>
        <w:rPr>
          <w:rFonts w:eastAsiaTheme="minorEastAsia"/>
        </w:rPr>
        <w:fldChar w:fldCharType="separate"/>
      </w:r>
      <w:r w:rsidR="006807ED">
        <w:rPr>
          <w:rFonts w:eastAsiaTheme="minorEastAsia"/>
          <w:b/>
          <w:bCs/>
        </w:rPr>
        <w:t>Error! Reference source not found.</w:t>
      </w:r>
      <w:r>
        <w:rPr>
          <w:rFonts w:eastAsiaTheme="minorEastAsia"/>
        </w:rPr>
        <w:fldChar w:fldCharType="end"/>
      </w:r>
      <w:r>
        <w:rPr>
          <w:rFonts w:eastAsiaTheme="minorEastAsia"/>
        </w:rPr>
        <w:t>)</w:t>
      </w:r>
      <w:r w:rsidR="00C75F87">
        <w:rPr>
          <w:rFonts w:eastAsiaTheme="minorEastAsia"/>
        </w:rPr>
        <w:t xml:space="preserve"> for both small </w:t>
      </w:r>
      <m:oMath>
        <m:d>
          <m:dPr>
            <m:ctrlPr>
              <w:rPr>
                <w:rFonts w:ascii="Cambria Math" w:eastAsiaTheme="minorEastAsia" w:hAnsi="Cambria Math"/>
                <w:i/>
              </w:rPr>
            </m:ctrlPr>
          </m:dPr>
          <m:e>
            <m:r>
              <w:rPr>
                <w:rFonts w:ascii="Cambria Math" w:eastAsiaTheme="minorEastAsia" w:hAnsi="Cambria Math"/>
              </w:rPr>
              <m:t xml:space="preserve">≤80 </m:t>
            </m:r>
            <m:r>
              <m:rPr>
                <m:sty m:val="p"/>
              </m:rPr>
              <w:rPr>
                <w:rFonts w:ascii="Cambria Math" w:eastAsiaTheme="minorEastAsia" w:hAnsi="Cambria Math"/>
              </w:rPr>
              <m:t>mm</m:t>
            </m:r>
          </m:e>
        </m:d>
      </m:oMath>
      <w:r w:rsidR="00C75F87">
        <w:rPr>
          <w:rFonts w:eastAsiaTheme="minorEastAsia"/>
        </w:rPr>
        <w:t xml:space="preserve"> and large </w:t>
      </w:r>
      <m:oMath>
        <m:r>
          <w:rPr>
            <w:rFonts w:ascii="Cambria Math" w:eastAsiaTheme="minorEastAsia" w:hAnsi="Cambria Math"/>
          </w:rPr>
          <m:t xml:space="preserve">(&gt;80 </m:t>
        </m:r>
        <m:r>
          <m:rPr>
            <m:sty m:val="p"/>
          </m:rPr>
          <w:rPr>
            <w:rFonts w:ascii="Cambria Math" w:eastAsiaTheme="minorEastAsia" w:hAnsi="Cambria Math"/>
          </w:rPr>
          <m:t>mm</m:t>
        </m:r>
        <m:r>
          <w:rPr>
            <w:rFonts w:ascii="Cambria Math" w:eastAsiaTheme="minorEastAsia" w:hAnsi="Cambria Math"/>
          </w:rPr>
          <m:t>)</m:t>
        </m:r>
      </m:oMath>
      <w:r w:rsidR="00C75F87">
        <w:rPr>
          <w:rFonts w:eastAsiaTheme="minorEastAsia"/>
        </w:rPr>
        <w:t xml:space="preserve"> sized squid</w:t>
      </w:r>
      <w:r>
        <w:rPr>
          <w:rFonts w:eastAsiaTheme="minorEastAsia"/>
        </w:rPr>
        <w:t>.</w:t>
      </w:r>
      <w:r w:rsidR="00C75F87">
        <w:rPr>
          <w:rFonts w:eastAsiaTheme="minorEastAsia"/>
        </w:rPr>
        <w:t xml:space="preserve"> Despite increase catches for the commercial and survey catches in Oregon and Washington during the last 22 years, results from the model fit </w:t>
      </w:r>
      <w:r w:rsidR="009D1EAD">
        <w:rPr>
          <w:rFonts w:eastAsiaTheme="minorEastAsia"/>
        </w:rPr>
        <w:t xml:space="preserve">suggest </w:t>
      </w:r>
      <w:r w:rsidR="00760F25">
        <w:rPr>
          <w:rFonts w:eastAsiaTheme="minorEastAsia"/>
        </w:rPr>
        <w:t xml:space="preserve">that </w:t>
      </w:r>
      <w:r w:rsidR="00C75F87">
        <w:rPr>
          <w:rFonts w:eastAsiaTheme="minorEastAsia"/>
        </w:rPr>
        <w:t xml:space="preserve">the </w:t>
      </w:r>
      <w:r w:rsidR="00760F25">
        <w:rPr>
          <w:rFonts w:eastAsiaTheme="minorEastAsia"/>
        </w:rPr>
        <w:t xml:space="preserve">range of the </w:t>
      </w:r>
      <w:r w:rsidR="00C75F87">
        <w:rPr>
          <w:rFonts w:eastAsiaTheme="minorEastAsia"/>
        </w:rPr>
        <w:t xml:space="preserve">center of gravity (COG) </w:t>
      </w:r>
      <w:r w:rsidR="00760F25">
        <w:rPr>
          <w:rFonts w:eastAsiaTheme="minorEastAsia"/>
        </w:rPr>
        <w:t xml:space="preserve">has shifted </w:t>
      </w:r>
      <w:r w:rsidR="009D1EAD">
        <w:rPr>
          <w:rFonts w:eastAsiaTheme="minorEastAsia"/>
        </w:rPr>
        <w:t>between 150 km north and south and 30</w:t>
      </w:r>
      <w:r w:rsidR="00760F25">
        <w:rPr>
          <w:rFonts w:eastAsiaTheme="minorEastAsia"/>
        </w:rPr>
        <w:t xml:space="preserve"> km east and west </w:t>
      </w:r>
      <w:r w:rsidR="00C75F87">
        <w:rPr>
          <w:rFonts w:eastAsiaTheme="minorEastAsia"/>
        </w:rPr>
        <w:t>(</w:t>
      </w:r>
      <w:r w:rsidR="00C75F87">
        <w:rPr>
          <w:rFonts w:eastAsiaTheme="minorEastAsia"/>
        </w:rPr>
        <w:fldChar w:fldCharType="begin"/>
      </w:r>
      <w:r w:rsidR="00C75F87">
        <w:rPr>
          <w:rFonts w:eastAsiaTheme="minorEastAsia"/>
        </w:rPr>
        <w:instrText xml:space="preserve"> REF _Ref40956707 \h </w:instrText>
      </w:r>
      <w:r w:rsidR="00C75F87">
        <w:rPr>
          <w:rFonts w:eastAsiaTheme="minorEastAsia"/>
        </w:rPr>
      </w:r>
      <w:r w:rsidR="00C75F87">
        <w:rPr>
          <w:rFonts w:eastAsiaTheme="minorEastAsia"/>
        </w:rPr>
        <w:fldChar w:fldCharType="separate"/>
      </w:r>
      <w:r w:rsidR="006807ED">
        <w:t xml:space="preserve">Figure </w:t>
      </w:r>
      <w:r w:rsidR="006807ED">
        <w:rPr>
          <w:noProof/>
        </w:rPr>
        <w:t>4</w:t>
      </w:r>
      <w:r w:rsidR="00C75F87">
        <w:rPr>
          <w:rFonts w:eastAsiaTheme="minorEastAsia"/>
        </w:rPr>
        <w:fldChar w:fldCharType="end"/>
      </w:r>
      <w:r w:rsidR="00C75F87">
        <w:rPr>
          <w:rFonts w:eastAsiaTheme="minorEastAsia"/>
        </w:rPr>
        <w:fldChar w:fldCharType="begin"/>
      </w:r>
      <w:r w:rsidR="00C75F87">
        <w:rPr>
          <w:rFonts w:eastAsiaTheme="minorEastAsia"/>
        </w:rPr>
        <w:instrText xml:space="preserve"> REF _Ref40956707 \h </w:instrText>
      </w:r>
      <w:r w:rsidR="00C75F87">
        <w:rPr>
          <w:rFonts w:eastAsiaTheme="minorEastAsia"/>
        </w:rPr>
      </w:r>
      <w:r w:rsidR="00C75F87">
        <w:rPr>
          <w:rFonts w:eastAsiaTheme="minorEastAsia"/>
        </w:rPr>
        <w:fldChar w:fldCharType="separate"/>
      </w:r>
      <w:r w:rsidR="006807ED">
        <w:t xml:space="preserve">Figure </w:t>
      </w:r>
      <w:r w:rsidR="006807ED">
        <w:rPr>
          <w:noProof/>
        </w:rPr>
        <w:t>4</w:t>
      </w:r>
      <w:r w:rsidR="00C75F87">
        <w:rPr>
          <w:rFonts w:eastAsiaTheme="minorEastAsia"/>
        </w:rPr>
        <w:fldChar w:fldCharType="end"/>
      </w:r>
      <w:r w:rsidR="00760F25">
        <w:rPr>
          <w:rFonts w:eastAsiaTheme="minorEastAsia"/>
        </w:rPr>
        <w:t xml:space="preserve">; however, there has been little north-south or east-west trend over time. </w:t>
      </w:r>
      <w:r w:rsidR="009D1EAD">
        <w:rPr>
          <w:rFonts w:eastAsiaTheme="minorEastAsia"/>
        </w:rPr>
        <w:t>The large shift in the distribution during 2015 was due to increased catches across the entire Oregon and Washington coast, with a particularly large hotspot of catches around the Oregon/California border (</w:t>
      </w:r>
      <w:r w:rsidR="009D1EAD">
        <w:rPr>
          <w:rFonts w:eastAsiaTheme="minorEastAsia"/>
        </w:rPr>
        <w:fldChar w:fldCharType="begin"/>
      </w:r>
      <w:r w:rsidR="009D1EAD">
        <w:rPr>
          <w:rFonts w:eastAsiaTheme="minorEastAsia"/>
        </w:rPr>
        <w:instrText xml:space="preserve"> REF _Ref40956082 \h </w:instrText>
      </w:r>
      <w:r w:rsidR="009D1EAD">
        <w:rPr>
          <w:rFonts w:eastAsiaTheme="minorEastAsia"/>
        </w:rPr>
      </w:r>
      <w:r w:rsidR="009D1EAD">
        <w:rPr>
          <w:rFonts w:eastAsiaTheme="minorEastAsia"/>
        </w:rPr>
        <w:fldChar w:fldCharType="separate"/>
      </w:r>
      <w:r w:rsidR="006807ED">
        <w:t xml:space="preserve">Figure </w:t>
      </w:r>
      <w:r w:rsidR="006807ED">
        <w:rPr>
          <w:noProof/>
        </w:rPr>
        <w:t>3</w:t>
      </w:r>
      <w:r w:rsidR="009D1EAD">
        <w:rPr>
          <w:rFonts w:eastAsiaTheme="minorEastAsia"/>
        </w:rPr>
        <w:fldChar w:fldCharType="end"/>
      </w:r>
      <w:r w:rsidR="009D1EAD">
        <w:rPr>
          <w:rFonts w:eastAsiaTheme="minorEastAsia"/>
        </w:rPr>
        <w:t xml:space="preserve"> and </w:t>
      </w:r>
      <w:r w:rsidR="009D1EAD">
        <w:rPr>
          <w:rFonts w:eastAsiaTheme="minorEastAsia"/>
        </w:rPr>
        <w:fldChar w:fldCharType="begin"/>
      </w:r>
      <w:r w:rsidR="009D1EAD">
        <w:rPr>
          <w:rFonts w:eastAsiaTheme="minorEastAsia"/>
        </w:rPr>
        <w:instrText xml:space="preserve"> REF _Ref40956707 \h </w:instrText>
      </w:r>
      <w:r w:rsidR="009D1EAD">
        <w:rPr>
          <w:rFonts w:eastAsiaTheme="minorEastAsia"/>
        </w:rPr>
      </w:r>
      <w:r w:rsidR="009D1EAD">
        <w:rPr>
          <w:rFonts w:eastAsiaTheme="minorEastAsia"/>
        </w:rPr>
        <w:fldChar w:fldCharType="separate"/>
      </w:r>
      <w:r w:rsidR="006807ED">
        <w:t xml:space="preserve">Figure </w:t>
      </w:r>
      <w:r w:rsidR="006807ED">
        <w:rPr>
          <w:noProof/>
        </w:rPr>
        <w:t>4</w:t>
      </w:r>
      <w:r w:rsidR="009D1EAD">
        <w:rPr>
          <w:rFonts w:eastAsiaTheme="minorEastAsia"/>
        </w:rPr>
        <w:fldChar w:fldCharType="end"/>
      </w:r>
      <w:r w:rsidR="009D1EAD">
        <w:rPr>
          <w:rFonts w:eastAsiaTheme="minorEastAsia"/>
        </w:rPr>
        <w:t xml:space="preserve">). </w:t>
      </w:r>
      <w:r w:rsidR="00760F25">
        <w:rPr>
          <w:rFonts w:eastAsiaTheme="minorEastAsia"/>
        </w:rPr>
        <w:t>T</w:t>
      </w:r>
      <w:r w:rsidR="00C75F87">
        <w:rPr>
          <w:rFonts w:eastAsiaTheme="minorEastAsia"/>
        </w:rPr>
        <w:t>he index</w:t>
      </w:r>
      <w:r w:rsidR="009D1EAD">
        <w:rPr>
          <w:rFonts w:eastAsiaTheme="minorEastAsia"/>
        </w:rPr>
        <w:t xml:space="preserve"> catches of </w:t>
      </w:r>
      <w:r w:rsidR="00C75F87">
        <w:rPr>
          <w:rFonts w:eastAsiaTheme="minorEastAsia"/>
        </w:rPr>
        <w:t xml:space="preserve">squid abundance during day time tows in the upper water column, generally track recent increases in the catches for California, Oregon, Washington, and the </w:t>
      </w:r>
      <w:proofErr w:type="spellStart"/>
      <w:r w:rsidR="00C75F87">
        <w:rPr>
          <w:rFonts w:eastAsiaTheme="minorEastAsia"/>
        </w:rPr>
        <w:t>coastwide</w:t>
      </w:r>
      <w:proofErr w:type="spellEnd"/>
      <w:r w:rsidR="00C75F87">
        <w:rPr>
          <w:rFonts w:eastAsiaTheme="minorEastAsia"/>
        </w:rPr>
        <w:t xml:space="preserve"> aggregate (</w:t>
      </w:r>
      <w:r w:rsidR="00C75F87">
        <w:rPr>
          <w:rFonts w:eastAsiaTheme="minorEastAsia"/>
        </w:rPr>
        <w:fldChar w:fldCharType="begin"/>
      </w:r>
      <w:r w:rsidR="00C75F87">
        <w:rPr>
          <w:rFonts w:eastAsiaTheme="minorEastAsia"/>
        </w:rPr>
        <w:instrText xml:space="preserve"> REF _Ref40956464 \h </w:instrText>
      </w:r>
      <w:r w:rsidR="00C75F87">
        <w:rPr>
          <w:rFonts w:eastAsiaTheme="minorEastAsia"/>
        </w:rPr>
      </w:r>
      <w:r w:rsidR="00C75F87">
        <w:rPr>
          <w:rFonts w:eastAsiaTheme="minorEastAsia"/>
        </w:rPr>
        <w:fldChar w:fldCharType="separate"/>
      </w:r>
      <w:r w:rsidR="006807ED">
        <w:t xml:space="preserve">Figure </w:t>
      </w:r>
      <w:r w:rsidR="006807ED">
        <w:rPr>
          <w:noProof/>
        </w:rPr>
        <w:t>5</w:t>
      </w:r>
      <w:r w:rsidR="00C75F87">
        <w:rPr>
          <w:rFonts w:eastAsiaTheme="minorEastAsia"/>
        </w:rPr>
        <w:fldChar w:fldCharType="end"/>
      </w:r>
      <w:r w:rsidR="00760F25">
        <w:rPr>
          <w:rFonts w:eastAsiaTheme="minorEastAsia"/>
        </w:rPr>
        <w:t>). With the largest increases coming xx and the lowest coming in xx. We did find an increase in the range for both size classes of squid: between 1998 and 2019, small and large squid expanded their ranges by xx and xx percent, respectively, in the surveyed water</w:t>
      </w:r>
      <w:r w:rsidR="000120D1">
        <w:rPr>
          <w:rFonts w:eastAsiaTheme="minorEastAsia"/>
        </w:rPr>
        <w:t xml:space="preserve"> (</w:t>
      </w:r>
      <w:r w:rsidR="000120D1">
        <w:rPr>
          <w:rFonts w:eastAsiaTheme="minorEastAsia"/>
        </w:rPr>
        <w:fldChar w:fldCharType="begin"/>
      </w:r>
      <w:r w:rsidR="000120D1">
        <w:rPr>
          <w:rFonts w:eastAsiaTheme="minorEastAsia"/>
        </w:rPr>
        <w:instrText xml:space="preserve"> REF _Ref40957456 \h </w:instrText>
      </w:r>
      <w:r w:rsidR="000120D1">
        <w:rPr>
          <w:rFonts w:eastAsiaTheme="minorEastAsia"/>
        </w:rPr>
      </w:r>
      <w:r w:rsidR="000120D1">
        <w:rPr>
          <w:rFonts w:eastAsiaTheme="minorEastAsia"/>
        </w:rPr>
        <w:fldChar w:fldCharType="separate"/>
      </w:r>
      <w:r w:rsidR="006807ED">
        <w:t xml:space="preserve">Figure </w:t>
      </w:r>
      <w:r w:rsidR="006807ED">
        <w:rPr>
          <w:noProof/>
        </w:rPr>
        <w:t>6</w:t>
      </w:r>
      <w:r w:rsidR="000120D1">
        <w:rPr>
          <w:rFonts w:eastAsiaTheme="minorEastAsia"/>
        </w:rPr>
        <w:fldChar w:fldCharType="end"/>
      </w:r>
      <w:r w:rsidR="000120D1">
        <w:rPr>
          <w:rFonts w:eastAsiaTheme="minorEastAsia"/>
        </w:rPr>
        <w:t>)</w:t>
      </w:r>
      <w:r w:rsidR="00760F25">
        <w:rPr>
          <w:rFonts w:eastAsiaTheme="minorEastAsia"/>
        </w:rPr>
        <w:t>.</w:t>
      </w:r>
    </w:p>
    <w:p w:rsidR="00760F25" w:rsidRPr="00B33842" w:rsidRDefault="00760F25" w:rsidP="00FF6DE7">
      <w:pPr>
        <w:ind w:firstLine="720"/>
        <w:rPr>
          <w:rFonts w:eastAsiaTheme="minorEastAsia"/>
        </w:rPr>
      </w:pPr>
      <w:r>
        <w:rPr>
          <w:rFonts w:eastAsiaTheme="minorEastAsia"/>
        </w:rPr>
        <w:t xml:space="preserve">We </w:t>
      </w:r>
      <w:r w:rsidR="00A01329">
        <w:rPr>
          <w:rFonts w:eastAsiaTheme="minorEastAsia"/>
        </w:rPr>
        <w:t>explored</w:t>
      </w:r>
      <w:r>
        <w:rPr>
          <w:rFonts w:eastAsiaTheme="minorEastAsia"/>
        </w:rPr>
        <w:t xml:space="preserve"> several model configurations for the squid and used AIC to determine which models pr</w:t>
      </w:r>
      <w:r w:rsidR="00A01329">
        <w:rPr>
          <w:rFonts w:eastAsiaTheme="minorEastAsia"/>
        </w:rPr>
        <w:t>oduced the best fit to the data. Among the models we tested, those with catchability covariates, spatial, and spatiotemporal process performed the best (Table</w:t>
      </w:r>
    </w:p>
    <w:p w:rsidR="001373CE" w:rsidRDefault="001373CE">
      <w:pPr>
        <w:spacing w:line="259" w:lineRule="auto"/>
        <w:rPr>
          <w:rFonts w:eastAsiaTheme="minorEastAsia"/>
        </w:rPr>
      </w:pPr>
      <w:r>
        <w:rPr>
          <w:rFonts w:eastAsiaTheme="minorEastAsia"/>
        </w:rPr>
        <w:br w:type="page"/>
      </w:r>
    </w:p>
    <w:p w:rsidR="008500A1" w:rsidRDefault="00BB6FB3">
      <w:pPr>
        <w:rPr>
          <w:rFonts w:eastAsiaTheme="minorEastAsia"/>
        </w:rPr>
      </w:pPr>
      <w:r w:rsidRPr="00B33842">
        <w:rPr>
          <w:rFonts w:eastAsiaTheme="minorEastAsia"/>
        </w:rPr>
        <w:lastRenderedPageBreak/>
        <w:t xml:space="preserve"> </w:t>
      </w:r>
      <w:r w:rsidR="001373CE">
        <w:rPr>
          <w:rFonts w:eastAsiaTheme="minorEastAsia"/>
        </w:rPr>
        <w:t>Tables</w:t>
      </w:r>
    </w:p>
    <w:p w:rsidR="001373CE" w:rsidRPr="00B33842" w:rsidRDefault="001373CE" w:rsidP="001373CE">
      <w:pPr>
        <w:pStyle w:val="Caption"/>
        <w:rPr>
          <w:rFonts w:eastAsiaTheme="minorEastAsia"/>
        </w:rPr>
      </w:pPr>
      <w:r w:rsidRPr="00B33842">
        <w:t xml:space="preserve">Table </w:t>
      </w:r>
      <w:fldSimple w:instr=" SEQ Table \* ARABIC ">
        <w:r w:rsidR="006807ED">
          <w:rPr>
            <w:noProof/>
          </w:rPr>
          <w:t>1</w:t>
        </w:r>
      </w:fldSimple>
      <w:r w:rsidRPr="00B33842">
        <w:t>. Description of model data, parameters, variables, and subscripts.</w:t>
      </w:r>
    </w:p>
    <w:tbl>
      <w:tblPr>
        <w:tblStyle w:val="TableGrid"/>
        <w:tblW w:w="0" w:type="auto"/>
        <w:tblLook w:val="04A0" w:firstRow="1" w:lastRow="0" w:firstColumn="1" w:lastColumn="0" w:noHBand="0" w:noVBand="1"/>
      </w:tblPr>
      <w:tblGrid>
        <w:gridCol w:w="4613"/>
        <w:gridCol w:w="4613"/>
      </w:tblGrid>
      <w:tr w:rsidR="001373CE" w:rsidRPr="00B33842" w:rsidTr="006C7550">
        <w:trPr>
          <w:trHeight w:val="232"/>
        </w:trPr>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Subscripts</w:t>
            </w:r>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Description</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i</m:t>
                </m:r>
              </m:oMath>
            </m:oMathPara>
          </w:p>
        </w:tc>
        <w:tc>
          <w:tcPr>
            <w:tcW w:w="4613" w:type="dxa"/>
          </w:tcPr>
          <w:p w:rsidR="001373CE" w:rsidRPr="00B33842" w:rsidRDefault="001373CE" w:rsidP="006C7550">
            <w:pPr>
              <w:spacing w:line="240" w:lineRule="auto"/>
              <w:rPr>
                <w:rFonts w:eastAsiaTheme="minorEastAsia"/>
                <w:sz w:val="20"/>
                <w:szCs w:val="20"/>
              </w:rPr>
            </w:pPr>
            <w:proofErr w:type="spellStart"/>
            <w:r w:rsidRPr="00B33842">
              <w:rPr>
                <w:rFonts w:eastAsiaTheme="minorEastAsia"/>
                <w:sz w:val="20"/>
                <w:szCs w:val="20"/>
              </w:rPr>
              <w:t>i</w:t>
            </w:r>
            <w:r w:rsidRPr="00B33842">
              <w:rPr>
                <w:rFonts w:eastAsiaTheme="minorEastAsia"/>
                <w:sz w:val="20"/>
                <w:szCs w:val="20"/>
                <w:vertAlign w:val="superscript"/>
              </w:rPr>
              <w:t>th</w:t>
            </w:r>
            <w:proofErr w:type="spellEnd"/>
            <w:r w:rsidRPr="00B33842">
              <w:rPr>
                <w:rFonts w:eastAsiaTheme="minorEastAsia"/>
                <w:sz w:val="20"/>
                <w:szCs w:val="20"/>
              </w:rPr>
              <w:t xml:space="preserve"> observation </w:t>
            </w:r>
          </w:p>
        </w:tc>
      </w:tr>
      <w:tr w:rsidR="001373CE" w:rsidRPr="00B33842" w:rsidTr="006C7550">
        <w:trPr>
          <w:trHeight w:val="480"/>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r</m:t>
                </m:r>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References observations with positive catches</w:t>
            </w:r>
          </w:p>
        </w:tc>
      </w:tr>
      <w:tr w:rsidR="001373CE" w:rsidRPr="00B33842" w:rsidTr="006C7550">
        <w:trPr>
          <w:trHeight w:val="465"/>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p</m:t>
                </m:r>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References observations with zero catch</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r w:rsidRPr="00B33842">
              <w:rPr>
                <w:rFonts w:eastAsia="Times New Roman" w:cs="Times New Roman"/>
                <w:sz w:val="20"/>
                <w:szCs w:val="20"/>
              </w:rPr>
              <w:t>Indexes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232"/>
        </w:trPr>
        <w:tc>
          <w:tcPr>
            <w:tcW w:w="4613" w:type="dxa"/>
          </w:tcPr>
          <w:p w:rsidR="001373CE" w:rsidRPr="00B33842" w:rsidRDefault="00B91565"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Year</w:t>
            </w:r>
          </w:p>
        </w:tc>
      </w:tr>
      <w:tr w:rsidR="001373CE" w:rsidRPr="00B33842" w:rsidTr="006C7550">
        <w:trPr>
          <w:trHeight w:val="248"/>
        </w:trPr>
        <w:tc>
          <w:tcPr>
            <w:tcW w:w="4613" w:type="dxa"/>
          </w:tcPr>
          <w:p w:rsidR="001373CE" w:rsidRPr="00B33842" w:rsidRDefault="00B91565"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Length category</w:t>
            </w:r>
          </w:p>
        </w:tc>
      </w:tr>
      <w:tr w:rsidR="001373CE" w:rsidRPr="00B33842" w:rsidTr="006C7550">
        <w:trPr>
          <w:trHeight w:val="465"/>
        </w:trPr>
        <w:tc>
          <w:tcPr>
            <w:tcW w:w="4613" w:type="dxa"/>
          </w:tcPr>
          <w:p w:rsidR="001373CE" w:rsidRPr="00B33842" w:rsidRDefault="00B91565"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Station were catches occurred</w:t>
            </w:r>
          </w:p>
        </w:tc>
      </w:tr>
      <w:tr w:rsidR="001373CE" w:rsidRPr="00B33842" w:rsidTr="006C7550">
        <w:trPr>
          <w:trHeight w:val="232"/>
        </w:trPr>
        <w:tc>
          <w:tcPr>
            <w:tcW w:w="4613" w:type="dxa"/>
          </w:tcPr>
          <w:p w:rsidR="001373CE" w:rsidRPr="00B33842" w:rsidRDefault="00B91565"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t</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years</w:t>
            </w:r>
          </w:p>
        </w:tc>
      </w:tr>
      <w:tr w:rsidR="001373CE" w:rsidRPr="00B33842" w:rsidTr="006C7550">
        <w:trPr>
          <w:trHeight w:val="232"/>
        </w:trPr>
        <w:tc>
          <w:tcPr>
            <w:tcW w:w="4613" w:type="dxa"/>
          </w:tcPr>
          <w:p w:rsidR="001373CE" w:rsidRPr="00B33842" w:rsidRDefault="00B91565"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observations</w:t>
            </w:r>
          </w:p>
        </w:tc>
      </w:tr>
      <w:tr w:rsidR="001373CE" w:rsidRPr="00B33842" w:rsidTr="006C7550">
        <w:trPr>
          <w:trHeight w:val="248"/>
        </w:trPr>
        <w:tc>
          <w:tcPr>
            <w:tcW w:w="4613" w:type="dxa"/>
          </w:tcPr>
          <w:p w:rsidR="001373CE" w:rsidRPr="00B33842" w:rsidRDefault="00B91565"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c</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categories</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r w:rsidRPr="00B33842">
              <w:rPr>
                <w:rFonts w:eastAsia="Times New Roman" w:cs="Times New Roman"/>
                <w:sz w:val="20"/>
                <w:szCs w:val="20"/>
              </w:rPr>
              <w:t>Fixed effects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B91565" w:rsidP="006C7550">
            <w:pPr>
              <w:spacing w:line="240" w:lineRule="auto"/>
              <w:rPr>
                <w:rFonts w:eastAsia="Times New Roman" w:cs="Times New Roman"/>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β</m:t>
                    </m:r>
                  </m:e>
                  <m:sub>
                    <m:r>
                      <m:rPr>
                        <m:sty m:val="p"/>
                      </m:rPr>
                      <w:rPr>
                        <w:rFonts w:ascii="Cambria Math" w:eastAsiaTheme="minorEastAsia" w:hAnsi="Cambria Math"/>
                        <w:sz w:val="20"/>
                        <w:szCs w:val="20"/>
                      </w:rPr>
                      <m:t>p</m:t>
                    </m:r>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e>
                </m:d>
                <m:r>
                  <m:rPr>
                    <m:sty m:val="p"/>
                  </m:rPr>
                  <w:rPr>
                    <w:rFonts w:ascii="Cambria Math" w:eastAsia="Times New Roman" w:hAnsi="Cambria Math" w:cs="Times New Roman"/>
                    <w:sz w:val="20"/>
                    <w:szCs w:val="20"/>
                  </w:rPr>
                  <m:t xml:space="preserve"> and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β</m:t>
                    </m:r>
                  </m:e>
                  <m:sub>
                    <m:r>
                      <m:rPr>
                        <m:sty m:val="p"/>
                      </m:rPr>
                      <w:rPr>
                        <w:rFonts w:ascii="Cambria Math" w:eastAsiaTheme="minorEastAsia" w:hAnsi="Cambria Math"/>
                        <w:sz w:val="20"/>
                        <w:szCs w:val="20"/>
                      </w:rPr>
                      <m:t>r</m:t>
                    </m:r>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e>
                </m:d>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Intercepts for zero (</w:t>
            </w:r>
            <m:oMath>
              <m:r>
                <m:rPr>
                  <m:sty m:val="p"/>
                </m:rPr>
                <w:rPr>
                  <w:rFonts w:ascii="Cambria Math" w:eastAsiaTheme="minorEastAsia" w:hAnsi="Cambria Math"/>
                  <w:sz w:val="20"/>
                  <w:szCs w:val="20"/>
                </w:rPr>
                <m:t>p</m:t>
              </m:r>
            </m:oMath>
            <w:r w:rsidRPr="00B33842">
              <w:rPr>
                <w:rFonts w:eastAsiaTheme="minorEastAsia"/>
                <w:sz w:val="20"/>
                <w:szCs w:val="20"/>
              </w:rPr>
              <w:t>) and positive catches (</w:t>
            </w:r>
            <m:oMath>
              <m:r>
                <m:rPr>
                  <m:sty m:val="p"/>
                </m:rPr>
                <w:rPr>
                  <w:rFonts w:ascii="Cambria Math" w:eastAsiaTheme="minorEastAsia" w:hAnsi="Cambria Math"/>
                  <w:sz w:val="20"/>
                  <w:szCs w:val="20"/>
                </w:rPr>
                <m:t>r</m:t>
              </m:r>
            </m:oMath>
            <w:r w:rsidRPr="00B33842">
              <w:rPr>
                <w:rFonts w:eastAsiaTheme="minorEastAsia"/>
                <w:sz w:val="20"/>
                <w:szCs w:val="20"/>
              </w:rPr>
              <w:t>), for the category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oMath>
            <w:r w:rsidRPr="00B33842">
              <w:rPr>
                <w:rFonts w:eastAsiaTheme="minorEastAsia"/>
                <w:sz w:val="20"/>
                <w:szCs w:val="20"/>
              </w:rPr>
              <w:t>) and year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oMath>
            <w:r w:rsidRPr="00B33842">
              <w:rPr>
                <w:rFonts w:eastAsiaTheme="minorEastAsia"/>
                <w:sz w:val="20"/>
                <w:szCs w:val="20"/>
              </w:rPr>
              <w:t xml:space="preserve">) of the </w:t>
            </w:r>
            <w:proofErr w:type="spellStart"/>
            <w:r w:rsidRPr="00B33842">
              <w:rPr>
                <w:rFonts w:eastAsiaTheme="minorEastAsia"/>
                <w:sz w:val="20"/>
                <w:szCs w:val="20"/>
              </w:rPr>
              <w:t>i</w:t>
            </w:r>
            <w:r w:rsidRPr="00B33842">
              <w:rPr>
                <w:rFonts w:eastAsiaTheme="minorEastAsia"/>
                <w:sz w:val="20"/>
                <w:szCs w:val="20"/>
                <w:vertAlign w:val="superscript"/>
              </w:rPr>
              <w:t>th</w:t>
            </w:r>
            <w:proofErr w:type="spellEnd"/>
            <w:r w:rsidRPr="00B33842">
              <w:rPr>
                <w:rFonts w:eastAsiaTheme="minorEastAsia"/>
                <w:sz w:val="20"/>
                <w:szCs w:val="20"/>
              </w:rPr>
              <w:t xml:space="preserve"> observation</w:t>
            </w:r>
          </w:p>
        </w:tc>
      </w:tr>
      <w:tr w:rsidR="001373CE" w:rsidRPr="00B33842" w:rsidTr="006C7550">
        <w:trPr>
          <w:trHeight w:val="604"/>
        </w:trPr>
        <w:tc>
          <w:tcPr>
            <w:tcW w:w="4613" w:type="dxa"/>
          </w:tcPr>
          <w:p w:rsidR="001373CE" w:rsidRPr="00B33842" w:rsidRDefault="001373CE" w:rsidP="006C7550">
            <w:pPr>
              <w:spacing w:line="240" w:lineRule="auto"/>
              <w:rPr>
                <w:rFonts w:eastAsia="Times New Roman" w:cs="Times New Roman"/>
              </w:rPr>
            </w:pPr>
            <w:r w:rsidRPr="00B33842">
              <w:rPr>
                <w:rFonts w:eastAsia="Times New Roman" w:cs="Times New Roman"/>
              </w:rPr>
              <w:t>Random effects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B91565" w:rsidP="006C7550">
            <w:pPr>
              <w:spacing w:line="240" w:lineRule="auto"/>
              <w:rPr>
                <w:rFonts w:eastAsia="Times New Roman" w:cs="Times New Roman"/>
              </w:rPr>
            </w:pPr>
            <m:oMathPara>
              <m:oMath>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oMath>
            </m:oMathPara>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B91565" w:rsidP="006C7550">
            <w:pPr>
              <w:spacing w:line="240" w:lineRule="auto"/>
              <w:rPr>
                <w:rFonts w:eastAsia="Times New Roman" w:cs="Times New Roman"/>
              </w:rPr>
            </w:pPr>
            <m:oMathPara>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 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oMath>
            </m:oMathPara>
          </w:p>
        </w:tc>
        <w:tc>
          <w:tcPr>
            <w:tcW w:w="4613" w:type="dxa"/>
          </w:tcPr>
          <w:p w:rsidR="001373CE" w:rsidRPr="00B33842" w:rsidRDefault="001373CE" w:rsidP="006C7550">
            <w:pPr>
              <w:spacing w:line="240" w:lineRule="auto"/>
              <w:rPr>
                <w:rFonts w:eastAsiaTheme="minorEastAsia"/>
                <w:sz w:val="20"/>
                <w:szCs w:val="20"/>
              </w:rPr>
            </w:pPr>
          </w:p>
        </w:tc>
      </w:tr>
    </w:tbl>
    <w:p w:rsidR="001373CE" w:rsidRDefault="001373CE" w:rsidP="001373CE">
      <w:pPr>
        <w:pStyle w:val="Caption"/>
      </w:pPr>
    </w:p>
    <w:p w:rsidR="001373CE" w:rsidRDefault="001373CE" w:rsidP="001373CE">
      <w:pPr>
        <w:pStyle w:val="Caption"/>
      </w:pPr>
    </w:p>
    <w:p w:rsidR="001373CE" w:rsidRDefault="001373CE" w:rsidP="001373CE">
      <w:pPr>
        <w:pStyle w:val="Caption"/>
      </w:pPr>
    </w:p>
    <w:p w:rsidR="001373CE" w:rsidRDefault="001373CE" w:rsidP="001373CE">
      <w:pPr>
        <w:pStyle w:val="Caption"/>
      </w:pPr>
    </w:p>
    <w:p w:rsidR="001373CE" w:rsidRDefault="001373CE" w:rsidP="001373CE">
      <w:pPr>
        <w:spacing w:line="259" w:lineRule="auto"/>
        <w:rPr>
          <w:iCs/>
          <w:szCs w:val="18"/>
        </w:rPr>
      </w:pPr>
      <w:r>
        <w:br w:type="page"/>
      </w:r>
    </w:p>
    <w:p w:rsidR="001373CE" w:rsidRPr="00B33842" w:rsidRDefault="001373CE" w:rsidP="001373CE">
      <w:pPr>
        <w:pStyle w:val="Caption"/>
        <w:rPr>
          <w:rFonts w:eastAsiaTheme="minorEastAsia"/>
        </w:rPr>
      </w:pPr>
      <w:bookmarkStart w:id="3" w:name="_Ref40910725"/>
      <w:r>
        <w:lastRenderedPageBreak/>
        <w:t xml:space="preserve">Table </w:t>
      </w:r>
      <w:fldSimple w:instr=" SEQ Table \* ARABIC ">
        <w:r w:rsidR="006807ED">
          <w:rPr>
            <w:noProof/>
          </w:rPr>
          <w:t>2</w:t>
        </w:r>
      </w:fldSimple>
      <w:bookmarkEnd w:id="3"/>
      <w:r w:rsidRPr="00B33842">
        <w:t xml:space="preserve">. </w:t>
      </w:r>
      <w:r>
        <w:t>VAST decision tree</w:t>
      </w:r>
      <w:r w:rsidRPr="00B33842">
        <w:t>.</w:t>
      </w:r>
      <w:r>
        <w:t xml:space="preserve"> The object data is based on the xx.csv.</w:t>
      </w:r>
    </w:p>
    <w:tbl>
      <w:tblPr>
        <w:tblStyle w:val="TableGrid"/>
        <w:tblW w:w="0" w:type="auto"/>
        <w:tblLook w:val="04A0" w:firstRow="1" w:lastRow="0" w:firstColumn="1" w:lastColumn="0" w:noHBand="0" w:noVBand="1"/>
      </w:tblPr>
      <w:tblGrid>
        <w:gridCol w:w="2511"/>
        <w:gridCol w:w="2857"/>
        <w:gridCol w:w="3982"/>
      </w:tblGrid>
      <w:tr w:rsidR="001373CE" w:rsidRPr="001373CE" w:rsidTr="006C7550">
        <w:trPr>
          <w:trHeight w:val="232"/>
        </w:trPr>
        <w:tc>
          <w:tcPr>
            <w:tcW w:w="2674" w:type="dxa"/>
          </w:tcPr>
          <w:p w:rsidR="001373CE" w:rsidRPr="001373CE" w:rsidRDefault="001373CE" w:rsidP="006C7550">
            <w:pPr>
              <w:spacing w:line="240" w:lineRule="auto"/>
              <w:rPr>
                <w:sz w:val="20"/>
                <w:szCs w:val="20"/>
              </w:rPr>
            </w:pPr>
            <w:r w:rsidRPr="001373CE">
              <w:rPr>
                <w:sz w:val="20"/>
                <w:szCs w:val="20"/>
              </w:rPr>
              <w:t>Decision</w:t>
            </w:r>
          </w:p>
        </w:tc>
        <w:tc>
          <w:tcPr>
            <w:tcW w:w="3070" w:type="dxa"/>
          </w:tcPr>
          <w:p w:rsidR="001373CE" w:rsidRPr="001373CE" w:rsidRDefault="001373CE" w:rsidP="006C7550">
            <w:pPr>
              <w:spacing w:line="240" w:lineRule="auto"/>
              <w:rPr>
                <w:sz w:val="20"/>
                <w:szCs w:val="20"/>
              </w:rPr>
            </w:pPr>
            <w:r w:rsidRPr="001373CE">
              <w:rPr>
                <w:sz w:val="20"/>
                <w:szCs w:val="20"/>
              </w:rPr>
              <w:t>Description</w:t>
            </w:r>
          </w:p>
        </w:tc>
        <w:tc>
          <w:tcPr>
            <w:tcW w:w="3606" w:type="dxa"/>
          </w:tcPr>
          <w:p w:rsidR="001373CE" w:rsidRPr="001373CE" w:rsidRDefault="001373CE" w:rsidP="006C7550">
            <w:pPr>
              <w:spacing w:line="240" w:lineRule="auto"/>
              <w:rPr>
                <w:sz w:val="20"/>
                <w:szCs w:val="20"/>
              </w:rPr>
            </w:pPr>
            <w:r w:rsidRPr="001373CE">
              <w:rPr>
                <w:sz w:val="20"/>
                <w:szCs w:val="20"/>
              </w:rPr>
              <w:t>VAST</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iCs/>
                <w:sz w:val="20"/>
                <w:szCs w:val="20"/>
              </w:rPr>
              <w:t xml:space="preserve">1) Spatial domain used when calculating 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use the west coast of the US from San Francisco Bay to the northern tip of Washington State. We divide the coast into four strata, with ‘</w:t>
            </w:r>
            <w:proofErr w:type="spellStart"/>
            <w:r w:rsidRPr="001373CE">
              <w:rPr>
                <w:sz w:val="20"/>
                <w:szCs w:val="20"/>
              </w:rPr>
              <w:t>coastwide</w:t>
            </w:r>
            <w:proofErr w:type="spellEnd"/>
            <w:r w:rsidRPr="001373CE">
              <w:rPr>
                <w:sz w:val="20"/>
                <w:szCs w:val="20"/>
              </w:rPr>
              <w:t>’ as an aggregate for the three states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strata.limits</w:t>
            </w:r>
            <w:proofErr w:type="spellEnd"/>
            <w:r w:rsidRPr="001373CE">
              <w:rPr>
                <w:sz w:val="20"/>
                <w:szCs w:val="20"/>
              </w:rPr>
              <w:t xml:space="preserve"> &lt;- </w:t>
            </w:r>
            <w:proofErr w:type="spellStart"/>
            <w:r w:rsidRPr="001373CE">
              <w:rPr>
                <w:sz w:val="20"/>
                <w:szCs w:val="20"/>
              </w:rPr>
              <w:t>data.frame</w:t>
            </w:r>
            <w:proofErr w:type="spellEnd"/>
            <w:r w:rsidRPr="001373CE">
              <w:rPr>
                <w:sz w:val="20"/>
                <w:szCs w:val="20"/>
              </w:rPr>
              <w:t>(</w:t>
            </w:r>
          </w:p>
          <w:p w:rsidR="001373CE" w:rsidRPr="001373CE" w:rsidRDefault="001373CE" w:rsidP="006C7550">
            <w:pPr>
              <w:spacing w:line="240" w:lineRule="auto"/>
              <w:rPr>
                <w:sz w:val="20"/>
                <w:szCs w:val="20"/>
              </w:rPr>
            </w:pPr>
            <w:r w:rsidRPr="001373CE">
              <w:rPr>
                <w:sz w:val="20"/>
                <w:szCs w:val="20"/>
              </w:rPr>
              <w:t xml:space="preserve">  'STRATA' = c("</w:t>
            </w:r>
            <w:proofErr w:type="spellStart"/>
            <w:r w:rsidRPr="001373CE">
              <w:rPr>
                <w:sz w:val="20"/>
                <w:szCs w:val="20"/>
              </w:rPr>
              <w:t>Coastwide</w:t>
            </w:r>
            <w:proofErr w:type="spellEnd"/>
            <w:r w:rsidRPr="001373CE">
              <w:rPr>
                <w:sz w:val="20"/>
                <w:szCs w:val="20"/>
              </w:rPr>
              <w:t>","CA","OR","WA"),</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north_border</w:t>
            </w:r>
            <w:proofErr w:type="spellEnd"/>
            <w:r w:rsidRPr="001373CE">
              <w:rPr>
                <w:sz w:val="20"/>
                <w:szCs w:val="20"/>
              </w:rPr>
              <w:t>' = c(49.0, 42.0, 46.0,49.0),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south_border</w:t>
            </w:r>
            <w:proofErr w:type="spellEnd"/>
            <w:r w:rsidRPr="001373CE">
              <w:rPr>
                <w:sz w:val="20"/>
                <w:szCs w:val="20"/>
              </w:rPr>
              <w:t>' = c(32.0, 32.0, 42.0, 46.0)</w:t>
            </w:r>
          </w:p>
          <w:p w:rsidR="001373CE" w:rsidRPr="001373CE" w:rsidRDefault="001373CE" w:rsidP="006C7550">
            <w:pPr>
              <w:spacing w:line="240" w:lineRule="auto"/>
              <w:rPr>
                <w:sz w:val="20"/>
                <w:szCs w:val="20"/>
              </w:rPr>
            </w:pPr>
            <w:r w:rsidRPr="001373CE">
              <w:rPr>
                <w:sz w:val="20"/>
                <w:szCs w:val="20"/>
              </w:rPr>
              <w:t>))</w:t>
            </w:r>
          </w:p>
        </w:tc>
      </w:tr>
      <w:tr w:rsidR="001373CE" w:rsidRPr="001373CE" w:rsidTr="006C7550">
        <w:trPr>
          <w:trHeight w:val="480"/>
        </w:trPr>
        <w:tc>
          <w:tcPr>
            <w:tcW w:w="2674" w:type="dxa"/>
          </w:tcPr>
          <w:p w:rsidR="001373CE" w:rsidRPr="001373CE" w:rsidRDefault="001373CE" w:rsidP="006C7550">
            <w:pPr>
              <w:pStyle w:val="Default"/>
              <w:rPr>
                <w:sz w:val="20"/>
                <w:szCs w:val="20"/>
              </w:rPr>
            </w:pPr>
            <w:r w:rsidRPr="001373CE">
              <w:rPr>
                <w:sz w:val="20"/>
                <w:szCs w:val="20"/>
              </w:rPr>
              <w:t xml:space="preserve">2) Which categories (species/sizes) to include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 xml:space="preserve">We included two size categories, </w:t>
            </w:r>
            <m:oMath>
              <m:r>
                <w:rPr>
                  <w:rFonts w:ascii="Cambria Math" w:hAnsi="Cambria Math"/>
                  <w:sz w:val="20"/>
                  <w:szCs w:val="20"/>
                </w:rPr>
                <m:t>≤80</m:t>
              </m:r>
            </m:oMath>
            <w:r w:rsidRPr="001373CE">
              <w:rPr>
                <w:rFonts w:eastAsiaTheme="minorEastAsia"/>
                <w:sz w:val="20"/>
                <w:szCs w:val="20"/>
              </w:rPr>
              <w:t xml:space="preserve"> and </w:t>
            </w:r>
            <m:oMath>
              <m:r>
                <w:rPr>
                  <w:rFonts w:ascii="Cambria Math" w:eastAsiaTheme="minorEastAsia" w:hAnsi="Cambria Math"/>
                  <w:sz w:val="20"/>
                  <w:szCs w:val="20"/>
                </w:rPr>
                <m:t>&gt;80</m:t>
              </m:r>
            </m:oMath>
          </w:p>
        </w:tc>
        <w:tc>
          <w:tcPr>
            <w:tcW w:w="3606" w:type="dxa"/>
          </w:tcPr>
          <w:p w:rsidR="001373CE" w:rsidRPr="001373CE" w:rsidRDefault="001373CE" w:rsidP="006C7550">
            <w:pPr>
              <w:spacing w:line="240" w:lineRule="auto"/>
              <w:rPr>
                <w:sz w:val="20"/>
                <w:szCs w:val="20"/>
              </w:rPr>
            </w:pPr>
            <w:proofErr w:type="spellStart"/>
            <w:r w:rsidRPr="001373CE">
              <w:rPr>
                <w:sz w:val="20"/>
                <w:szCs w:val="20"/>
              </w:rPr>
              <w:t>c_i</w:t>
            </w:r>
            <w:proofErr w:type="spellEnd"/>
            <w:r w:rsidRPr="001373CE">
              <w:rPr>
                <w:sz w:val="20"/>
                <w:szCs w:val="20"/>
              </w:rPr>
              <w:t xml:space="preserve"> &lt;- </w:t>
            </w:r>
            <w:proofErr w:type="spellStart"/>
            <w:r w:rsidRPr="001373CE">
              <w:rPr>
                <w:sz w:val="20"/>
                <w:szCs w:val="20"/>
              </w:rPr>
              <w:t>data$c_i</w:t>
            </w:r>
            <w:proofErr w:type="spellEnd"/>
          </w:p>
        </w:tc>
      </w:tr>
      <w:tr w:rsidR="001373CE" w:rsidRPr="001373CE" w:rsidTr="006C7550">
        <w:trPr>
          <w:trHeight w:val="465"/>
        </w:trPr>
        <w:tc>
          <w:tcPr>
            <w:tcW w:w="2674" w:type="dxa"/>
          </w:tcPr>
          <w:p w:rsidR="001373CE" w:rsidRPr="001373CE" w:rsidRDefault="001373CE" w:rsidP="006C7550">
            <w:pPr>
              <w:pStyle w:val="Default"/>
              <w:rPr>
                <w:sz w:val="20"/>
                <w:szCs w:val="20"/>
              </w:rPr>
            </w:pPr>
            <w:r w:rsidRPr="001373CE">
              <w:rPr>
                <w:iCs/>
                <w:sz w:val="20"/>
                <w:szCs w:val="20"/>
              </w:rPr>
              <w:t xml:space="preserve">3) Identify whether to analyze encounter, abundance, and/or biomass-sampling data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The data are the number of squid captured.</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b_i</w:t>
            </w:r>
            <w:proofErr w:type="spellEnd"/>
            <w:r w:rsidRPr="001373CE">
              <w:rPr>
                <w:sz w:val="20"/>
                <w:szCs w:val="20"/>
              </w:rPr>
              <w:t xml:space="preserve"> &lt;- </w:t>
            </w:r>
            <w:proofErr w:type="spellStart"/>
            <w:r w:rsidRPr="001373CE">
              <w:rPr>
                <w:sz w:val="20"/>
                <w:szCs w:val="20"/>
              </w:rPr>
              <w:t>data$b_i</w:t>
            </w:r>
            <w:proofErr w:type="spellEnd"/>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iCs/>
                <w:sz w:val="20"/>
                <w:szCs w:val="20"/>
              </w:rPr>
              <w:t xml:space="preserve">4) Including spatial and/or spatiotemporal variation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The full model has spatial and spatiotemporal process for the encounter probability and positive catches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 c("Omega1" = 1, "Epsilon1" = 1, "Omega2" = 1, "Epsilon2" = 1)</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sz w:val="20"/>
                <w:szCs w:val="20"/>
              </w:rPr>
              <w:t xml:space="preserve">5) Choosing the spatial smoother and resolution </w:t>
            </w:r>
          </w:p>
          <w:p w:rsidR="001373CE" w:rsidRPr="001373CE" w:rsidRDefault="001373CE" w:rsidP="006C7550">
            <w:pPr>
              <w:spacing w:line="240" w:lineRule="auto"/>
              <w:rPr>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 xml:space="preserve">We used a “mesh” grid, with 200 nodes, and assume geometric anisotropy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Mesh.Method</w:t>
            </w:r>
            <w:proofErr w:type="spellEnd"/>
            <w:r w:rsidRPr="001373CE">
              <w:rPr>
                <w:sz w:val="20"/>
                <w:szCs w:val="20"/>
              </w:rPr>
              <w:t xml:space="preserve"> &lt;- "Mesh"</w:t>
            </w:r>
          </w:p>
          <w:p w:rsidR="001373CE" w:rsidRPr="001373CE" w:rsidRDefault="001373CE" w:rsidP="006C7550">
            <w:pPr>
              <w:spacing w:line="240" w:lineRule="auto"/>
              <w:rPr>
                <w:sz w:val="20"/>
                <w:szCs w:val="20"/>
              </w:rPr>
            </w:pPr>
            <w:proofErr w:type="spellStart"/>
            <w:r w:rsidRPr="001373CE">
              <w:rPr>
                <w:sz w:val="20"/>
                <w:szCs w:val="20"/>
              </w:rPr>
              <w:t>n_x</w:t>
            </w:r>
            <w:proofErr w:type="spellEnd"/>
            <w:r w:rsidRPr="001373CE">
              <w:rPr>
                <w:sz w:val="20"/>
                <w:szCs w:val="20"/>
              </w:rPr>
              <w:t xml:space="preserve"> &lt;- 200 </w:t>
            </w:r>
          </w:p>
          <w:p w:rsidR="001373CE" w:rsidRPr="001373CE" w:rsidRDefault="001373CE" w:rsidP="006C7550">
            <w:pPr>
              <w:spacing w:line="240" w:lineRule="auto"/>
              <w:rPr>
                <w:sz w:val="20"/>
                <w:szCs w:val="20"/>
              </w:rPr>
            </w:pPr>
            <w:proofErr w:type="spellStart"/>
            <w:r w:rsidRPr="001373CE">
              <w:rPr>
                <w:sz w:val="20"/>
                <w:szCs w:val="20"/>
              </w:rPr>
              <w:t>Aniso</w:t>
            </w:r>
            <w:proofErr w:type="spellEnd"/>
            <w:r w:rsidRPr="001373CE">
              <w:rPr>
                <w:sz w:val="20"/>
                <w:szCs w:val="20"/>
              </w:rPr>
              <w:t xml:space="preserve"> &lt;- TRUE </w:t>
            </w:r>
          </w:p>
        </w:tc>
      </w:tr>
      <w:tr w:rsidR="001373CE" w:rsidRPr="001373CE" w:rsidTr="006C7550">
        <w:trPr>
          <w:trHeight w:val="248"/>
        </w:trPr>
        <w:tc>
          <w:tcPr>
            <w:tcW w:w="2674" w:type="dxa"/>
          </w:tcPr>
          <w:p w:rsidR="001373CE" w:rsidRPr="001373CE" w:rsidRDefault="001373CE" w:rsidP="006C7550">
            <w:pPr>
              <w:pStyle w:val="Default"/>
              <w:rPr>
                <w:sz w:val="20"/>
                <w:szCs w:val="20"/>
              </w:rPr>
            </w:pPr>
            <w:r w:rsidRPr="001373CE">
              <w:rPr>
                <w:sz w:val="20"/>
                <w:szCs w:val="20"/>
              </w:rPr>
              <w:t xml:space="preserve">6) </w:t>
            </w:r>
            <w:r w:rsidRPr="001373CE">
              <w:rPr>
                <w:iCs/>
                <w:sz w:val="20"/>
                <w:szCs w:val="20"/>
              </w:rPr>
              <w:t xml:space="preserve">Choosing the number of spatial and </w:t>
            </w:r>
            <w:proofErr w:type="spellStart"/>
            <w:r w:rsidRPr="001373CE">
              <w:rPr>
                <w:iCs/>
                <w:sz w:val="20"/>
                <w:szCs w:val="20"/>
              </w:rPr>
              <w:t>spatio</w:t>
            </w:r>
            <w:proofErr w:type="spellEnd"/>
            <w:r w:rsidRPr="001373CE">
              <w:rPr>
                <w:iCs/>
                <w:sz w:val="20"/>
                <w:szCs w:val="20"/>
              </w:rPr>
              <w:t xml:space="preserve">-temporal factors </w:t>
            </w:r>
          </w:p>
          <w:p w:rsidR="001373CE" w:rsidRPr="001373CE" w:rsidRDefault="001373CE" w:rsidP="006C7550">
            <w:pPr>
              <w:spacing w:line="240" w:lineRule="auto"/>
              <w:rPr>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evaluate a full rank model where each length category has its own covariance matrix</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&lt;-c(Omega1 =2,  Epsilon1 =2,  Omega2 =2, Epsilon2 =2)</w:t>
            </w:r>
          </w:p>
        </w:tc>
      </w:tr>
      <w:tr w:rsidR="001373CE" w:rsidRPr="001373CE" w:rsidTr="006C7550">
        <w:trPr>
          <w:trHeight w:val="465"/>
        </w:trPr>
        <w:tc>
          <w:tcPr>
            <w:tcW w:w="2674" w:type="dxa"/>
          </w:tcPr>
          <w:p w:rsidR="001373CE" w:rsidRPr="001373CE" w:rsidRDefault="001373CE" w:rsidP="006C7550">
            <w:pPr>
              <w:pStyle w:val="Default"/>
              <w:rPr>
                <w:sz w:val="20"/>
                <w:szCs w:val="20"/>
              </w:rPr>
            </w:pPr>
            <w:r w:rsidRPr="001373CE">
              <w:rPr>
                <w:sz w:val="20"/>
                <w:szCs w:val="20"/>
              </w:rPr>
              <w:t xml:space="preserve">7) Specifying temporal correlation on model components </w:t>
            </w:r>
          </w:p>
          <w:p w:rsidR="001373CE" w:rsidRPr="001373CE" w:rsidRDefault="001373CE" w:rsidP="006C7550">
            <w:pPr>
              <w:spacing w:line="240" w:lineRule="auto"/>
              <w:rPr>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do not assumed any temporal correlation in the intercepts or spatiotemporal processes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RhoConfig</w:t>
            </w:r>
            <w:proofErr w:type="spellEnd"/>
            <w:r w:rsidRPr="001373CE">
              <w:rPr>
                <w:sz w:val="20"/>
                <w:szCs w:val="20"/>
              </w:rPr>
              <w:t>= c("Beta1"=0, "Beta2"=0, "Epsilon1"=0, "Epsilon2"=0)</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8) </w:t>
            </w:r>
            <w:r w:rsidRPr="001373CE">
              <w:rPr>
                <w:iCs/>
                <w:sz w:val="20"/>
                <w:szCs w:val="20"/>
              </w:rPr>
              <w:t xml:space="preserve">Including density covariates as a semi-parametric model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have no density dependent covariates for the model</w:t>
            </w:r>
          </w:p>
        </w:tc>
        <w:tc>
          <w:tcPr>
            <w:tcW w:w="3606" w:type="dxa"/>
          </w:tcPr>
          <w:p w:rsidR="001373CE" w:rsidRPr="001373CE" w:rsidRDefault="001373CE" w:rsidP="006C7550">
            <w:pPr>
              <w:spacing w:line="240" w:lineRule="auto"/>
              <w:rPr>
                <w:sz w:val="20"/>
                <w:szCs w:val="20"/>
              </w:rPr>
            </w:pP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9) </w:t>
            </w:r>
            <w:r w:rsidRPr="001373CE">
              <w:rPr>
                <w:sz w:val="20"/>
                <w:szCs w:val="20"/>
              </w:rPr>
              <w:t xml:space="preserve">Accounting for catchability covariates and confounding variables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include catchability covariates for temperature, chlorophyll a, and salinity at 3m</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Q_ik</w:t>
            </w:r>
            <w:proofErr w:type="spellEnd"/>
            <w:r w:rsidRPr="001373CE">
              <w:rPr>
                <w:sz w:val="20"/>
                <w:szCs w:val="20"/>
              </w:rPr>
              <w:t xml:space="preserve"> &lt;- raw[,c('x3m_Temp','x3m_Salinity','x3m_Chl')] </w:t>
            </w:r>
          </w:p>
        </w:tc>
      </w:tr>
      <w:tr w:rsidR="001373CE" w:rsidRPr="001373CE" w:rsidTr="006C7550">
        <w:trPr>
          <w:trHeight w:val="248"/>
        </w:trPr>
        <w:tc>
          <w:tcPr>
            <w:tcW w:w="2674" w:type="dxa"/>
          </w:tcPr>
          <w:p w:rsidR="001373CE" w:rsidRPr="001373CE" w:rsidRDefault="001373CE" w:rsidP="006C7550">
            <w:pPr>
              <w:pStyle w:val="Default"/>
              <w:rPr>
                <w:sz w:val="20"/>
                <w:szCs w:val="20"/>
              </w:rPr>
            </w:pPr>
            <w:r w:rsidRPr="001373CE">
              <w:rPr>
                <w:sz w:val="20"/>
                <w:szCs w:val="20"/>
              </w:rPr>
              <w:t xml:space="preserve">10) </w:t>
            </w:r>
            <w:r w:rsidRPr="001373CE">
              <w:rPr>
                <w:iCs/>
                <w:sz w:val="20"/>
                <w:szCs w:val="20"/>
              </w:rPr>
              <w:t>Treating area swept as a catchability covariate or offset</w:t>
            </w:r>
            <w:r w:rsidRPr="001373CE">
              <w:rPr>
                <w:i/>
                <w:iCs/>
                <w:sz w:val="20"/>
                <w:szCs w:val="20"/>
              </w:rPr>
              <w:t xml:space="preserv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Distance towed</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a_i</w:t>
            </w:r>
            <w:proofErr w:type="spellEnd"/>
            <w:r w:rsidRPr="001373CE">
              <w:rPr>
                <w:sz w:val="20"/>
                <w:szCs w:val="20"/>
              </w:rPr>
              <w:t xml:space="preserve"> &lt;- </w:t>
            </w:r>
            <w:proofErr w:type="spellStart"/>
            <w:r w:rsidRPr="001373CE">
              <w:rPr>
                <w:sz w:val="20"/>
                <w:szCs w:val="20"/>
              </w:rPr>
              <w:t>raw$effort</w:t>
            </w:r>
            <w:proofErr w:type="spellEnd"/>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11) </w:t>
            </w:r>
            <w:r w:rsidRPr="001373CE">
              <w:rPr>
                <w:sz w:val="20"/>
                <w:szCs w:val="20"/>
              </w:rPr>
              <w:t xml:space="preserve">Including vessel effects as </w:t>
            </w:r>
            <w:proofErr w:type="spellStart"/>
            <w:r w:rsidRPr="001373CE">
              <w:rPr>
                <w:sz w:val="20"/>
                <w:szCs w:val="20"/>
              </w:rPr>
              <w:t>overdispersion</w:t>
            </w:r>
            <w:proofErr w:type="spellEnd"/>
            <w:r w:rsidRPr="001373CE">
              <w:rPr>
                <w:sz w:val="20"/>
                <w:szCs w:val="20"/>
              </w:rPr>
              <w:t xml:space="preserv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do not include any vessel effects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OverdispersionConfig</w:t>
            </w:r>
            <w:proofErr w:type="spellEnd"/>
            <w:r w:rsidRPr="001373CE">
              <w:rPr>
                <w:sz w:val="20"/>
                <w:szCs w:val="20"/>
              </w:rPr>
              <w:t xml:space="preserve"> &lt;- c("Eta1"=0, "Eta2"=0)</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12) </w:t>
            </w:r>
            <w:r w:rsidRPr="001373CE">
              <w:rPr>
                <w:iCs/>
                <w:sz w:val="20"/>
                <w:szCs w:val="20"/>
              </w:rPr>
              <w:t xml:space="preserve">Choosing among link functions and distributions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 xml:space="preserve">We assume a delta-GLMM with a log-normal distribution for the positive catches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ObsModel</w:t>
            </w:r>
            <w:proofErr w:type="spellEnd"/>
            <w:r w:rsidRPr="001373CE">
              <w:rPr>
                <w:sz w:val="20"/>
                <w:szCs w:val="20"/>
              </w:rPr>
              <w:t xml:space="preserve"> &lt;- c(2,0)</w:t>
            </w: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13) </w:t>
            </w:r>
            <w:r w:rsidRPr="001373CE">
              <w:rPr>
                <w:sz w:val="20"/>
                <w:szCs w:val="20"/>
              </w:rPr>
              <w:t xml:space="preserve">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Center of gravity</w:t>
            </w:r>
          </w:p>
          <w:p w:rsidR="001373CE" w:rsidRPr="001373CE" w:rsidRDefault="001373CE" w:rsidP="006C7550">
            <w:pPr>
              <w:spacing w:line="240" w:lineRule="auto"/>
              <w:rPr>
                <w:sz w:val="20"/>
                <w:szCs w:val="20"/>
              </w:rPr>
            </w:pPr>
            <w:r w:rsidRPr="001373CE">
              <w:rPr>
                <w:sz w:val="20"/>
                <w:szCs w:val="20"/>
              </w:rPr>
              <w:t>Annual estimate of squid density</w:t>
            </w:r>
          </w:p>
        </w:tc>
        <w:tc>
          <w:tcPr>
            <w:tcW w:w="3606" w:type="dxa"/>
          </w:tcPr>
          <w:p w:rsidR="001373CE" w:rsidRPr="001373CE" w:rsidRDefault="001373CE" w:rsidP="006C7550">
            <w:pPr>
              <w:spacing w:line="240" w:lineRule="auto"/>
              <w:rPr>
                <w:sz w:val="20"/>
                <w:szCs w:val="20"/>
              </w:rPr>
            </w:pPr>
            <w:r w:rsidRPr="001373CE">
              <w:rPr>
                <w:sz w:val="20"/>
                <w:szCs w:val="20"/>
              </w:rPr>
              <w:t>Options = c(</w:t>
            </w:r>
            <w:proofErr w:type="spellStart"/>
            <w:r w:rsidRPr="001373CE">
              <w:rPr>
                <w:sz w:val="20"/>
                <w:szCs w:val="20"/>
              </w:rPr>
              <w:t>SD_site_density</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SD_site_logdensity</w:t>
            </w:r>
            <w:proofErr w:type="spellEnd"/>
            <w:r w:rsidRPr="001373CE">
              <w:rPr>
                <w:sz w:val="20"/>
                <w:szCs w:val="20"/>
              </w:rPr>
              <w:t xml:space="preserve"> = 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Calculate_Range</w:t>
            </w:r>
            <w:proofErr w:type="spellEnd"/>
            <w:r w:rsidRPr="001373CE">
              <w:rPr>
                <w:sz w:val="20"/>
                <w:szCs w:val="20"/>
              </w:rPr>
              <w:t xml:space="preserve"> = 1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Calculate_evenness</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lastRenderedPageBreak/>
              <w:t xml:space="preserve">            ,</w:t>
            </w:r>
            <w:proofErr w:type="spellStart"/>
            <w:r w:rsidRPr="001373CE">
              <w:rPr>
                <w:sz w:val="20"/>
                <w:szCs w:val="20"/>
              </w:rPr>
              <w:t>Calculate_effective_area</w:t>
            </w:r>
            <w:proofErr w:type="spellEnd"/>
            <w:r w:rsidRPr="001373CE">
              <w:rPr>
                <w:sz w:val="20"/>
                <w:szCs w:val="20"/>
              </w:rPr>
              <w:t xml:space="preserve"> = 1</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Calculate_Cov_SE</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Calculate_Synchrony</w:t>
            </w:r>
            <w:proofErr w:type="spellEnd"/>
            <w:r w:rsidRPr="001373CE">
              <w:rPr>
                <w:sz w:val="20"/>
                <w:szCs w:val="20"/>
              </w:rPr>
              <w:t xml:space="preserve"> = 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Calculate_Coherence</w:t>
            </w:r>
            <w:proofErr w:type="spellEnd"/>
            <w:r w:rsidRPr="001373CE">
              <w:rPr>
                <w:sz w:val="20"/>
                <w:szCs w:val="20"/>
              </w:rPr>
              <w:t xml:space="preserve"> = 0)</w:t>
            </w: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lastRenderedPageBreak/>
              <w:t xml:space="preserve">14) </w:t>
            </w:r>
            <w:r w:rsidRPr="001373CE">
              <w:rPr>
                <w:sz w:val="20"/>
                <w:szCs w:val="20"/>
              </w:rPr>
              <w:t xml:space="preserve">Bias correction for 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p>
        </w:tc>
        <w:tc>
          <w:tcPr>
            <w:tcW w:w="3606" w:type="dxa"/>
          </w:tcPr>
          <w:p w:rsidR="001373CE" w:rsidRPr="001373CE" w:rsidRDefault="001373CE" w:rsidP="006C7550">
            <w:pPr>
              <w:spacing w:line="240" w:lineRule="auto"/>
              <w:rPr>
                <w:sz w:val="20"/>
                <w:szCs w:val="20"/>
              </w:rPr>
            </w:pP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15) </w:t>
            </w:r>
            <w:r w:rsidRPr="001373CE">
              <w:rPr>
                <w:sz w:val="20"/>
                <w:szCs w:val="20"/>
              </w:rPr>
              <w:t xml:space="preserve">Model selection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AIC</w:t>
            </w:r>
          </w:p>
        </w:tc>
        <w:tc>
          <w:tcPr>
            <w:tcW w:w="3606" w:type="dxa"/>
          </w:tcPr>
          <w:p w:rsidR="001373CE" w:rsidRPr="001373CE" w:rsidRDefault="001373CE" w:rsidP="006C7550">
            <w:pPr>
              <w:spacing w:line="240" w:lineRule="auto"/>
              <w:rPr>
                <w:sz w:val="20"/>
                <w:szCs w:val="20"/>
              </w:rPr>
            </w:pPr>
          </w:p>
        </w:tc>
      </w:tr>
    </w:tbl>
    <w:p w:rsidR="00A01329" w:rsidRDefault="00A01329">
      <w:pPr>
        <w:spacing w:line="259" w:lineRule="auto"/>
        <w:rPr>
          <w:sz w:val="20"/>
          <w:szCs w:val="20"/>
        </w:rPr>
      </w:pPr>
    </w:p>
    <w:p w:rsidR="00A01329" w:rsidRDefault="00A01329" w:rsidP="00A01329">
      <w:r>
        <w:br w:type="page"/>
      </w:r>
    </w:p>
    <w:p w:rsidR="006C7550" w:rsidRDefault="00A01329" w:rsidP="00A01329">
      <w:pPr>
        <w:pStyle w:val="Caption"/>
      </w:pPr>
      <w:r>
        <w:lastRenderedPageBreak/>
        <w:t xml:space="preserve">Table </w:t>
      </w:r>
      <w:fldSimple w:instr=" SEQ Table \* ARABIC ">
        <w:r w:rsidR="006807ED">
          <w:rPr>
            <w:noProof/>
          </w:rPr>
          <w:t>3</w:t>
        </w:r>
      </w:fldSimple>
      <w:r>
        <w:t>. Model selection criteria for the different model combinations.</w:t>
      </w:r>
    </w:p>
    <w:p w:rsidR="00A01329" w:rsidRDefault="00A01329">
      <w:pPr>
        <w:spacing w:line="259" w:lineRule="auto"/>
      </w:pPr>
    </w:p>
    <w:p w:rsidR="00A01329" w:rsidRDefault="00A01329">
      <w:pPr>
        <w:spacing w:line="259" w:lineRule="auto"/>
      </w:pPr>
      <w:r>
        <w:br w:type="page"/>
      </w:r>
    </w:p>
    <w:p w:rsidR="00A01329" w:rsidRDefault="00A01329">
      <w:pPr>
        <w:spacing w:line="259" w:lineRule="auto"/>
      </w:pPr>
    </w:p>
    <w:p w:rsidR="001373CE" w:rsidRDefault="006C7550">
      <w:r>
        <w:t>Figures</w:t>
      </w:r>
    </w:p>
    <w:p w:rsidR="006C7550" w:rsidRDefault="006C7550">
      <w:pPr>
        <w:spacing w:line="259" w:lineRule="auto"/>
      </w:pPr>
      <w:r>
        <w:br w:type="page"/>
      </w:r>
    </w:p>
    <w:p w:rsidR="00F26BF3" w:rsidRDefault="00F26BF3" w:rsidP="00F26BF3">
      <w:pPr>
        <w:pStyle w:val="Caption"/>
      </w:pPr>
      <w:r>
        <w:rPr>
          <w:noProof/>
        </w:rPr>
        <w:lastRenderedPageBreak/>
        <w:drawing>
          <wp:inline distT="0" distB="0" distL="0" distR="0" wp14:anchorId="70BD0330" wp14:editId="1E303FA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by_y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26BF3" w:rsidRDefault="00F26BF3" w:rsidP="00F26BF3">
      <w:pPr>
        <w:pStyle w:val="Caption"/>
      </w:pPr>
      <w:bookmarkStart w:id="4" w:name="_Ref40963096"/>
      <w:r>
        <w:t xml:space="preserve">Figure </w:t>
      </w:r>
      <w:fldSimple w:instr=" SEQ Figure \* ARABIC ">
        <w:r w:rsidR="006807ED">
          <w:rPr>
            <w:noProof/>
          </w:rPr>
          <w:t>1</w:t>
        </w:r>
      </w:fldSimple>
      <w:bookmarkEnd w:id="4"/>
      <w:r>
        <w:t>. Location of samples for the 22 year data set. (We should probably color code by survey).</w:t>
      </w:r>
    </w:p>
    <w:p w:rsidR="00F95DD9" w:rsidRDefault="00F95DD9" w:rsidP="00F95DD9"/>
    <w:p w:rsidR="00F95DD9" w:rsidRDefault="00F95DD9">
      <w:pPr>
        <w:spacing w:line="259" w:lineRule="auto"/>
      </w:pPr>
      <w:r>
        <w:br w:type="page"/>
      </w:r>
    </w:p>
    <w:p w:rsidR="00F95DD9" w:rsidRDefault="00F95DD9" w:rsidP="00F95DD9">
      <w:r>
        <w:rPr>
          <w:noProof/>
        </w:rPr>
        <w:lastRenderedPageBreak/>
        <w:drawing>
          <wp:inline distT="0" distB="0" distL="0" distR="0">
            <wp:extent cx="4953000" cy="722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ounter_prob-predic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3000" cy="7229475"/>
                    </a:xfrm>
                    <a:prstGeom prst="rect">
                      <a:avLst/>
                    </a:prstGeom>
                  </pic:spPr>
                </pic:pic>
              </a:graphicData>
            </a:graphic>
          </wp:inline>
        </w:drawing>
      </w:r>
    </w:p>
    <w:p w:rsidR="00F26BF3" w:rsidRDefault="00F95DD9" w:rsidP="006807ED">
      <w:pPr>
        <w:rPr>
          <w:iCs/>
          <w:szCs w:val="18"/>
        </w:rPr>
      </w:pPr>
      <w:r>
        <w:t xml:space="preserve">Figure </w:t>
      </w:r>
      <w:r>
        <w:fldChar w:fldCharType="begin"/>
      </w:r>
      <w:r>
        <w:instrText xml:space="preserve"> SEQ Figure \* ARABIC </w:instrText>
      </w:r>
      <w:r>
        <w:fldChar w:fldCharType="separate"/>
      </w:r>
      <w:r w:rsidR="006807ED">
        <w:rPr>
          <w:noProof/>
        </w:rPr>
        <w:t>2</w:t>
      </w:r>
      <w:r>
        <w:fldChar w:fldCharType="end"/>
      </w:r>
      <w:r>
        <w:t>.</w:t>
      </w:r>
      <w:r w:rsidR="006807ED">
        <w:t xml:space="preserve"> </w:t>
      </w:r>
      <w:r w:rsidR="006807ED">
        <w:t xml:space="preserve">Estimated </w:t>
      </w:r>
      <w:r w:rsidR="006807ED">
        <w:t xml:space="preserve">encounter probabilities for </w:t>
      </w:r>
      <w:r w:rsidR="006807ED">
        <w:t>small (</w:t>
      </w:r>
      <m:oMath>
        <m:r>
          <w:rPr>
            <w:rFonts w:ascii="Cambria Math" w:hAnsi="Cambria Math"/>
          </w:rPr>
          <m:t>≤80</m:t>
        </m:r>
      </m:oMath>
      <w:r w:rsidR="006807ED">
        <w:t>) and (</w:t>
      </w:r>
      <m:oMath>
        <m:r>
          <w:rPr>
            <w:rFonts w:ascii="Cambria Math" w:hAnsi="Cambria Math"/>
          </w:rPr>
          <m:t>&gt;80</m:t>
        </m:r>
      </m:oMath>
      <w:r w:rsidR="006807ED">
        <w:t>) large squid collected during fisheries independent surveys by the NWFSC and SWFSC between 1998 and 2019</w:t>
      </w:r>
      <w:r w:rsidR="00F26BF3">
        <w:br w:type="page"/>
      </w:r>
    </w:p>
    <w:p w:rsidR="00F26BF3" w:rsidRDefault="006807ED" w:rsidP="00F26BF3">
      <w:pPr>
        <w:pStyle w:val="Caption"/>
      </w:pPr>
      <w:r>
        <w:rPr>
          <w:noProof/>
        </w:rPr>
        <w:lastRenderedPageBreak/>
        <w:drawing>
          <wp:inline distT="0" distB="0" distL="0" distR="0">
            <wp:extent cx="4724400" cy="7361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n_density-predic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8433" cy="7368266"/>
                    </a:xfrm>
                    <a:prstGeom prst="rect">
                      <a:avLst/>
                    </a:prstGeom>
                  </pic:spPr>
                </pic:pic>
              </a:graphicData>
            </a:graphic>
          </wp:inline>
        </w:drawing>
      </w:r>
    </w:p>
    <w:p w:rsidR="00CA5FA9" w:rsidRPr="00CA5FA9" w:rsidRDefault="00F26BF3" w:rsidP="00CA5FA9">
      <w:pPr>
        <w:pStyle w:val="Caption"/>
      </w:pPr>
      <w:bookmarkStart w:id="5" w:name="_Ref40956082"/>
      <w:r>
        <w:t xml:space="preserve">Figure </w:t>
      </w:r>
      <w:fldSimple w:instr=" SEQ Figure \* ARABIC ">
        <w:r w:rsidR="006807ED">
          <w:rPr>
            <w:noProof/>
          </w:rPr>
          <w:t>3</w:t>
        </w:r>
      </w:fldSimple>
      <w:bookmarkEnd w:id="5"/>
      <w:r>
        <w:t>. Estimate</w:t>
      </w:r>
      <w:r w:rsidR="00CA5FA9">
        <w:t>d log-</w:t>
      </w:r>
      <w:r>
        <w:t xml:space="preserve">transformed densities </w:t>
      </w:r>
      <w:r w:rsidR="006807ED">
        <w:t>for</w:t>
      </w:r>
      <w:r>
        <w:t xml:space="preserve"> small (</w:t>
      </w:r>
      <m:oMath>
        <m:r>
          <w:rPr>
            <w:rFonts w:ascii="Cambria Math" w:hAnsi="Cambria Math"/>
          </w:rPr>
          <m:t>≤80</m:t>
        </m:r>
      </m:oMath>
      <w:r>
        <w:t>) and (</w:t>
      </w:r>
      <m:oMath>
        <m:r>
          <w:rPr>
            <w:rFonts w:ascii="Cambria Math" w:hAnsi="Cambria Math"/>
          </w:rPr>
          <m:t>&gt;80</m:t>
        </m:r>
      </m:oMath>
      <w:r>
        <w:t xml:space="preserve">) large squid </w:t>
      </w:r>
      <w:r w:rsidR="00CA5FA9">
        <w:t>collected during fisheries independent surveys by the NWFSC and SWFSC between 1998 and 2019.</w:t>
      </w:r>
    </w:p>
    <w:p w:rsidR="00F95DD9" w:rsidRDefault="00F95DD9">
      <w:pPr>
        <w:spacing w:line="259" w:lineRule="auto"/>
        <w:rPr>
          <w:iCs/>
          <w:szCs w:val="18"/>
        </w:rPr>
      </w:pPr>
      <w:r>
        <w:rPr>
          <w:iCs/>
          <w:szCs w:val="18"/>
        </w:rPr>
        <w:lastRenderedPageBreak/>
        <w:br w:type="page"/>
      </w:r>
    </w:p>
    <w:p w:rsidR="00CA5FA9" w:rsidRDefault="00CA5FA9" w:rsidP="00F95DD9">
      <w:pPr>
        <w:pStyle w:val="Caption"/>
      </w:pPr>
    </w:p>
    <w:p w:rsidR="00CA5FA9" w:rsidRDefault="00CA5FA9">
      <w:pPr>
        <w:spacing w:line="259" w:lineRule="auto"/>
      </w:pPr>
    </w:p>
    <w:p w:rsidR="00CA5FA9" w:rsidRDefault="000B5746">
      <w:pPr>
        <w:spacing w:line="259" w:lineRule="auto"/>
        <w:rPr>
          <w:iCs/>
          <w:szCs w:val="18"/>
        </w:rPr>
      </w:pPr>
      <w:r>
        <w:rPr>
          <w:iCs/>
          <w:noProof/>
          <w:szCs w:val="18"/>
        </w:rPr>
        <w:drawing>
          <wp:inline distT="0" distB="0" distL="0" distR="0">
            <wp:extent cx="5943612"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er_of_gravity.png"/>
                    <pic:cNvPicPr/>
                  </pic:nvPicPr>
                  <pic:blipFill>
                    <a:blip r:embed="rId9">
                      <a:extLst>
                        <a:ext uri="{28A0092B-C50C-407E-A947-70E740481C1C}">
                          <a14:useLocalDpi xmlns:a14="http://schemas.microsoft.com/office/drawing/2010/main" val="0"/>
                        </a:ext>
                      </a:extLst>
                    </a:blip>
                    <a:stretch>
                      <a:fillRect/>
                    </a:stretch>
                  </pic:blipFill>
                  <pic:spPr>
                    <a:xfrm>
                      <a:off x="0" y="0"/>
                      <a:ext cx="5943612" cy="1828804"/>
                    </a:xfrm>
                    <a:prstGeom prst="rect">
                      <a:avLst/>
                    </a:prstGeom>
                  </pic:spPr>
                </pic:pic>
              </a:graphicData>
            </a:graphic>
          </wp:inline>
        </w:drawing>
      </w:r>
    </w:p>
    <w:p w:rsidR="00CA5FA9" w:rsidRDefault="00CA5FA9" w:rsidP="00CA5FA9">
      <w:pPr>
        <w:pStyle w:val="Caption"/>
      </w:pPr>
    </w:p>
    <w:p w:rsidR="00CA5FA9" w:rsidRPr="00CA5FA9" w:rsidRDefault="00CA5FA9" w:rsidP="00CA5FA9">
      <w:pPr>
        <w:pStyle w:val="Caption"/>
      </w:pPr>
      <w:bookmarkStart w:id="6" w:name="_Ref40956707"/>
      <w:r>
        <w:t xml:space="preserve">Figure </w:t>
      </w:r>
      <w:fldSimple w:instr=" SEQ Figure \* ARABIC ">
        <w:r w:rsidR="006807ED">
          <w:rPr>
            <w:noProof/>
          </w:rPr>
          <w:t>4</w:t>
        </w:r>
      </w:fldSimple>
      <w:bookmarkEnd w:id="6"/>
      <w:r>
        <w:t xml:space="preserve">. </w:t>
      </w:r>
      <w:r w:rsidR="006807ED">
        <w:t xml:space="preserve">Estimated temporal easting (left panel, larger values more easterly) and northing </w:t>
      </w:r>
      <w:r w:rsidR="006807ED">
        <w:t>(</w:t>
      </w:r>
      <w:r w:rsidR="006807ED">
        <w:t xml:space="preserve">right </w:t>
      </w:r>
      <w:r w:rsidR="006807ED">
        <w:t xml:space="preserve">panel, larger values more </w:t>
      </w:r>
      <w:r w:rsidR="006807ED">
        <w:t>northerly</w:t>
      </w:r>
      <w:r w:rsidR="006807ED">
        <w:t>)</w:t>
      </w:r>
      <w:r w:rsidR="006807ED">
        <w:t xml:space="preserve"> shifts in the c</w:t>
      </w:r>
      <w:r>
        <w:t xml:space="preserve">enter of gravity </w:t>
      </w:r>
      <w:r w:rsidR="006807ED">
        <w:t xml:space="preserve">of the distribution </w:t>
      </w:r>
      <w:r>
        <w:t>for small and large s</w:t>
      </w:r>
      <w:bookmarkStart w:id="7" w:name="_GoBack"/>
      <w:bookmarkEnd w:id="7"/>
      <w:r>
        <w:t xml:space="preserve">quid collected during fisheries independent surveys </w:t>
      </w:r>
      <w:r w:rsidR="006807ED">
        <w:t xml:space="preserve">conducted </w:t>
      </w:r>
      <w:r>
        <w:t>by the NWFSC and SWFSC between 1998 and 2019.</w:t>
      </w:r>
    </w:p>
    <w:p w:rsidR="00E06D68" w:rsidRDefault="00E06D68" w:rsidP="00E06D68"/>
    <w:p w:rsidR="00E0575D" w:rsidRDefault="00E0575D">
      <w:pPr>
        <w:spacing w:line="259" w:lineRule="auto"/>
      </w:pPr>
      <w:r>
        <w:br w:type="page"/>
      </w:r>
    </w:p>
    <w:p w:rsidR="00E0575D" w:rsidRDefault="000B5746" w:rsidP="00E0575D">
      <w:pPr>
        <w:pStyle w:val="Caption"/>
      </w:pPr>
      <w:r>
        <w:rPr>
          <w:noProof/>
        </w:rPr>
        <w:lastRenderedPageBreak/>
        <w:drawing>
          <wp:inline distT="0" distB="0" distL="0" distR="0">
            <wp:extent cx="2743205" cy="274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Biomass.png"/>
                    <pic:cNvPicPr/>
                  </pic:nvPicPr>
                  <pic:blipFill>
                    <a:blip r:embed="rId10">
                      <a:extLst>
                        <a:ext uri="{28A0092B-C50C-407E-A947-70E740481C1C}">
                          <a14:useLocalDpi xmlns:a14="http://schemas.microsoft.com/office/drawing/2010/main" val="0"/>
                        </a:ext>
                      </a:extLst>
                    </a:blip>
                    <a:stretch>
                      <a:fillRect/>
                    </a:stretch>
                  </pic:blipFill>
                  <pic:spPr>
                    <a:xfrm>
                      <a:off x="0" y="0"/>
                      <a:ext cx="2743205" cy="2743205"/>
                    </a:xfrm>
                    <a:prstGeom prst="rect">
                      <a:avLst/>
                    </a:prstGeom>
                  </pic:spPr>
                </pic:pic>
              </a:graphicData>
            </a:graphic>
          </wp:inline>
        </w:drawing>
      </w:r>
    </w:p>
    <w:p w:rsidR="00E06D68" w:rsidRDefault="00E0575D" w:rsidP="00E0575D">
      <w:pPr>
        <w:pStyle w:val="Caption"/>
      </w:pPr>
      <w:bookmarkStart w:id="8" w:name="_Ref40956464"/>
      <w:r>
        <w:t xml:space="preserve">Figure </w:t>
      </w:r>
      <w:fldSimple w:instr=" SEQ Figure \* ARABIC ">
        <w:r w:rsidR="006807ED">
          <w:rPr>
            <w:noProof/>
          </w:rPr>
          <w:t>5</w:t>
        </w:r>
      </w:fldSimple>
      <w:bookmarkEnd w:id="8"/>
      <w:r>
        <w:t>. Estimated indices of abundance for the small and large squid collected during fisheries independent surveys</w:t>
      </w:r>
      <w:r w:rsidR="000B5746">
        <w:t xml:space="preserve"> conducted</w:t>
      </w:r>
      <w:r>
        <w:t xml:space="preserve"> by the NWFSC and SWFSC between 1998 and 2019.</w:t>
      </w:r>
    </w:p>
    <w:p w:rsidR="00760F25" w:rsidRDefault="00760F25" w:rsidP="00760F25"/>
    <w:p w:rsidR="00760F25" w:rsidRDefault="00760F25">
      <w:pPr>
        <w:spacing w:line="259" w:lineRule="auto"/>
      </w:pPr>
      <w:r>
        <w:br w:type="page"/>
      </w:r>
    </w:p>
    <w:p w:rsidR="00760F25" w:rsidRDefault="000B5746" w:rsidP="00760F25">
      <w:r>
        <w:rPr>
          <w:noProof/>
        </w:rPr>
        <w:lastRenderedPageBreak/>
        <w:drawing>
          <wp:inline distT="0" distB="0" distL="0" distR="0" wp14:anchorId="13A1B337" wp14:editId="3D650D83">
            <wp:extent cx="3657607"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ective_Area.png"/>
                    <pic:cNvPicPr/>
                  </pic:nvPicPr>
                  <pic:blipFill>
                    <a:blip r:embed="rId11">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rsidR="00760F25" w:rsidRPr="00760F25" w:rsidRDefault="00760F25" w:rsidP="00760F25">
      <w:pPr>
        <w:pStyle w:val="Caption"/>
      </w:pPr>
      <w:bookmarkStart w:id="9" w:name="_Ref40957456"/>
      <w:r>
        <w:t xml:space="preserve">Figure </w:t>
      </w:r>
      <w:fldSimple w:instr=" SEQ Figure \* ARABIC ">
        <w:r w:rsidR="006807ED">
          <w:rPr>
            <w:noProof/>
          </w:rPr>
          <w:t>6</w:t>
        </w:r>
      </w:fldSimple>
      <w:bookmarkEnd w:id="9"/>
      <w:r w:rsidR="000B5746">
        <w:t>. Range occupancy</w:t>
      </w:r>
      <w:r>
        <w:t xml:space="preserve"> </w:t>
      </w:r>
      <w:r w:rsidR="000B5746">
        <w:t xml:space="preserve">for </w:t>
      </w:r>
      <w:r>
        <w:t>small and large squid in the waters surveyed by the NWFSC and SWFSC from 1998 to 2019.</w:t>
      </w:r>
    </w:p>
    <w:sectPr w:rsidR="00760F25" w:rsidRPr="00760F25" w:rsidSect="00636DC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A1"/>
    <w:multiLevelType w:val="hybridMultilevel"/>
    <w:tmpl w:val="FA6A555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774E8"/>
    <w:multiLevelType w:val="hybridMultilevel"/>
    <w:tmpl w:val="FA2CF32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C93"/>
    <w:multiLevelType w:val="hybridMultilevel"/>
    <w:tmpl w:val="D038857E"/>
    <w:lvl w:ilvl="0" w:tplc="4F9C8FB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4356"/>
    <w:multiLevelType w:val="hybridMultilevel"/>
    <w:tmpl w:val="D38ACAB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53663"/>
    <w:multiLevelType w:val="hybridMultilevel"/>
    <w:tmpl w:val="B96C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27934"/>
    <w:multiLevelType w:val="hybridMultilevel"/>
    <w:tmpl w:val="F0B63936"/>
    <w:lvl w:ilvl="0" w:tplc="167CEA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1"/>
    <w:rsid w:val="0000386D"/>
    <w:rsid w:val="000120D1"/>
    <w:rsid w:val="00065B0F"/>
    <w:rsid w:val="000B5746"/>
    <w:rsid w:val="000C6FC9"/>
    <w:rsid w:val="000D3F3E"/>
    <w:rsid w:val="000F3DFA"/>
    <w:rsid w:val="001373CE"/>
    <w:rsid w:val="00161DA4"/>
    <w:rsid w:val="001B158F"/>
    <w:rsid w:val="001D431C"/>
    <w:rsid w:val="001E0009"/>
    <w:rsid w:val="00216F51"/>
    <w:rsid w:val="002526A4"/>
    <w:rsid w:val="0026685C"/>
    <w:rsid w:val="002A5AB0"/>
    <w:rsid w:val="002B67C8"/>
    <w:rsid w:val="0030250F"/>
    <w:rsid w:val="00344B6B"/>
    <w:rsid w:val="00355BAF"/>
    <w:rsid w:val="00392DA9"/>
    <w:rsid w:val="003B0DD8"/>
    <w:rsid w:val="0040344A"/>
    <w:rsid w:val="00404673"/>
    <w:rsid w:val="004A7174"/>
    <w:rsid w:val="004B5B92"/>
    <w:rsid w:val="004D5B53"/>
    <w:rsid w:val="00556608"/>
    <w:rsid w:val="00561A2A"/>
    <w:rsid w:val="00564DF1"/>
    <w:rsid w:val="005C3385"/>
    <w:rsid w:val="005F7906"/>
    <w:rsid w:val="00603182"/>
    <w:rsid w:val="00636DC7"/>
    <w:rsid w:val="00641907"/>
    <w:rsid w:val="006807ED"/>
    <w:rsid w:val="006C7550"/>
    <w:rsid w:val="00760F25"/>
    <w:rsid w:val="008060D5"/>
    <w:rsid w:val="00822A6D"/>
    <w:rsid w:val="008500A1"/>
    <w:rsid w:val="008B7D9F"/>
    <w:rsid w:val="0094177E"/>
    <w:rsid w:val="009608F9"/>
    <w:rsid w:val="009D1EAD"/>
    <w:rsid w:val="00A01329"/>
    <w:rsid w:val="00A06FC8"/>
    <w:rsid w:val="00A144C2"/>
    <w:rsid w:val="00A33876"/>
    <w:rsid w:val="00A611D4"/>
    <w:rsid w:val="00A8387E"/>
    <w:rsid w:val="00AB6B7C"/>
    <w:rsid w:val="00AB7EF0"/>
    <w:rsid w:val="00B01A12"/>
    <w:rsid w:val="00B33842"/>
    <w:rsid w:val="00B464DF"/>
    <w:rsid w:val="00B66EF5"/>
    <w:rsid w:val="00B91565"/>
    <w:rsid w:val="00BA6127"/>
    <w:rsid w:val="00BB6FB3"/>
    <w:rsid w:val="00C00594"/>
    <w:rsid w:val="00C46283"/>
    <w:rsid w:val="00C75F87"/>
    <w:rsid w:val="00CA5FA9"/>
    <w:rsid w:val="00CA6D5F"/>
    <w:rsid w:val="00CC0D0F"/>
    <w:rsid w:val="00CF051C"/>
    <w:rsid w:val="00D84231"/>
    <w:rsid w:val="00E02994"/>
    <w:rsid w:val="00E0575D"/>
    <w:rsid w:val="00E06D68"/>
    <w:rsid w:val="00E33BB3"/>
    <w:rsid w:val="00E40D8E"/>
    <w:rsid w:val="00EA5C00"/>
    <w:rsid w:val="00ED5251"/>
    <w:rsid w:val="00F0090E"/>
    <w:rsid w:val="00F01D00"/>
    <w:rsid w:val="00F26BF3"/>
    <w:rsid w:val="00F47538"/>
    <w:rsid w:val="00F5079D"/>
    <w:rsid w:val="00F95DD9"/>
    <w:rsid w:val="00FB76BB"/>
    <w:rsid w:val="00FD0E82"/>
    <w:rsid w:val="00FF6DE7"/>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9F69"/>
  <w15:chartTrackingRefBased/>
  <w15:docId w15:val="{4872184E-CF7E-4512-964D-0C00B800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C7"/>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A1"/>
    <w:rPr>
      <w:color w:val="808080"/>
    </w:rPr>
  </w:style>
  <w:style w:type="paragraph" w:styleId="Caption">
    <w:name w:val="caption"/>
    <w:basedOn w:val="Normal"/>
    <w:next w:val="Normal"/>
    <w:uiPriority w:val="35"/>
    <w:unhideWhenUsed/>
    <w:qFormat/>
    <w:rsid w:val="00FF7815"/>
    <w:pPr>
      <w:spacing w:after="200"/>
    </w:pPr>
    <w:rPr>
      <w:iCs/>
      <w:szCs w:val="18"/>
    </w:rPr>
  </w:style>
  <w:style w:type="character" w:styleId="LineNumber">
    <w:name w:val="line number"/>
    <w:basedOn w:val="DefaultParagraphFont"/>
    <w:uiPriority w:val="99"/>
    <w:semiHidden/>
    <w:unhideWhenUsed/>
    <w:rsid w:val="00636DC7"/>
  </w:style>
  <w:style w:type="table" w:styleId="TableGrid">
    <w:name w:val="Table Grid"/>
    <w:basedOn w:val="TableNormal"/>
    <w:uiPriority w:val="39"/>
    <w:rsid w:val="0064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3F796-EC46-422D-BD7B-1CF47606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17</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Brandon.Chasco</dc:creator>
  <cp:keywords/>
  <dc:description/>
  <cp:lastModifiedBy>Chasco, Brandon Edward</cp:lastModifiedBy>
  <cp:revision>44</cp:revision>
  <dcterms:created xsi:type="dcterms:W3CDTF">2020-05-19T16:02:00Z</dcterms:created>
  <dcterms:modified xsi:type="dcterms:W3CDTF">2020-05-22T02:25:00Z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id="XcLDrsqc"/&gt;&lt;style id="http://www.zotero.org/styles/fisheries-research" hasBibliography="1" bibliographyStyleHasBeenSet="0"/&gt;&lt;prefs&gt;&lt;pref name="fieldType" value="Field"/&gt;&lt;/prefs&gt;&lt;/data&gt;</vt:lpwstr>
  </property>
</Properties>
</file>