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CST 336: Internet Programming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 members: Babak Chehraz, Brock D’Amico, Brandon Martinez, and Andrew Martin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57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Story: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user can enter some string of characters into the search bar, select a filter (song, artist, or genre) and select ascending or descending, and hit the search button. Upon processing, the page will return a list of songs that match the criteria. (e.g., search =&gt; michael, filter =&gt;artist : result = list of songs by artists that have “michael” in the name.)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user can select an item in the output and there will be a dropdown of extra details about the song such as price.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Mock up: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Schema (without inserts):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artist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artistId</w:t>
        <w:tab/>
        <w:tab/>
        <w:t xml:space="preserve">INTEGER PRIMARY KEY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artistName</w:t>
        <w:tab/>
        <w:t xml:space="preserve">VARCHAR(64)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artistBio</w:t>
        <w:tab/>
        <w:t xml:space="preserve">VARCHAR(512)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genre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genreId</w:t>
        <w:tab/>
        <w:t xml:space="preserve">INTEGER PRIMARY KEY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genre</w:t>
        <w:tab/>
        <w:tab/>
        <w:t xml:space="preserve">VARCHAR(32) NOT NULL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song 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songId</w:t>
        <w:tab/>
        <w:tab/>
        <w:t xml:space="preserve">INTEGER PRIMARY KEY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songName</w:t>
        <w:tab/>
        <w:t xml:space="preserve">VARCHAR(64)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artistId </w:t>
        <w:tab/>
        <w:t xml:space="preserve">INTEGER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genreId </w:t>
        <w:tab/>
        <w:t xml:space="preserve">INTEGER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(artistId) REFERENCES artist(artistId),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FOREIGN KEY (genreId) REFERENCES genre(genreId)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