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C0605" w14:textId="71D8E2A9" w:rsidR="006E4AAB" w:rsidRPr="007C04A3" w:rsidRDefault="006E4AAB" w:rsidP="00F84575">
      <w:pPr>
        <w:spacing w:line="240" w:lineRule="auto"/>
      </w:pPr>
      <w:r w:rsidRPr="007C04A3">
        <w:rPr>
          <w:b/>
          <w:bCs/>
        </w:rPr>
        <w:t xml:space="preserve">Predictive Dredging </w:t>
      </w:r>
      <w:r w:rsidR="00913AC1">
        <w:rPr>
          <w:b/>
          <w:bCs/>
        </w:rPr>
        <w:t>M</w:t>
      </w:r>
      <w:r w:rsidRPr="007C04A3">
        <w:rPr>
          <w:b/>
          <w:bCs/>
        </w:rPr>
        <w:t>odels for the Upper Mississippi River and Illinois Waterway</w:t>
      </w:r>
    </w:p>
    <w:p w14:paraId="28AFDD89" w14:textId="287C51F3" w:rsidR="006E4AAB" w:rsidRDefault="006E4AAB" w:rsidP="00F84575">
      <w:pPr>
        <w:spacing w:line="240" w:lineRule="auto"/>
        <w:ind w:left="2880" w:firstLine="720"/>
      </w:pPr>
      <w:r>
        <w:t>Barrie Chileen Martinez</w:t>
      </w:r>
    </w:p>
    <w:p w14:paraId="4B1EAD17" w14:textId="0585BF5F" w:rsidR="00913AC1" w:rsidRDefault="00913AC1" w:rsidP="00F84575">
      <w:pPr>
        <w:spacing w:line="240" w:lineRule="auto"/>
        <w:jc w:val="center"/>
      </w:pPr>
      <w:r>
        <w:t>Department of Data Science, University of Wisconsin – La Crosse</w:t>
      </w:r>
    </w:p>
    <w:p w14:paraId="0A3351CC" w14:textId="462E0091" w:rsidR="00913AC1" w:rsidRPr="007C04A3" w:rsidRDefault="00913AC1" w:rsidP="00F84575">
      <w:pPr>
        <w:spacing w:line="240" w:lineRule="auto"/>
        <w:jc w:val="center"/>
      </w:pPr>
      <w:r>
        <w:t>DS 785: Capstone</w:t>
      </w:r>
    </w:p>
    <w:p w14:paraId="4499C0AD" w14:textId="5460CFF8" w:rsidR="00913AC1" w:rsidRPr="008D47DC" w:rsidRDefault="006E4AAB" w:rsidP="00F84575">
      <w:pPr>
        <w:spacing w:line="240" w:lineRule="auto"/>
        <w:rPr>
          <w:b/>
          <w:bCs/>
        </w:rPr>
      </w:pPr>
      <w:r w:rsidRPr="008D47DC">
        <w:rPr>
          <w:b/>
          <w:bCs/>
        </w:rPr>
        <w:t xml:space="preserve">Abstract </w:t>
      </w:r>
    </w:p>
    <w:p w14:paraId="4A1EC9C6" w14:textId="69946955" w:rsidR="00913AC1" w:rsidRDefault="00913AC1" w:rsidP="00F84575">
      <w:pPr>
        <w:spacing w:line="240" w:lineRule="auto"/>
      </w:pPr>
      <w:r>
        <w:t xml:space="preserve">The Mississippi River and Illinois Waterways are high-traffic navigable channels that are used for the transport of commercial goods. The U.S. Army Corps of Engineers (USACE) Rock Island District is responsible for the maintenance and upkeep of these key-transportation corridors and spends </w:t>
      </w:r>
      <w:r w:rsidR="00F84575">
        <w:t>millions</w:t>
      </w:r>
      <w:r>
        <w:t xml:space="preserve"> annually on dredging operations to maintain a 9-foot navigation channel. Currently, USACE dredge coordinators rely on institutional knowledge and river forecasts to develop 10-14 day </w:t>
      </w:r>
      <w:r w:rsidR="00C24157">
        <w:t>survey</w:t>
      </w:r>
      <w:r>
        <w:t xml:space="preserve"> and </w:t>
      </w:r>
      <w:r w:rsidR="00C24157">
        <w:t xml:space="preserve">dredging </w:t>
      </w:r>
      <w:r>
        <w:t xml:space="preserve">schedules to monitor and manage river conditions. By using machine and deep learning approaches, this capstone developed a model to increase lead times and extend forecasting windows to better coordinate resources. This study implemented </w:t>
      </w:r>
      <w:r w:rsidR="00C24157">
        <w:t xml:space="preserve">ARIMA, </w:t>
      </w:r>
      <w:proofErr w:type="spellStart"/>
      <w:r>
        <w:t>xGBoost</w:t>
      </w:r>
      <w:proofErr w:type="spellEnd"/>
      <w:r>
        <w:t>,</w:t>
      </w:r>
      <w:r w:rsidR="00C24157">
        <w:t xml:space="preserve"> </w:t>
      </w:r>
      <w:r>
        <w:t>PCA,</w:t>
      </w:r>
      <w:r w:rsidR="00C24157">
        <w:t xml:space="preserve"> and LSTM </w:t>
      </w:r>
      <w:r>
        <w:t xml:space="preserve">to identify </w:t>
      </w:r>
      <w:r w:rsidR="00C24157">
        <w:t>model shoaling</w:t>
      </w:r>
      <w:r>
        <w:t xml:space="preserve"> rates</w:t>
      </w:r>
      <w:r w:rsidR="00C24157">
        <w:t xml:space="preserve"> from river gages and temporal variables</w:t>
      </w:r>
      <w:r>
        <w:t>.</w:t>
      </w:r>
      <w:r w:rsidR="00F84575">
        <w:t xml:space="preserve"> The LSTM model achieved the strongest performance with regression with RMSE values of 1.65 ft/yr (Illinois Waterway) and 2.69 ft/yr (Mississippi River) which represented an 18.9% and 28.9% improvement over the baseline model. In classification tasks, </w:t>
      </w:r>
      <w:proofErr w:type="spellStart"/>
      <w:r w:rsidR="00F84575">
        <w:t>xGBoost</w:t>
      </w:r>
      <w:proofErr w:type="spellEnd"/>
      <w:r w:rsidR="00F84575">
        <w:t xml:space="preserve"> was able to</w:t>
      </w:r>
      <w:r>
        <w:t xml:space="preserve"> T to achieve </w:t>
      </w:r>
      <w:r w:rsidR="00F84575">
        <w:t>an accuracy of 72.8%. The Week of the year was identified as a strong predictor as well as the data from tributary river gages. These results</w:t>
      </w:r>
      <w:r>
        <w:t xml:space="preserve"> offer a promising first step in predictive modeling of dredging need in inland waterways</w:t>
      </w:r>
      <w:r w:rsidR="00F84575">
        <w:t xml:space="preserve"> and can provide a framework for proactive, data-driven resource management in federal dredging operations</w:t>
      </w:r>
      <w:r>
        <w:t xml:space="preserve">. </w:t>
      </w:r>
    </w:p>
    <w:p w14:paraId="14EAFFBA" w14:textId="79954BDE" w:rsidR="006E4AAB" w:rsidRPr="008D47DC" w:rsidRDefault="006E4AAB" w:rsidP="00F84575">
      <w:pPr>
        <w:spacing w:line="240" w:lineRule="auto"/>
        <w:rPr>
          <w:i/>
          <w:iCs/>
        </w:rPr>
      </w:pPr>
      <w:r w:rsidRPr="008D47DC">
        <w:rPr>
          <w:i/>
          <w:iCs/>
        </w:rPr>
        <w:t>Keywords</w:t>
      </w:r>
      <w:r w:rsidR="00913AC1" w:rsidRPr="008D47DC">
        <w:rPr>
          <w:i/>
          <w:iCs/>
        </w:rPr>
        <w:t>: Sediment;</w:t>
      </w:r>
      <w:r w:rsidRPr="008D47DC">
        <w:rPr>
          <w:i/>
          <w:iCs/>
        </w:rPr>
        <w:t xml:space="preserve"> Dredging</w:t>
      </w:r>
      <w:r w:rsidR="00913AC1" w:rsidRPr="008D47DC">
        <w:rPr>
          <w:i/>
          <w:iCs/>
        </w:rPr>
        <w:t>;</w:t>
      </w:r>
      <w:r w:rsidRPr="008D47DC">
        <w:rPr>
          <w:i/>
          <w:iCs/>
        </w:rPr>
        <w:t xml:space="preserve"> Shoaling</w:t>
      </w:r>
      <w:r w:rsidR="00913AC1" w:rsidRPr="008D47DC">
        <w:rPr>
          <w:i/>
          <w:iCs/>
        </w:rPr>
        <w:t>;</w:t>
      </w:r>
      <w:r w:rsidRPr="008D47DC">
        <w:rPr>
          <w:i/>
          <w:iCs/>
        </w:rPr>
        <w:t xml:space="preserve"> </w:t>
      </w:r>
      <w:r w:rsidR="00913AC1" w:rsidRPr="008D47DC">
        <w:rPr>
          <w:i/>
          <w:iCs/>
        </w:rPr>
        <w:t>Timeseries;</w:t>
      </w:r>
      <w:r w:rsidRPr="008D47DC">
        <w:rPr>
          <w:i/>
          <w:iCs/>
        </w:rPr>
        <w:t xml:space="preserve"> </w:t>
      </w:r>
      <w:r w:rsidR="00913AC1" w:rsidRPr="008D47DC">
        <w:rPr>
          <w:i/>
          <w:iCs/>
        </w:rPr>
        <w:t>Forecasting</w:t>
      </w:r>
    </w:p>
    <w:p w14:paraId="0036BA28" w14:textId="21D9A081" w:rsidR="008130A4" w:rsidRPr="008D47DC" w:rsidRDefault="008130A4" w:rsidP="00F84575">
      <w:pPr>
        <w:spacing w:line="240" w:lineRule="auto"/>
        <w:rPr>
          <w:b/>
          <w:bCs/>
        </w:rPr>
      </w:pPr>
      <w:r w:rsidRPr="008D47DC">
        <w:rPr>
          <w:b/>
          <w:bCs/>
        </w:rPr>
        <w:t>Problem Definition</w:t>
      </w:r>
    </w:p>
    <w:p w14:paraId="4B8BF60F" w14:textId="4A6AD9EA" w:rsidR="008130A4" w:rsidRDefault="008130A4" w:rsidP="00F84575">
      <w:pPr>
        <w:spacing w:line="240" w:lineRule="auto"/>
        <w:ind w:firstLine="360"/>
      </w:pPr>
      <w:r>
        <w:t xml:space="preserve">Dredging is a critical mission assignment for the U.S. Army Corps of Engineers. While coastal districts have had more traction when applying these machine learning approaches for their dredging forecasts, inland districts are also areas of concern when it comes to maintaining a navigable channel. USACE is an organization that has a lot of longer-term historic datasets, and this case study provides an opportunity to leverage existing data to better inform business operations. While institutional knowledge has been key in dredging operations in the past, recent retirements and changes in personnel have highlighted the need for increased automation and advanced analytics to inform dredging operations. Ultimately, more efficient routing of dredging assets saves federal operations funds which allows for more dredging to increase channel availability and improve the channel conditions in the Rock Island area of responsibility. </w:t>
      </w:r>
    </w:p>
    <w:p w14:paraId="093B85E2" w14:textId="6232B8D1" w:rsidR="008130A4" w:rsidRDefault="00C24157" w:rsidP="00F84575">
      <w:pPr>
        <w:spacing w:line="240" w:lineRule="auto"/>
      </w:pPr>
      <w:r>
        <w:tab/>
        <w:t xml:space="preserve">After interviewing dredging managers within the organization, the key challenges that emerged were related to limited forecasting windows and inefficient dredge routing. There have been multiple instances during low water events where dredge units have been rerouted to conduct emergency dredging in areas that could have been addressed while </w:t>
      </w:r>
      <w:r>
        <w:lastRenderedPageBreak/>
        <w:t xml:space="preserve">enroute to other jobs. Current forecasting of dredging needs is also limited due to the availability of reliable river elevation data and current operational understanding of dredging needs. Managers also cited the desire to leverage decades of </w:t>
      </w:r>
      <w:proofErr w:type="spellStart"/>
      <w:r>
        <w:t>hydrosurvey</w:t>
      </w:r>
      <w:proofErr w:type="spellEnd"/>
      <w:r>
        <w:t xml:space="preserve"> and dredging data and believed that operationally, these data assets could be useful in improving the overall dredging efficiency of the district. Similar efforts have emerged throughout the organization; however, they are often targeted to coastal and high-survey frequency </w:t>
      </w:r>
      <w:r w:rsidR="00931B32">
        <w:t>locations,</w:t>
      </w:r>
      <w:r>
        <w:t xml:space="preserve"> and an enterprise dredging forecasting system has yet to be deployed to the agency. </w:t>
      </w:r>
    </w:p>
    <w:p w14:paraId="07B5D07D" w14:textId="0930F736" w:rsidR="002D193D" w:rsidRPr="007C04A3" w:rsidRDefault="00931B32" w:rsidP="00F84575">
      <w:pPr>
        <w:spacing w:line="240" w:lineRule="auto"/>
      </w:pPr>
      <w:r>
        <w:tab/>
        <w:t xml:space="preserve">Machine learning approaches have been effective at modeling river systems and shoaling dynamics. </w:t>
      </w:r>
      <w:r w:rsidR="002D193D">
        <w:t>Previous studies have used methods like</w:t>
      </w:r>
      <w:r>
        <w:t xml:space="preserve"> </w:t>
      </w:r>
      <w:proofErr w:type="spellStart"/>
      <w:r>
        <w:t>xGBoost</w:t>
      </w:r>
      <w:proofErr w:type="spellEnd"/>
      <w:r>
        <w:t xml:space="preserve">, </w:t>
      </w:r>
      <w:r w:rsidR="002D193D">
        <w:t>PCA, and LSTM modeling to predict shoaling rates (</w:t>
      </w:r>
      <w:proofErr w:type="spellStart"/>
      <w:r w:rsidR="002D193D">
        <w:t>Asborno</w:t>
      </w:r>
      <w:proofErr w:type="spellEnd"/>
      <w:r w:rsidR="002D193D">
        <w:t xml:space="preserve"> et al. 2023,2024). Broadly, river systems are strong candidates for machine learning due to their extensive historical gage records, as well as their </w:t>
      </w:r>
    </w:p>
    <w:p w14:paraId="1E2C67B1" w14:textId="68341E07" w:rsidR="008D47DC" w:rsidRPr="008D47DC" w:rsidRDefault="006E4AAB" w:rsidP="00F84575">
      <w:pPr>
        <w:spacing w:line="240" w:lineRule="auto"/>
        <w:rPr>
          <w:b/>
          <w:bCs/>
        </w:rPr>
      </w:pPr>
      <w:r w:rsidRPr="008D47DC">
        <w:rPr>
          <w:b/>
          <w:bCs/>
        </w:rPr>
        <w:t>Data Collection, Preparation and Cleaning</w:t>
      </w:r>
    </w:p>
    <w:p w14:paraId="5E026ACE" w14:textId="1DC85427" w:rsidR="008D47DC" w:rsidRPr="008D47DC" w:rsidRDefault="008D47DC" w:rsidP="00F84575">
      <w:pPr>
        <w:spacing w:line="240" w:lineRule="auto"/>
        <w:rPr>
          <w:b/>
          <w:bCs/>
          <w:i/>
          <w:iCs/>
        </w:rPr>
      </w:pPr>
      <w:r w:rsidRPr="008D47DC">
        <w:rPr>
          <w:b/>
          <w:bCs/>
          <w:i/>
          <w:iCs/>
        </w:rPr>
        <w:t>River Gage Data</w:t>
      </w:r>
    </w:p>
    <w:p w14:paraId="275F9C91" w14:textId="1A063EA5" w:rsidR="005F730F" w:rsidRDefault="00F84575" w:rsidP="005F730F">
      <w:pPr>
        <w:spacing w:line="240" w:lineRule="auto"/>
      </w:pPr>
      <w:r>
        <w:tab/>
        <w:t xml:space="preserve">The river gage data was acquired by pulling a bulk download from RiverGages.com and the tributary data was acquired using the USGS </w:t>
      </w:r>
      <w:proofErr w:type="spellStart"/>
      <w:r>
        <w:t>api</w:t>
      </w:r>
      <w:proofErr w:type="spellEnd"/>
      <w:r>
        <w:t xml:space="preserve">. </w:t>
      </w:r>
      <w:r w:rsidR="008D47DC">
        <w:t xml:space="preserve">The period of record for the river gage forecast data is from January 1,1999 to December 31, 2024 which encompasses 25 years of river gage observations. There were 60 gages represented in the data with 35 gages associated with the Mississippi River and the remaining 25 associated with the Illinois Waterway. There were 9,497 </w:t>
      </w:r>
      <w:r w:rsidR="005F730F">
        <w:t xml:space="preserve">rows of </w:t>
      </w:r>
      <w:r w:rsidR="008D47DC">
        <w:t xml:space="preserve">observations in the raw dataset. When operating, there are some instances where the gages malfunction or miss readings. To handle the gaps associated with these drops in data, river gage data was interpolated </w:t>
      </w:r>
      <w:r w:rsidR="0051792D">
        <w:t xml:space="preserve">with a maximum gap of 4 days between interpolated records, which is appropriate for our river systems given how slow the levels change. After interpolating the data, missing values were reduced by 995 observations. </w:t>
      </w:r>
    </w:p>
    <w:p w14:paraId="32DF0DEC" w14:textId="3A8BFC6C" w:rsidR="008D47DC" w:rsidRDefault="0051792D" w:rsidP="005F730F">
      <w:pPr>
        <w:spacing w:line="240" w:lineRule="auto"/>
        <w:ind w:firstLine="720"/>
      </w:pPr>
      <w:r>
        <w:t xml:space="preserve">River gage observations represent daily average river elevation in feet. The vertical datum for the Mississippi River is MSL 1912 and the vertical datum for the Illinois Waterway is NGVD 29. Over the period of record, the datums haven’t changed at these sites so conversion wasn’t needed. In addition to interpolating the empty rows, date variables were converted to date objects using the </w:t>
      </w:r>
      <w:proofErr w:type="spellStart"/>
      <w:r>
        <w:t>lubridate</w:t>
      </w:r>
      <w:proofErr w:type="spellEnd"/>
      <w:r>
        <w:t xml:space="preserve"> package and a categorical variable to represent season was created by assigning months 12, 1, and 2 as Winter, months 3,4,5 as spring, months 6,7,8 as summer and months 9,10,11 as fall. This variable was then factored for future analysis. </w:t>
      </w:r>
    </w:p>
    <w:p w14:paraId="71382F5A" w14:textId="01E8A078" w:rsidR="008D47DC" w:rsidRPr="008D47DC" w:rsidRDefault="008D47DC" w:rsidP="00F84575">
      <w:pPr>
        <w:spacing w:line="240" w:lineRule="auto"/>
        <w:rPr>
          <w:b/>
          <w:bCs/>
          <w:i/>
          <w:iCs/>
        </w:rPr>
      </w:pPr>
      <w:proofErr w:type="spellStart"/>
      <w:r w:rsidRPr="008D47DC">
        <w:rPr>
          <w:b/>
          <w:bCs/>
          <w:i/>
          <w:iCs/>
        </w:rPr>
        <w:t>Hydrosurvey</w:t>
      </w:r>
      <w:proofErr w:type="spellEnd"/>
      <w:r w:rsidRPr="008D47DC">
        <w:rPr>
          <w:b/>
          <w:bCs/>
          <w:i/>
          <w:iCs/>
        </w:rPr>
        <w:t xml:space="preserve"> Data and Shoaling Rates </w:t>
      </w:r>
    </w:p>
    <w:p w14:paraId="1E12E944" w14:textId="3225DA65" w:rsidR="003665F7" w:rsidRDefault="00F84575" w:rsidP="00F84575">
      <w:pPr>
        <w:spacing w:line="240" w:lineRule="auto"/>
      </w:pPr>
      <w:r>
        <w:t xml:space="preserve">The </w:t>
      </w:r>
      <w:proofErr w:type="spellStart"/>
      <w:r>
        <w:t>eHydro</w:t>
      </w:r>
      <w:proofErr w:type="spellEnd"/>
      <w:r>
        <w:t xml:space="preserve"> data was compiled for use with the Corps Shoaling Analysis Tool (CSAT) in the form of .</w:t>
      </w:r>
      <w:proofErr w:type="spellStart"/>
      <w:r>
        <w:t>netCDF</w:t>
      </w:r>
      <w:proofErr w:type="spellEnd"/>
      <w:r>
        <w:t xml:space="preserve"> files. That data was then clipped to a derived channel boundary to better represent the navigable channel in place of the full bank-to-bank framework originally inherited by the tool. The clipping was done using a custom script in python. The .</w:t>
      </w:r>
      <w:proofErr w:type="spellStart"/>
      <w:r>
        <w:t>netCDF</w:t>
      </w:r>
      <w:proofErr w:type="spellEnd"/>
      <w:r>
        <w:t xml:space="preserve"> </w:t>
      </w:r>
      <w:r>
        <w:lastRenderedPageBreak/>
        <w:t xml:space="preserve">files were then run through the CSAT tool which is a </w:t>
      </w:r>
      <w:proofErr w:type="spellStart"/>
      <w:r>
        <w:t>poython</w:t>
      </w:r>
      <w:proofErr w:type="spellEnd"/>
      <w:r>
        <w:t xml:space="preserve"> library to create the shoaling rates used in this case study. </w:t>
      </w:r>
    </w:p>
    <w:p w14:paraId="46F45A84" w14:textId="77777777" w:rsidR="003665F7" w:rsidRDefault="003665F7" w:rsidP="00F84575">
      <w:pPr>
        <w:spacing w:line="240" w:lineRule="auto"/>
      </w:pPr>
    </w:p>
    <w:p w14:paraId="12352D88" w14:textId="77777777" w:rsidR="003665F7" w:rsidRDefault="003665F7" w:rsidP="00F84575">
      <w:pPr>
        <w:spacing w:line="240" w:lineRule="auto"/>
      </w:pPr>
    </w:p>
    <w:p w14:paraId="5FF6DD32" w14:textId="77777777" w:rsidR="00931B32" w:rsidRPr="007C04A3" w:rsidRDefault="00931B32" w:rsidP="00F84575">
      <w:pPr>
        <w:spacing w:line="240" w:lineRule="auto"/>
      </w:pPr>
    </w:p>
    <w:p w14:paraId="72B9275D" w14:textId="214B7FE8" w:rsidR="006E4AAB" w:rsidRPr="008D47DC" w:rsidRDefault="006E4AAB" w:rsidP="00F84575">
      <w:pPr>
        <w:spacing w:line="240" w:lineRule="auto"/>
        <w:rPr>
          <w:b/>
          <w:bCs/>
        </w:rPr>
      </w:pPr>
      <w:r w:rsidRPr="008D47DC">
        <w:rPr>
          <w:b/>
          <w:bCs/>
        </w:rPr>
        <w:t>Exploratory Data Analysis and Feature Engineering</w:t>
      </w:r>
    </w:p>
    <w:p w14:paraId="2B663BC4" w14:textId="34413A52" w:rsidR="00B62694" w:rsidRPr="007C04A3" w:rsidRDefault="00B62694" w:rsidP="00F84575">
      <w:pPr>
        <w:spacing w:line="240" w:lineRule="auto"/>
      </w:pPr>
      <w:r>
        <w:tab/>
        <w:t>Once the CSAT data and gage data were collected, cleaned, and joined, the next steps were to assess the relationships between the predictor variables. With river gage data, it is expected that there is some level of collinearity due to river mechanics. Adjacent river gages are related to each other so it is anticipated that there is a high level of collinearity between the gages in the system. To provide an overview of the collinearity of the dataset, all of the river gages and the week of year predictor were compiled into a correlation matrix. A correlogram was then use to visualize the relationships between predictors. Since we had 60 predictors, we reduced the final visualization to only contain the top 20 correlated predictors (Fig 2)</w:t>
      </w:r>
      <w:r w:rsidR="00FB5570">
        <w:t xml:space="preserve">. A PCA plot was also create to provide another glimpse of the data (Fig 3) For the Illinois Waterway, PC1 captured XXX of the variance while PC2 captured XXX of the variance. For the Mississippi River, PC1 captured XXX of the data and PC2 captured XXX of the data. </w:t>
      </w:r>
    </w:p>
    <w:p w14:paraId="44281811" w14:textId="77777777" w:rsidR="006E4AAB" w:rsidRPr="008D47DC" w:rsidRDefault="006E4AAB" w:rsidP="00F84575">
      <w:pPr>
        <w:spacing w:line="240" w:lineRule="auto"/>
        <w:rPr>
          <w:b/>
          <w:bCs/>
        </w:rPr>
      </w:pPr>
      <w:r w:rsidRPr="008D47DC">
        <w:rPr>
          <w:b/>
          <w:bCs/>
        </w:rPr>
        <w:t>Model Development and Evaluation</w:t>
      </w:r>
    </w:p>
    <w:p w14:paraId="513012A0" w14:textId="77777777" w:rsidR="006E4AAB" w:rsidRPr="008D47DC" w:rsidRDefault="006E4AAB" w:rsidP="00F84575">
      <w:pPr>
        <w:spacing w:line="240" w:lineRule="auto"/>
        <w:rPr>
          <w:b/>
          <w:bCs/>
        </w:rPr>
      </w:pPr>
      <w:r w:rsidRPr="008D47DC">
        <w:rPr>
          <w:b/>
          <w:bCs/>
        </w:rPr>
        <w:t>Results, Insights and Recommendations</w:t>
      </w:r>
    </w:p>
    <w:p w14:paraId="3C4764C8" w14:textId="77777777" w:rsidR="006E4AAB" w:rsidRPr="008D47DC" w:rsidRDefault="006E4AAB" w:rsidP="00F84575">
      <w:pPr>
        <w:spacing w:line="240" w:lineRule="auto"/>
        <w:rPr>
          <w:b/>
          <w:bCs/>
        </w:rPr>
      </w:pPr>
      <w:r w:rsidRPr="008D47DC">
        <w:rPr>
          <w:b/>
          <w:bCs/>
        </w:rPr>
        <w:t>Conclusion</w:t>
      </w:r>
    </w:p>
    <w:p w14:paraId="19F232A3" w14:textId="09D39619" w:rsidR="006E4AAB" w:rsidRPr="008D47DC" w:rsidRDefault="006E4AAB" w:rsidP="00F84575">
      <w:pPr>
        <w:spacing w:line="240" w:lineRule="auto"/>
        <w:rPr>
          <w:b/>
          <w:bCs/>
        </w:rPr>
      </w:pPr>
      <w:r w:rsidRPr="008D47DC">
        <w:rPr>
          <w:b/>
          <w:bCs/>
        </w:rPr>
        <w:t xml:space="preserve">References </w:t>
      </w:r>
    </w:p>
    <w:p w14:paraId="5D427103" w14:textId="77777777" w:rsidR="008130A4" w:rsidRDefault="008130A4" w:rsidP="00402498">
      <w:pPr>
        <w:spacing w:after="0" w:line="240" w:lineRule="auto"/>
      </w:pPr>
      <w:r w:rsidRPr="00D316CB">
        <w:t>Asborno, Magdalena, Jacob Broders, Kenneth N. Mitchell, Michael A. Hartman, and Lauren D. Dunkin. "Forecasting Sediment Accumulation in the Southwest Pass with Machine-Learning Models." </w:t>
      </w:r>
      <w:r w:rsidRPr="00D316CB">
        <w:rPr>
          <w:i/>
          <w:iCs/>
        </w:rPr>
        <w:t>Journal of Waterway, Port, Coastal, and Ocean Engineering</w:t>
      </w:r>
      <w:r w:rsidRPr="00D316CB">
        <w:t> 150, no. 2 (2024): 04023022.</w:t>
      </w:r>
    </w:p>
    <w:p w14:paraId="4150E4D2" w14:textId="2015672E" w:rsidR="009D1553" w:rsidRDefault="009D1553" w:rsidP="00402498">
      <w:pPr>
        <w:spacing w:after="0" w:line="240" w:lineRule="auto"/>
      </w:pPr>
      <w:proofErr w:type="spellStart"/>
      <w:r w:rsidRPr="009D1553">
        <w:t>Asborno</w:t>
      </w:r>
      <w:proofErr w:type="spellEnd"/>
      <w:r w:rsidRPr="009D1553">
        <w:t xml:space="preserve">, Magdalena and Broders, Jacob and Mitchell, Kenneth Ned and Hartman, Michael A. and Dunkin, Lauren M., Selection of Hydrological Variables to Forecast Shoaling with </w:t>
      </w:r>
      <w:proofErr w:type="spellStart"/>
      <w:r w:rsidRPr="009D1553">
        <w:t>Xgb</w:t>
      </w:r>
      <w:proofErr w:type="spellEnd"/>
      <w:r w:rsidRPr="009D1553">
        <w:t>. Available at SSRN: </w:t>
      </w:r>
      <w:hyperlink r:id="rId5" w:tgtFrame="_blank" w:history="1">
        <w:r w:rsidRPr="009D1553">
          <w:rPr>
            <w:rStyle w:val="Hyperlink"/>
          </w:rPr>
          <w:t>https://ssrn.com/abstract=4641922</w:t>
        </w:r>
      </w:hyperlink>
      <w:r w:rsidRPr="009D1553">
        <w:t> or </w:t>
      </w:r>
      <w:hyperlink r:id="rId6" w:tgtFrame="_blank" w:history="1">
        <w:r w:rsidRPr="009D1553">
          <w:rPr>
            <w:rStyle w:val="Hyperlink"/>
          </w:rPr>
          <w:t>http://dx.doi.org/10.2139/ssrn.4641922</w:t>
        </w:r>
      </w:hyperlink>
    </w:p>
    <w:p w14:paraId="58F65FEC" w14:textId="77777777" w:rsidR="008130A4" w:rsidRDefault="008130A4" w:rsidP="00402498">
      <w:pPr>
        <w:spacing w:after="0" w:line="240" w:lineRule="auto"/>
      </w:pPr>
      <w:r w:rsidRPr="00D04CE2">
        <w:t>Dunkin, Lauren M., Lauren A. Coe, and Jay J. Ratcliff. "Corps shoaling analysis tool: Predicting channel shoaling." (2018).</w:t>
      </w:r>
    </w:p>
    <w:p w14:paraId="386D898B" w14:textId="67364F3C" w:rsidR="008130A4" w:rsidRPr="007C04A3" w:rsidRDefault="009D1553" w:rsidP="00402498">
      <w:pPr>
        <w:spacing w:line="240" w:lineRule="auto"/>
      </w:pPr>
      <w:r w:rsidRPr="009D1553">
        <w:t xml:space="preserve">Yeates, E. M., </w:t>
      </w:r>
      <w:proofErr w:type="spellStart"/>
      <w:r w:rsidRPr="009D1553">
        <w:t>Tavakoly</w:t>
      </w:r>
      <w:proofErr w:type="spellEnd"/>
      <w:r w:rsidRPr="009D1553">
        <w:t xml:space="preserve">, A. A., Mitchell, K. N., </w:t>
      </w:r>
      <w:proofErr w:type="spellStart"/>
      <w:r w:rsidRPr="009D1553">
        <w:t>Dreaper</w:t>
      </w:r>
      <w:proofErr w:type="spellEnd"/>
      <w:r w:rsidRPr="009D1553">
        <w:t>, G. W., &amp; Afshari, S. (2020). </w:t>
      </w:r>
      <w:r w:rsidRPr="009D1553">
        <w:rPr>
          <w:i/>
          <w:iCs/>
        </w:rPr>
        <w:t>Utilizing stream flows to forecast dredging requirements</w:t>
      </w:r>
      <w:r w:rsidRPr="009D1553">
        <w:t> (No. ERDCCHLTR2017).</w:t>
      </w:r>
    </w:p>
    <w:p w14:paraId="1B04D150" w14:textId="5FFDD0C9" w:rsidR="00B022DD" w:rsidRDefault="00B022DD"/>
    <w:sectPr w:rsidR="00B022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B00F7"/>
    <w:multiLevelType w:val="multilevel"/>
    <w:tmpl w:val="5C14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9863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BE2"/>
    <w:rsid w:val="00046B54"/>
    <w:rsid w:val="00190E71"/>
    <w:rsid w:val="002B7F1F"/>
    <w:rsid w:val="002D193D"/>
    <w:rsid w:val="003665F7"/>
    <w:rsid w:val="00402498"/>
    <w:rsid w:val="004E2C38"/>
    <w:rsid w:val="00502682"/>
    <w:rsid w:val="0051792D"/>
    <w:rsid w:val="005F730F"/>
    <w:rsid w:val="006E4AAB"/>
    <w:rsid w:val="00800557"/>
    <w:rsid w:val="008130A4"/>
    <w:rsid w:val="00825A18"/>
    <w:rsid w:val="008D47DC"/>
    <w:rsid w:val="00913AC1"/>
    <w:rsid w:val="00931B32"/>
    <w:rsid w:val="009D1553"/>
    <w:rsid w:val="00A54BE2"/>
    <w:rsid w:val="00B022DD"/>
    <w:rsid w:val="00B62694"/>
    <w:rsid w:val="00C102C9"/>
    <w:rsid w:val="00C24157"/>
    <w:rsid w:val="00F84575"/>
    <w:rsid w:val="00F951BA"/>
    <w:rsid w:val="00FB5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D164A"/>
  <w15:chartTrackingRefBased/>
  <w15:docId w15:val="{38627B63-5048-4195-96D6-055D50820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AAB"/>
  </w:style>
  <w:style w:type="paragraph" w:styleId="Heading1">
    <w:name w:val="heading 1"/>
    <w:basedOn w:val="Normal"/>
    <w:next w:val="Normal"/>
    <w:link w:val="Heading1Char"/>
    <w:uiPriority w:val="9"/>
    <w:qFormat/>
    <w:rsid w:val="00A54B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B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B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B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B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B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B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B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B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B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B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B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B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B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BE2"/>
    <w:rPr>
      <w:rFonts w:eastAsiaTheme="majorEastAsia" w:cstheme="majorBidi"/>
      <w:color w:val="272727" w:themeColor="text1" w:themeTint="D8"/>
    </w:rPr>
  </w:style>
  <w:style w:type="paragraph" w:styleId="Title">
    <w:name w:val="Title"/>
    <w:basedOn w:val="Normal"/>
    <w:next w:val="Normal"/>
    <w:link w:val="TitleChar"/>
    <w:uiPriority w:val="10"/>
    <w:qFormat/>
    <w:rsid w:val="00A54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BE2"/>
    <w:pPr>
      <w:spacing w:before="160"/>
      <w:jc w:val="center"/>
    </w:pPr>
    <w:rPr>
      <w:i/>
      <w:iCs/>
      <w:color w:val="404040" w:themeColor="text1" w:themeTint="BF"/>
    </w:rPr>
  </w:style>
  <w:style w:type="character" w:customStyle="1" w:styleId="QuoteChar">
    <w:name w:val="Quote Char"/>
    <w:basedOn w:val="DefaultParagraphFont"/>
    <w:link w:val="Quote"/>
    <w:uiPriority w:val="29"/>
    <w:rsid w:val="00A54BE2"/>
    <w:rPr>
      <w:i/>
      <w:iCs/>
      <w:color w:val="404040" w:themeColor="text1" w:themeTint="BF"/>
    </w:rPr>
  </w:style>
  <w:style w:type="paragraph" w:styleId="ListParagraph">
    <w:name w:val="List Paragraph"/>
    <w:basedOn w:val="Normal"/>
    <w:uiPriority w:val="34"/>
    <w:qFormat/>
    <w:rsid w:val="00A54BE2"/>
    <w:pPr>
      <w:ind w:left="720"/>
      <w:contextualSpacing/>
    </w:pPr>
  </w:style>
  <w:style w:type="character" w:styleId="IntenseEmphasis">
    <w:name w:val="Intense Emphasis"/>
    <w:basedOn w:val="DefaultParagraphFont"/>
    <w:uiPriority w:val="21"/>
    <w:qFormat/>
    <w:rsid w:val="00A54BE2"/>
    <w:rPr>
      <w:i/>
      <w:iCs/>
      <w:color w:val="0F4761" w:themeColor="accent1" w:themeShade="BF"/>
    </w:rPr>
  </w:style>
  <w:style w:type="paragraph" w:styleId="IntenseQuote">
    <w:name w:val="Intense Quote"/>
    <w:basedOn w:val="Normal"/>
    <w:next w:val="Normal"/>
    <w:link w:val="IntenseQuoteChar"/>
    <w:uiPriority w:val="30"/>
    <w:qFormat/>
    <w:rsid w:val="00A54B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BE2"/>
    <w:rPr>
      <w:i/>
      <w:iCs/>
      <w:color w:val="0F4761" w:themeColor="accent1" w:themeShade="BF"/>
    </w:rPr>
  </w:style>
  <w:style w:type="character" w:styleId="IntenseReference">
    <w:name w:val="Intense Reference"/>
    <w:basedOn w:val="DefaultParagraphFont"/>
    <w:uiPriority w:val="32"/>
    <w:qFormat/>
    <w:rsid w:val="00A54BE2"/>
    <w:rPr>
      <w:b/>
      <w:bCs/>
      <w:smallCaps/>
      <w:color w:val="0F4761" w:themeColor="accent1" w:themeShade="BF"/>
      <w:spacing w:val="5"/>
    </w:rPr>
  </w:style>
  <w:style w:type="character" w:styleId="Hyperlink">
    <w:name w:val="Hyperlink"/>
    <w:basedOn w:val="DefaultParagraphFont"/>
    <w:uiPriority w:val="99"/>
    <w:unhideWhenUsed/>
    <w:rsid w:val="009D1553"/>
    <w:rPr>
      <w:color w:val="467886" w:themeColor="hyperlink"/>
      <w:u w:val="single"/>
    </w:rPr>
  </w:style>
  <w:style w:type="character" w:styleId="UnresolvedMention">
    <w:name w:val="Unresolved Mention"/>
    <w:basedOn w:val="DefaultParagraphFont"/>
    <w:uiPriority w:val="99"/>
    <w:semiHidden/>
    <w:unhideWhenUsed/>
    <w:rsid w:val="009D15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x.doi.org/10.2139/ssrn.4641922" TargetMode="External"/><Relationship Id="rId5" Type="http://schemas.openxmlformats.org/officeDocument/2006/relationships/hyperlink" Target="https://ssrn.com/abstract=464192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5250</TotalTime>
  <Pages>3</Pages>
  <Words>1231</Words>
  <Characters>7018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Barrie Chileen</dc:creator>
  <cp:keywords/>
  <dc:description/>
  <cp:lastModifiedBy>Barrie Chileen</cp:lastModifiedBy>
  <cp:revision>8</cp:revision>
  <dcterms:created xsi:type="dcterms:W3CDTF">2025-11-01T16:27:00Z</dcterms:created>
  <dcterms:modified xsi:type="dcterms:W3CDTF">2025-11-25T03:59:00Z</dcterms:modified>
</cp:coreProperties>
</file>