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2410C"/>
          <w:spacing w:val="60"/>
          <w:sz w:val="18"/>
          <w:szCs w:val="18"/>
        </w:rPr>
        <w:t xml:space="preserve">NZIAT PROPOSED OPERATING MODEL</w:t>
      </w:r>
    </w:p>
    <w:p>
      <w:pPr>
        <w:spacing w:after="100"/>
      </w:pPr>
      <w:r>
        <w:rPr>
          <w:b/>
          <w:bCs/>
          <w:color w:val="053B4A"/>
          <w:sz w:val="40"/>
          <w:szCs w:val="40"/>
        </w:rPr>
        <w:t xml:space="preserve">Supporting Information: proposed wording changes</w:t>
      </w:r>
    </w:p>
    <w:p>
      <w:pPr>
        <w:pBdr>
          <w:bottom w:val="single" w:color="C2410C" w:sz="12" w:space="8"/>
        </w:pBdr>
        <w:spacing w:after="240"/>
      </w:pPr>
      <w:r>
        <w:rPr>
          <w:i/>
          <w:iCs/>
          <w:color w:val="5D6E85"/>
          <w:sz w:val="20"/>
          <w:szCs w:val="20"/>
        </w:rPr>
        <w:t xml:space="preserve">Current wording shown against suggested wording, page by page. Prepared for Board review.</w:t>
      </w:r>
    </w:p>
    <w:p>
      <w:pPr>
        <w:spacing w:after="100" w:line="264"/>
      </w:pPr>
      <w:r>
        <w:rPr>
          <w:rFonts w:ascii="Calibri" w:cs="Calibri" w:eastAsia="Calibri" w:hAnsi="Calibri"/>
          <w:b/>
          <w:bCs/>
          <w:color w:val="053B4A"/>
          <w:sz w:val="24"/>
          <w:szCs w:val="24"/>
        </w:rPr>
        <w:t xml:space="preserve">How to use this document</w:t>
      </w:r>
    </w:p>
    <w:p>
      <w:pPr>
        <w:spacing w:after="100" w:line="264"/>
      </w:pPr>
      <w:r>
        <w:rPr>
          <w:rFonts w:ascii="Calibri" w:cs="Calibri" w:eastAsia="Calibri" w:hAnsi="Calibri"/>
          <w:sz w:val="19"/>
          <w:szCs w:val="19"/>
        </w:rPr>
        <w:t xml:space="preserve">Each table covers one page in the Supporting Information group of the left-hand navigation. Rows marked MUST FIX are factual inconsistencies or unfinished content that a Board reader would notice; everything else is a readability or tone improvement. Nothing here changes the substance of the operating model.</w:t>
      </w:r>
    </w:p>
    <w:p>
      <w:pPr>
        <w:spacing w:after="60" w:line="264"/>
      </w:pPr>
      <w:r>
        <w:rPr>
          <w:rFonts w:ascii="Calibri" w:cs="Calibri" w:eastAsia="Calibri" w:hAnsi="Calibri"/>
          <w:b/>
          <w:bCs/>
          <w:sz w:val="19"/>
          <w:szCs w:val="19"/>
        </w:rPr>
        <w:t xml:space="preserve">Five items should be treated as blocking:</w:t>
      </w:r>
    </w:p>
    <w:p>
      <w:pPr>
        <w:spacing w:after="30" w:line="264"/>
      </w:pPr>
      <w:r>
        <w:rPr>
          <w:rFonts w:ascii="Calibri" w:cs="Calibri" w:eastAsia="Calibri" w:hAnsi="Calibri"/>
          <w:sz w:val="19"/>
          <w:szCs w:val="19"/>
        </w:rPr>
        <w:t xml:space="preserve">1.  Missions page still shows an unwritten Mission 4 placeholder card.</w:t>
      </w:r>
    </w:p>
    <w:p>
      <w:pPr>
        <w:spacing w:after="30" w:line="264"/>
      </w:pPr>
      <w:r>
        <w:rPr>
          <w:rFonts w:ascii="Calibri" w:cs="Calibri" w:eastAsia="Calibri" w:hAnsi="Calibri"/>
          <w:sz w:val="19"/>
          <w:szCs w:val="19"/>
        </w:rPr>
        <w:t xml:space="preserve">2.  The site states three missions in some places and four in others.</w:t>
      </w:r>
    </w:p>
    <w:p>
      <w:pPr>
        <w:spacing w:after="30" w:line="264"/>
      </w:pPr>
      <w:r>
        <w:rPr>
          <w:rFonts w:ascii="Calibri" w:cs="Calibri" w:eastAsia="Calibri" w:hAnsi="Calibri"/>
          <w:sz w:val="19"/>
          <w:szCs w:val="19"/>
        </w:rPr>
        <w:t xml:space="preserve">3.  Two different vision statements appear, on Vision and on Strategy.</w:t>
      </w:r>
    </w:p>
    <w:p>
      <w:pPr>
        <w:spacing w:after="30" w:line="264"/>
      </w:pPr>
      <w:r>
        <w:rPr>
          <w:rFonts w:ascii="Calibri" w:cs="Calibri" w:eastAsia="Calibri" w:hAnsi="Calibri"/>
          <w:sz w:val="19"/>
          <w:szCs w:val="19"/>
        </w:rPr>
        <w:t xml:space="preserve">4.  Overview attributes the $500k / $5m delegations to the CEO and Board; the Investment Operating Framework attributes them to Mission Directors and the Investment Committee.</w:t>
      </w:r>
    </w:p>
    <w:p>
      <w:pPr>
        <w:spacing w:after="0" w:line="264"/>
      </w:pPr>
      <w:r>
        <w:rPr>
          <w:rFonts w:ascii="Calibri" w:cs="Calibri" w:eastAsia="Calibri" w:hAnsi="Calibri"/>
          <w:sz w:val="19"/>
          <w:szCs w:val="19"/>
        </w:rPr>
        <w:t xml:space="preserve">5.  Capital refers to an "80/20 split" that is never defined anywhere on the site.</w:t>
      </w:r>
    </w:p>
    <w:p>
      <w:pPr>
        <w:spacing w:after="60" w:before="340"/>
      </w:pPr>
      <w:r>
        <w:rPr>
          <w:rFonts w:ascii="Calibri" w:cs="Calibri" w:eastAsia="Calibri" w:hAnsi="Calibri"/>
          <w:b/>
          <w:bCs/>
          <w:color w:val="053B4A"/>
          <w:sz w:val="28"/>
          <w:szCs w:val="28"/>
        </w:rPr>
        <w:t xml:space="preserve">1.  Overview</w:t>
      </w:r>
    </w:p>
    <w:p>
      <w:pPr>
        <w:pBdr>
          <w:bottom w:val="single" w:color="C2410C" w:sz="10" w:space="6"/>
        </w:pBdr>
        <w:spacing w:after="160"/>
      </w:pPr>
      <w:r>
        <w:rPr>
          <w:rFonts w:ascii="Calibri" w:cs="Calibri" w:eastAsia="Calibri" w:hAnsi="Calibri"/>
          <w:i/>
          <w:iCs/>
          <w:color w:val="5D6E85"/>
          <w:sz w:val="18"/>
          <w:szCs w:val="18"/>
        </w:rPr>
        <w:t xml:space="preserve">Route: #/  —  the page a Board member is most likely to open first.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350"/>
        <w:gridCol w:w="5750"/>
        <w:gridCol w:w="5858"/>
      </w:tblGrid>
      <w:tr>
        <w:trPr>
          <w:tblHeader/>
        </w:trPr>
        <w:tc>
          <w:tcPr>
            <w:tcW w:type="dxa" w:w="2350"/>
            <w:shd w:fill="053B4A" w:color="auto" w:val="clear"/>
            <w:tcMar>
              <w:top w:type="dxa" w:w="120"/>
              <w:left w:type="dxa" w:w="140"/>
              <w:bottom w:type="dxa" w:w="120"/>
              <w:right w:type="dxa" w:w="140"/>
            </w:tcMar>
          </w:tcPr>
          <w:p>
            <w:pPr>
              <w:spacing w:after="0" w:line="264"/>
            </w:pPr>
            <w:r>
              <w:rPr>
                <w:rFonts w:ascii="Calibri" w:cs="Calibri" w:eastAsia="Calibri" w:hAnsi="Calibri"/>
                <w:b/>
                <w:bCs/>
                <w:color w:val="FFFFFF"/>
                <w:sz w:val="19"/>
                <w:szCs w:val="19"/>
              </w:rPr>
              <w:t xml:space="preserve">Location on page</w:t>
            </w:r>
          </w:p>
        </w:tc>
        <w:tc>
          <w:tcPr>
            <w:tcW w:type="dxa" w:w="5750"/>
            <w:shd w:fill="053B4A" w:color="auto" w:val="clear"/>
            <w:tcMar>
              <w:top w:type="dxa" w:w="120"/>
              <w:left w:type="dxa" w:w="140"/>
              <w:bottom w:type="dxa" w:w="120"/>
              <w:right w:type="dxa" w:w="140"/>
            </w:tcMar>
          </w:tcPr>
          <w:p>
            <w:pPr>
              <w:spacing w:after="0" w:line="264"/>
            </w:pPr>
            <w:r>
              <w:rPr>
                <w:rFonts w:ascii="Calibri" w:cs="Calibri" w:eastAsia="Calibri" w:hAnsi="Calibri"/>
                <w:b/>
                <w:bCs/>
                <w:color w:val="FFFFFF"/>
                <w:sz w:val="19"/>
                <w:szCs w:val="19"/>
              </w:rPr>
              <w:t xml:space="preserve">Current wording</w:t>
            </w:r>
          </w:p>
        </w:tc>
        <w:tc>
          <w:tcPr>
            <w:tcW w:type="dxa" w:w="5858"/>
            <w:shd w:fill="053B4A" w:color="auto" w:val="clear"/>
            <w:tcMar>
              <w:top w:type="dxa" w:w="120"/>
              <w:left w:type="dxa" w:w="140"/>
              <w:bottom w:type="dxa" w:w="120"/>
              <w:right w:type="dxa" w:w="140"/>
            </w:tcMar>
          </w:tcPr>
          <w:p>
            <w:pPr>
              <w:spacing w:after="0" w:line="264"/>
            </w:pPr>
            <w:r>
              <w:rPr>
                <w:rFonts w:ascii="Calibri" w:cs="Calibri" w:eastAsia="Calibri" w:hAnsi="Calibri"/>
                <w:b/>
                <w:bCs/>
                <w:color w:val="FFFFFF"/>
                <w:sz w:val="19"/>
                <w:szCs w:val="19"/>
              </w:rPr>
              <w:t xml:space="preserve">Suggested wording</w:t>
            </w:r>
          </w:p>
        </w:tc>
      </w:tr>
      <w:tr>
        <w:trPr>
          <w:cantSplit w:val="false"/>
        </w:trPr>
        <w:tc>
          <w:tcPr>
            <w:tcW w:type="dxa" w:w="2350"/>
            <w:tcMar>
              <w:top w:type="dxa" w:w="120"/>
              <w:left w:type="dxa" w:w="140"/>
              <w:bottom w:type="dxa" w:w="120"/>
              <w:right w:type="dxa" w:w="140"/>
            </w:tcMar>
          </w:tcPr>
          <w:p>
            <w:pPr>
              <w:spacing w:after="0" w:line="264"/>
            </w:pPr>
            <w:r>
              <w:rPr>
                <w:rFonts w:ascii="Calibri" w:cs="Calibri" w:eastAsia="Calibri" w:hAnsi="Calibri"/>
                <w:b/>
                <w:bCs/>
                <w:color w:val="053B4A"/>
                <w:sz w:val="19"/>
                <w:szCs w:val="19"/>
              </w:rPr>
              <w:t xml:space="preserve">Hero paragraph</w:t>
            </w:r>
          </w:p>
        </w:tc>
        <w:tc>
          <w:tcPr>
            <w:tcW w:type="dxa" w:w="5750"/>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NZIAT should make disciplined choices about the future New Zealand helps create. Its task is to connect frontier science, capital, industry, government and global partners, then convert that combined capability into firms, intellectual property, talent, resilience, exports and enduring national value.</w:t>
            </w:r>
          </w:p>
        </w:tc>
        <w:tc>
          <w:tcPr>
            <w:tcW w:type="dxa" w:w="5858"/>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NZIAT should make disciplined choices about the future New Zealand helps create.</w:t>
            </w:r>
          </w:p>
          <w:p>
            <w:pPr>
              <w:spacing w:after="80" w:line="264"/>
            </w:pPr>
            <w:r>
              <w:rPr>
                <w:rFonts w:ascii="Calibri" w:cs="Calibri" w:eastAsia="Calibri" w:hAnsi="Calibri"/>
                <w:color w:val="053B4A"/>
                <w:sz w:val="19"/>
                <w:szCs w:val="19"/>
              </w:rPr>
              <w:t xml:space="preserve">Its task is to connect frontier science, capital, industry, government and global partners, and to convert that combined capability into lasting national value: firms, intellectual property, talent, resilience and exports.</w:t>
            </w:r>
          </w:p>
          <w:p>
            <w:pPr>
              <w:spacing w:after="0" w:line="264"/>
            </w:pPr>
            <w:r>
              <w:rPr>
                <w:rFonts w:ascii="Calibri" w:cs="Calibri" w:eastAsia="Calibri" w:hAnsi="Calibri"/>
                <w:i/>
                <w:iCs/>
                <w:color w:val="5D6E85"/>
                <w:sz w:val="17"/>
                <w:szCs w:val="17"/>
              </w:rPr>
              <w:t xml:space="preserve">Why: The second sentence runs to 38 words and ends in a seven-item list. Splitting it, and naming the outcome before the list, gives the Board a landing point while you speak.</w:t>
            </w:r>
          </w:p>
        </w:tc>
      </w:tr>
      <w:tr>
        <w:trPr>
          <w:cantSplit w:val="false"/>
        </w:trPr>
        <w:tc>
          <w:tcPr>
            <w:tcW w:type="dxa" w:w="2350"/>
            <w:shd w:fill="FFF1E8" w:color="auto" w:val="clear"/>
            <w:tcMar>
              <w:top w:type="dxa" w:w="120"/>
              <w:left w:type="dxa" w:w="140"/>
              <w:bottom w:type="dxa" w:w="120"/>
              <w:right w:type="dxa" w:w="140"/>
            </w:tcMar>
          </w:tcPr>
          <w:p>
            <w:pPr>
              <w:spacing w:after="40" w:line="264"/>
            </w:pPr>
            <w:r>
              <w:rPr>
                <w:rFonts w:ascii="Calibri" w:cs="Calibri" w:eastAsia="Calibri" w:hAnsi="Calibri"/>
                <w:b/>
                <w:bCs/>
                <w:color w:val="053B4A"/>
                <w:sz w:val="19"/>
                <w:szCs w:val="19"/>
              </w:rPr>
              <w:t xml:space="preserve">Key figures tile (2 of 4)</w:t>
            </w:r>
          </w:p>
          <w:p>
            <w:pPr>
              <w:spacing w:after="0" w:line="264"/>
            </w:pPr>
            <w:r>
              <w:rPr>
                <w:rFonts w:ascii="Calibri" w:cs="Calibri" w:eastAsia="Calibri" w:hAnsi="Calibri"/>
                <w:b/>
                <w:bCs/>
                <w:color w:val="C2410C"/>
                <w:sz w:val="15"/>
                <w:szCs w:val="15"/>
              </w:rPr>
              <w:t xml:space="preserve">MUST FIX</w:t>
            </w:r>
          </w:p>
        </w:tc>
        <w:tc>
          <w:tcPr>
            <w:tcW w:type="dxa" w:w="5750"/>
            <w:shd w:fill="FFF1E8" w:color="auto" w:val="clear"/>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4
Mission hypotheses to test, not a pre-selected portfolio</w:t>
            </w:r>
          </w:p>
        </w:tc>
        <w:tc>
          <w:tcPr>
            <w:tcW w:type="dxa" w:w="5858"/>
            <w:shd w:fill="FFF1E8" w:color="auto" w:val="clear"/>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3</w:t>
            </w:r>
          </w:p>
          <w:p>
            <w:pPr>
              <w:spacing w:after="80" w:line="264"/>
            </w:pPr>
            <w:r>
              <w:rPr>
                <w:rFonts w:ascii="Calibri" w:cs="Calibri" w:eastAsia="Calibri" w:hAnsi="Calibri"/>
                <w:color w:val="053B4A"/>
                <w:sz w:val="19"/>
                <w:szCs w:val="19"/>
              </w:rPr>
              <w:t xml:space="preserve">Mission hypotheses to test, not a pre-selected portfolio</w:t>
            </w:r>
          </w:p>
          <w:p>
            <w:pPr>
              <w:spacing w:after="0" w:line="264"/>
            </w:pPr>
            <w:r>
              <w:rPr>
                <w:rFonts w:ascii="Calibri" w:cs="Calibri" w:eastAsia="Calibri" w:hAnsi="Calibri"/>
                <w:i/>
                <w:iCs/>
                <w:color w:val="5D6E85"/>
                <w:sz w:val="17"/>
                <w:szCs w:val="17"/>
              </w:rPr>
              <w:t xml:space="preserve">Why: The Vision page shows three missions. This tile, the Strategy page and the Evidence page all say four. Pick one number and use it everywhere.</w:t>
            </w:r>
          </w:p>
        </w:tc>
      </w:tr>
      <w:tr>
        <w:trPr>
          <w:cantSplit w:val="false"/>
        </w:trPr>
        <w:tc>
          <w:tcPr>
            <w:tcW w:type="dxa" w:w="2350"/>
            <w:tcMar>
              <w:top w:type="dxa" w:w="120"/>
              <w:left w:type="dxa" w:w="140"/>
              <w:bottom w:type="dxa" w:w="120"/>
              <w:right w:type="dxa" w:w="140"/>
            </w:tcMar>
          </w:tcPr>
          <w:p>
            <w:pPr>
              <w:spacing w:after="0" w:line="264"/>
            </w:pPr>
            <w:r>
              <w:rPr>
                <w:rFonts w:ascii="Calibri" w:cs="Calibri" w:eastAsia="Calibri" w:hAnsi="Calibri"/>
                <w:b/>
                <w:bCs/>
                <w:color w:val="053B4A"/>
                <w:sz w:val="19"/>
                <w:szCs w:val="19"/>
              </w:rPr>
              <w:t xml:space="preserve">Key figures tile (3 of 4)</w:t>
            </w:r>
          </w:p>
        </w:tc>
        <w:tc>
          <w:tcPr>
            <w:tcW w:type="dxa" w:w="5750"/>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100 days
To establish mandate, inherited baseline and decision system</w:t>
            </w:r>
          </w:p>
        </w:tc>
        <w:tc>
          <w:tcPr>
            <w:tcW w:type="dxa" w:w="5858"/>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100 days</w:t>
            </w:r>
          </w:p>
          <w:p>
            <w:pPr>
              <w:spacing w:after="80" w:line="264"/>
            </w:pPr>
            <w:r>
              <w:rPr>
                <w:rFonts w:ascii="Calibri" w:cs="Calibri" w:eastAsia="Calibri" w:hAnsi="Calibri"/>
                <w:color w:val="053B4A"/>
                <w:sz w:val="19"/>
                <w:szCs w:val="19"/>
              </w:rPr>
              <w:t xml:space="preserve">To establish the mandate, the inherited baseline and the decision system</w:t>
            </w:r>
          </w:p>
          <w:p>
            <w:pPr>
              <w:spacing w:after="0" w:line="264"/>
            </w:pPr>
            <w:r>
              <w:rPr>
                <w:rFonts w:ascii="Calibri" w:cs="Calibri" w:eastAsia="Calibri" w:hAnsi="Calibri"/>
                <w:i/>
                <w:iCs/>
                <w:color w:val="5D6E85"/>
                <w:sz w:val="17"/>
                <w:szCs w:val="17"/>
              </w:rPr>
              <w:t xml:space="preserve">Why: Adding the articles matches the phrasing now used on the First 100 Days page, so the two read as one voice.</w:t>
            </w:r>
          </w:p>
        </w:tc>
      </w:tr>
      <w:tr>
        <w:trPr>
          <w:cantSplit w:val="false"/>
        </w:trPr>
        <w:tc>
          <w:tcPr>
            <w:tcW w:type="dxa" w:w="2350"/>
            <w:shd w:fill="F7F6F3" w:color="auto" w:val="clear"/>
            <w:tcMar>
              <w:top w:type="dxa" w:w="120"/>
              <w:left w:type="dxa" w:w="140"/>
              <w:bottom w:type="dxa" w:w="120"/>
              <w:right w:type="dxa" w:w="140"/>
            </w:tcMar>
          </w:tcPr>
          <w:p>
            <w:pPr>
              <w:spacing w:after="0" w:line="264"/>
            </w:pPr>
            <w:r>
              <w:rPr>
                <w:rFonts w:ascii="Calibri" w:cs="Calibri" w:eastAsia="Calibri" w:hAnsi="Calibri"/>
                <w:b/>
                <w:bCs/>
                <w:color w:val="053B4A"/>
                <w:sz w:val="19"/>
                <w:szCs w:val="19"/>
              </w:rPr>
              <w:t xml:space="preserve">What this model is designed to prevent (bullet 5)</w:t>
            </w:r>
          </w:p>
        </w:tc>
        <w:tc>
          <w:tcPr>
            <w:tcW w:type="dxa" w:w="5750"/>
            <w:shd w:fill="F7F6F3" w:color="auto" w:val="clear"/>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The CEO becoming a bottleneck or pretending to be the deepest expert in every room.</w:t>
            </w:r>
          </w:p>
        </w:tc>
        <w:tc>
          <w:tcPr>
            <w:tcW w:type="dxa" w:w="5858"/>
            <w:shd w:fill="F7F6F3" w:color="auto" w:val="clear"/>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The CEO becoming a bottleneck, or trying to be the deepest expert in every room.</w:t>
            </w:r>
          </w:p>
          <w:p>
            <w:pPr>
              <w:spacing w:after="0" w:line="264"/>
            </w:pPr>
            <w:r>
              <w:rPr>
                <w:rFonts w:ascii="Calibri" w:cs="Calibri" w:eastAsia="Calibri" w:hAnsi="Calibri"/>
                <w:i/>
                <w:iCs/>
                <w:color w:val="5D6E85"/>
                <w:sz w:val="17"/>
                <w:szCs w:val="17"/>
              </w:rPr>
              <w:t xml:space="preserve">Why: "Pretending" implies bad faith. Since you are the candidate CEO, "trying" makes the same point about role discipline without the loaded word.</w:t>
            </w:r>
          </w:p>
        </w:tc>
      </w:tr>
      <w:tr>
        <w:trPr>
          <w:cantSplit w:val="false"/>
        </w:trPr>
        <w:tc>
          <w:tcPr>
            <w:tcW w:type="dxa" w:w="2350"/>
            <w:tcMar>
              <w:top w:type="dxa" w:w="120"/>
              <w:left w:type="dxa" w:w="140"/>
              <w:bottom w:type="dxa" w:w="120"/>
              <w:right w:type="dxa" w:w="140"/>
            </w:tcMar>
          </w:tcPr>
          <w:p>
            <w:pPr>
              <w:spacing w:after="0" w:line="264"/>
            </w:pPr>
            <w:r>
              <w:rPr>
                <w:rFonts w:ascii="Calibri" w:cs="Calibri" w:eastAsia="Calibri" w:hAnsi="Calibri"/>
                <w:b/>
                <w:bCs/>
                <w:color w:val="053B4A"/>
                <w:sz w:val="19"/>
                <w:szCs w:val="19"/>
              </w:rPr>
              <w:t xml:space="preserve">What this model is designed to prevent (bullet 6)</w:t>
            </w:r>
          </w:p>
        </w:tc>
        <w:tc>
          <w:tcPr>
            <w:tcW w:type="dxa" w:w="5750"/>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Public money taking early risk while nearly all later value migrates offshore without an explicit national rationale.</w:t>
            </w:r>
          </w:p>
        </w:tc>
        <w:tc>
          <w:tcPr>
            <w:tcW w:type="dxa" w:w="5858"/>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Public money taking the early risk while the later value migrates offshore by default.</w:t>
            </w:r>
          </w:p>
          <w:p>
            <w:pPr>
              <w:spacing w:after="0" w:line="264"/>
            </w:pPr>
            <w:r>
              <w:rPr>
                <w:rFonts w:ascii="Calibri" w:cs="Calibri" w:eastAsia="Calibri" w:hAnsi="Calibri"/>
                <w:i/>
                <w:iCs/>
                <w:color w:val="5D6E85"/>
                <w:sz w:val="17"/>
                <w:szCs w:val="17"/>
              </w:rPr>
              <w:t xml:space="preserve">Why: Cuts 17 words to 13 and keeps the sting. "By default" carries "without an explicit national rationale" in half the space.</w:t>
            </w:r>
          </w:p>
        </w:tc>
      </w:tr>
      <w:tr>
        <w:trPr>
          <w:cantSplit w:val="false"/>
        </w:trPr>
        <w:tc>
          <w:tcPr>
            <w:tcW w:type="dxa" w:w="2350"/>
            <w:shd w:fill="FFF1E8" w:color="auto" w:val="clear"/>
            <w:tcMar>
              <w:top w:type="dxa" w:w="120"/>
              <w:left w:type="dxa" w:w="140"/>
              <w:bottom w:type="dxa" w:w="120"/>
              <w:right w:type="dxa" w:w="140"/>
            </w:tcMar>
          </w:tcPr>
          <w:p>
            <w:pPr>
              <w:spacing w:after="40" w:line="264"/>
            </w:pPr>
            <w:r>
              <w:rPr>
                <w:rFonts w:ascii="Calibri" w:cs="Calibri" w:eastAsia="Calibri" w:hAnsi="Calibri"/>
                <w:b/>
                <w:bCs/>
                <w:color w:val="053B4A"/>
                <w:sz w:val="19"/>
                <w:szCs w:val="19"/>
              </w:rPr>
              <w:t xml:space="preserve">Matters requiring Board consideration (Q4)</w:t>
            </w:r>
          </w:p>
          <w:p>
            <w:pPr>
              <w:spacing w:after="0" w:line="264"/>
            </w:pPr>
            <w:r>
              <w:rPr>
                <w:rFonts w:ascii="Calibri" w:cs="Calibri" w:eastAsia="Calibri" w:hAnsi="Calibri"/>
                <w:b/>
                <w:bCs/>
                <w:color w:val="C2410C"/>
                <w:sz w:val="15"/>
                <w:szCs w:val="15"/>
              </w:rPr>
              <w:t xml:space="preserve">MUST FIX</w:t>
            </w:r>
          </w:p>
        </w:tc>
        <w:tc>
          <w:tcPr>
            <w:tcW w:type="dxa" w:w="5750"/>
            <w:shd w:fill="FFF1E8" w:color="auto" w:val="clear"/>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Are the CEO/Board delegations, $500k / $5m, set at the right level for a fund this size?</w:t>
            </w:r>
          </w:p>
        </w:tc>
        <w:tc>
          <w:tcPr>
            <w:tcW w:type="dxa" w:w="5858"/>
            <w:shd w:fill="FFF1E8" w:color="auto" w:val="clear"/>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Are the delegations, $500k to Mission Directors and $5m to the Investment Committee, set at the right level for a fund this size?</w:t>
            </w:r>
          </w:p>
          <w:p>
            <w:pPr>
              <w:spacing w:after="0" w:line="264"/>
            </w:pPr>
            <w:r>
              <w:rPr>
                <w:rFonts w:ascii="Calibri" w:cs="Calibri" w:eastAsia="Calibri" w:hAnsi="Calibri"/>
                <w:i/>
                <w:iCs/>
                <w:color w:val="5D6E85"/>
                <w:sz w:val="17"/>
                <w:szCs w:val="17"/>
              </w:rPr>
              <w:t xml:space="preserve">Why: The Investment Operating Framework assigns $500k to Mission Directors and $5m to the Investment Committee, not to the CEO and Board. As written the two pages contradict each other.</w:t>
            </w:r>
          </w:p>
        </w:tc>
      </w:tr>
      <w:tr>
        <w:trPr>
          <w:cantSplit w:val="false"/>
        </w:trPr>
        <w:tc>
          <w:tcPr>
            <w:tcW w:type="dxa" w:w="2350"/>
            <w:tcMar>
              <w:top w:type="dxa" w:w="120"/>
              <w:left w:type="dxa" w:w="140"/>
              <w:bottom w:type="dxa" w:w="120"/>
              <w:right w:type="dxa" w:w="140"/>
            </w:tcMar>
          </w:tcPr>
          <w:p>
            <w:pPr>
              <w:spacing w:after="0" w:line="264"/>
            </w:pPr>
            <w:r>
              <w:rPr>
                <w:rFonts w:ascii="Calibri" w:cs="Calibri" w:eastAsia="Calibri" w:hAnsi="Calibri"/>
                <w:b/>
                <w:bCs/>
                <w:color w:val="053B4A"/>
                <w:sz w:val="19"/>
                <w:szCs w:val="19"/>
              </w:rPr>
              <w:t xml:space="preserve">Closing principle</w:t>
            </w:r>
          </w:p>
        </w:tc>
        <w:tc>
          <w:tcPr>
            <w:tcW w:type="dxa" w:w="5750"/>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A consistent principle underpins the operating model. Each stage is designed to allow a negative decision where the evidence requires it: discovery may conclude that a proposal should not proceed, a proportion of early-stage investments are expected to fail, and missions with no stopped or reshaped programmes would be considered under-managed rather than well managed.</w:t>
            </w:r>
          </w:p>
        </w:tc>
        <w:tc>
          <w:tcPr>
            <w:tcW w:type="dxa" w:w="5858"/>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One principle underpins the whole model: every stage is designed to allow a "no" when the evidence requires it.</w:t>
            </w:r>
          </w:p>
          <w:p>
            <w:pPr>
              <w:spacing w:after="80" w:line="264"/>
            </w:pPr>
            <w:r>
              <w:rPr>
                <w:rFonts w:ascii="Calibri" w:cs="Calibri" w:eastAsia="Calibri" w:hAnsi="Calibri"/>
                <w:color w:val="053B4A"/>
                <w:sz w:val="19"/>
                <w:szCs w:val="19"/>
              </w:rPr>
              <w:t xml:space="preserve">Discovery may conclude that a proposal should not proceed. A share of early-stage investments is expected to fail. A mission with nothing stopped or reshaped is under-managed, not well managed.</w:t>
            </w:r>
          </w:p>
          <w:p>
            <w:pPr>
              <w:spacing w:after="0" w:line="264"/>
            </w:pPr>
            <w:r>
              <w:rPr>
                <w:rFonts w:ascii="Calibri" w:cs="Calibri" w:eastAsia="Calibri" w:hAnsi="Calibri"/>
                <w:i/>
                <w:iCs/>
                <w:color w:val="5D6E85"/>
                <w:sz w:val="17"/>
                <w:szCs w:val="17"/>
              </w:rPr>
              <w:t xml:space="preserve">Why: Three short declaratives land far better when read aloud than one 56-word sentence with a colon and three clauses.</w:t>
            </w:r>
          </w:p>
        </w:tc>
      </w:tr>
    </w:tbl>
    <w:p>
      <w:pPr>
        <w:spacing w:after="60" w:before="340"/>
      </w:pPr>
      <w:r>
        <w:rPr>
          <w:rFonts w:ascii="Calibri" w:cs="Calibri" w:eastAsia="Calibri" w:hAnsi="Calibri"/>
          <w:b/>
          <w:bCs/>
          <w:color w:val="053B4A"/>
          <w:sz w:val="28"/>
          <w:szCs w:val="28"/>
        </w:rPr>
        <w:t xml:space="preserve">2.  Strategy</w:t>
      </w:r>
    </w:p>
    <w:p>
      <w:pPr>
        <w:pBdr>
          <w:bottom w:val="single" w:color="C2410C" w:sz="10" w:space="6"/>
        </w:pBdr>
        <w:spacing w:after="160"/>
      </w:pPr>
      <w:r>
        <w:rPr>
          <w:rFonts w:ascii="Calibri" w:cs="Calibri" w:eastAsia="Calibri" w:hAnsi="Calibri"/>
          <w:i/>
          <w:iCs/>
          <w:color w:val="5D6E85"/>
          <w:sz w:val="18"/>
          <w:szCs w:val="18"/>
        </w:rPr>
        <w:t xml:space="preserve">Route: #/s/strategy</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350"/>
        <w:gridCol w:w="5750"/>
        <w:gridCol w:w="5858"/>
      </w:tblGrid>
      <w:tr>
        <w:trPr>
          <w:tblHeader/>
        </w:trPr>
        <w:tc>
          <w:tcPr>
            <w:tcW w:type="dxa" w:w="2350"/>
            <w:shd w:fill="053B4A" w:color="auto" w:val="clear"/>
            <w:tcMar>
              <w:top w:type="dxa" w:w="120"/>
              <w:left w:type="dxa" w:w="140"/>
              <w:bottom w:type="dxa" w:w="120"/>
              <w:right w:type="dxa" w:w="140"/>
            </w:tcMar>
          </w:tcPr>
          <w:p>
            <w:pPr>
              <w:spacing w:after="0" w:line="264"/>
            </w:pPr>
            <w:r>
              <w:rPr>
                <w:rFonts w:ascii="Calibri" w:cs="Calibri" w:eastAsia="Calibri" w:hAnsi="Calibri"/>
                <w:b/>
                <w:bCs/>
                <w:color w:val="FFFFFF"/>
                <w:sz w:val="19"/>
                <w:szCs w:val="19"/>
              </w:rPr>
              <w:t xml:space="preserve">Location on page</w:t>
            </w:r>
          </w:p>
        </w:tc>
        <w:tc>
          <w:tcPr>
            <w:tcW w:type="dxa" w:w="5750"/>
            <w:shd w:fill="053B4A" w:color="auto" w:val="clear"/>
            <w:tcMar>
              <w:top w:type="dxa" w:w="120"/>
              <w:left w:type="dxa" w:w="140"/>
              <w:bottom w:type="dxa" w:w="120"/>
              <w:right w:type="dxa" w:w="140"/>
            </w:tcMar>
          </w:tcPr>
          <w:p>
            <w:pPr>
              <w:spacing w:after="0" w:line="264"/>
            </w:pPr>
            <w:r>
              <w:rPr>
                <w:rFonts w:ascii="Calibri" w:cs="Calibri" w:eastAsia="Calibri" w:hAnsi="Calibri"/>
                <w:b/>
                <w:bCs/>
                <w:color w:val="FFFFFF"/>
                <w:sz w:val="19"/>
                <w:szCs w:val="19"/>
              </w:rPr>
              <w:t xml:space="preserve">Current wording</w:t>
            </w:r>
          </w:p>
        </w:tc>
        <w:tc>
          <w:tcPr>
            <w:tcW w:type="dxa" w:w="5858"/>
            <w:shd w:fill="053B4A" w:color="auto" w:val="clear"/>
            <w:tcMar>
              <w:top w:type="dxa" w:w="120"/>
              <w:left w:type="dxa" w:w="140"/>
              <w:bottom w:type="dxa" w:w="120"/>
              <w:right w:type="dxa" w:w="140"/>
            </w:tcMar>
          </w:tcPr>
          <w:p>
            <w:pPr>
              <w:spacing w:after="0" w:line="264"/>
            </w:pPr>
            <w:r>
              <w:rPr>
                <w:rFonts w:ascii="Calibri" w:cs="Calibri" w:eastAsia="Calibri" w:hAnsi="Calibri"/>
                <w:b/>
                <w:bCs/>
                <w:color w:val="FFFFFF"/>
                <w:sz w:val="19"/>
                <w:szCs w:val="19"/>
              </w:rPr>
              <w:t xml:space="preserve">Suggested wording</w:t>
            </w:r>
          </w:p>
        </w:tc>
      </w:tr>
      <w:tr>
        <w:trPr>
          <w:cantSplit w:val="false"/>
        </w:trPr>
        <w:tc>
          <w:tcPr>
            <w:tcW w:type="dxa" w:w="2350"/>
            <w:shd w:fill="FFF1E8" w:color="auto" w:val="clear"/>
            <w:tcMar>
              <w:top w:type="dxa" w:w="120"/>
              <w:left w:type="dxa" w:w="140"/>
              <w:bottom w:type="dxa" w:w="120"/>
              <w:right w:type="dxa" w:w="140"/>
            </w:tcMar>
          </w:tcPr>
          <w:p>
            <w:pPr>
              <w:spacing w:after="40" w:line="264"/>
            </w:pPr>
            <w:r>
              <w:rPr>
                <w:rFonts w:ascii="Calibri" w:cs="Calibri" w:eastAsia="Calibri" w:hAnsi="Calibri"/>
                <w:b/>
                <w:bCs/>
                <w:color w:val="053B4A"/>
                <w:sz w:val="19"/>
                <w:szCs w:val="19"/>
              </w:rPr>
              <w:t xml:space="preserve">Vision statement</w:t>
            </w:r>
          </w:p>
          <w:p>
            <w:pPr>
              <w:spacing w:after="0" w:line="264"/>
            </w:pPr>
            <w:r>
              <w:rPr>
                <w:rFonts w:ascii="Calibri" w:cs="Calibri" w:eastAsia="Calibri" w:hAnsi="Calibri"/>
                <w:b/>
                <w:bCs/>
                <w:color w:val="C2410C"/>
                <w:sz w:val="15"/>
                <w:szCs w:val="15"/>
              </w:rPr>
              <w:t xml:space="preserve">MUST FIX</w:t>
            </w:r>
          </w:p>
        </w:tc>
        <w:tc>
          <w:tcPr>
            <w:tcW w:type="dxa" w:w="5750"/>
            <w:shd w:fill="FFF1E8" w:color="auto" w:val="clear"/>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Vision. Place bets on the unknown with discipline; rekindle New Zealand’s adventurous spirit; and build the groundwork on which the world’s boldest future breakthroughs can stand.</w:t>
            </w:r>
          </w:p>
        </w:tc>
        <w:tc>
          <w:tcPr>
            <w:tcW w:type="dxa" w:w="5858"/>
            <w:shd w:fill="FFF1E8" w:color="auto" w:val="clear"/>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Vision. Secure New Zealand’s place on the new economic frontier through a small number of ambitious missions. (See Vision.)</w:t>
            </w:r>
          </w:p>
          <w:p>
            <w:pPr>
              <w:spacing w:after="0" w:line="264"/>
            </w:pPr>
            <w:r>
              <w:rPr>
                <w:rFonts w:ascii="Calibri" w:cs="Calibri" w:eastAsia="Calibri" w:hAnsi="Calibri"/>
                <w:i/>
                <w:iCs/>
                <w:color w:val="5D6E85"/>
                <w:sz w:val="17"/>
                <w:szCs w:val="17"/>
              </w:rPr>
              <w:t xml:space="preserve">Why: This is a second, different vision statement from the one on the Vision page. A Board reading both will ask which is the real one. Keep one, and let the other point to it.</w:t>
            </w:r>
          </w:p>
        </w:tc>
      </w:tr>
      <w:tr>
        <w:trPr>
          <w:cantSplit w:val="false"/>
        </w:trPr>
        <w:tc>
          <w:tcPr>
            <w:tcW w:type="dxa" w:w="2350"/>
            <w:shd w:fill="FFF1E8" w:color="auto" w:val="clear"/>
            <w:tcMar>
              <w:top w:type="dxa" w:w="120"/>
              <w:left w:type="dxa" w:w="140"/>
              <w:bottom w:type="dxa" w:w="120"/>
              <w:right w:type="dxa" w:w="140"/>
            </w:tcMar>
          </w:tcPr>
          <w:p>
            <w:pPr>
              <w:spacing w:after="40" w:line="264"/>
            </w:pPr>
            <w:r>
              <w:rPr>
                <w:rFonts w:ascii="Calibri" w:cs="Calibri" w:eastAsia="Calibri" w:hAnsi="Calibri"/>
                <w:b/>
                <w:bCs/>
                <w:color w:val="053B4A"/>
                <w:sz w:val="19"/>
                <w:szCs w:val="19"/>
              </w:rPr>
              <w:t xml:space="preserve">Link below the ecosystem paragraphs</w:t>
            </w:r>
          </w:p>
          <w:p>
            <w:pPr>
              <w:spacing w:after="0" w:line="264"/>
            </w:pPr>
            <w:r>
              <w:rPr>
                <w:rFonts w:ascii="Calibri" w:cs="Calibri" w:eastAsia="Calibri" w:hAnsi="Calibri"/>
                <w:b/>
                <w:bCs/>
                <w:color w:val="C2410C"/>
                <w:sz w:val="15"/>
                <w:szCs w:val="15"/>
              </w:rPr>
              <w:t xml:space="preserve">MUST FIX</w:t>
            </w:r>
          </w:p>
        </w:tc>
        <w:tc>
          <w:tcPr>
            <w:tcW w:type="dxa" w:w="5750"/>
            <w:shd w:fill="FFF1E8" w:color="auto" w:val="clear"/>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See the four mission hypotheses this thinking would test →</w:t>
            </w:r>
          </w:p>
        </w:tc>
        <w:tc>
          <w:tcPr>
            <w:tcW w:type="dxa" w:w="5858"/>
            <w:shd w:fill="FFF1E8" w:color="auto" w:val="clear"/>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See the mission hypotheses this thinking would test →</w:t>
            </w:r>
          </w:p>
          <w:p>
            <w:pPr>
              <w:spacing w:after="0" w:line="264"/>
            </w:pPr>
            <w:r>
              <w:rPr>
                <w:rFonts w:ascii="Calibri" w:cs="Calibri" w:eastAsia="Calibri" w:hAnsi="Calibri"/>
                <w:i/>
                <w:iCs/>
                <w:color w:val="5D6E85"/>
                <w:sz w:val="17"/>
                <w:szCs w:val="17"/>
              </w:rPr>
              <w:t xml:space="preserve">Why: Dropping the number removes one more place to keep in sync if the portfolio changes.</w:t>
            </w:r>
          </w:p>
        </w:tc>
      </w:tr>
      <w:tr>
        <w:trPr>
          <w:cantSplit w:val="false"/>
        </w:trPr>
        <w:tc>
          <w:tcPr>
            <w:tcW w:type="dxa" w:w="2350"/>
            <w:tcMar>
              <w:top w:type="dxa" w:w="120"/>
              <w:left w:type="dxa" w:w="140"/>
              <w:bottom w:type="dxa" w:w="120"/>
              <w:right w:type="dxa" w:w="140"/>
            </w:tcMar>
          </w:tcPr>
          <w:p>
            <w:pPr>
              <w:spacing w:after="0" w:line="264"/>
            </w:pPr>
            <w:r>
              <w:rPr>
                <w:rFonts w:ascii="Calibri" w:cs="Calibri" w:eastAsia="Calibri" w:hAnsi="Calibri"/>
                <w:b/>
                <w:bCs/>
                <w:color w:val="053B4A"/>
                <w:sz w:val="19"/>
                <w:szCs w:val="19"/>
              </w:rPr>
              <w:t xml:space="preserve">Opening position statement</w:t>
            </w:r>
          </w:p>
        </w:tc>
        <w:tc>
          <w:tcPr>
            <w:tcW w:type="dxa" w:w="5750"/>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NZIAT should be selective enough to matter, disciplined enough to be trusted, and connected enough to convert.</w:t>
            </w:r>
          </w:p>
        </w:tc>
        <w:tc>
          <w:tcPr>
            <w:tcW w:type="dxa" w:w="5858"/>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NZIAT should be selective enough to matter, disciplined enough to be trusted, and connected enough to convert.</w:t>
            </w:r>
          </w:p>
          <w:p>
            <w:pPr>
              <w:spacing w:after="0" w:line="264"/>
            </w:pPr>
            <w:r>
              <w:rPr>
                <w:rFonts w:ascii="Calibri" w:cs="Calibri" w:eastAsia="Calibri" w:hAnsi="Calibri"/>
                <w:i/>
                <w:iCs/>
                <w:color w:val="5D6E85"/>
                <w:sz w:val="17"/>
                <w:szCs w:val="17"/>
              </w:rPr>
              <w:t xml:space="preserve">Why: No change. This is the strongest single line in the supporting material. Consider giving it more visual prominence rather than editing it.</w:t>
            </w:r>
          </w:p>
        </w:tc>
      </w:tr>
      <w:tr>
        <w:trPr>
          <w:cantSplit w:val="false"/>
        </w:trPr>
        <w:tc>
          <w:tcPr>
            <w:tcW w:type="dxa" w:w="2350"/>
            <w:shd w:fill="F7F6F3" w:color="auto" w:val="clear"/>
            <w:tcMar>
              <w:top w:type="dxa" w:w="120"/>
              <w:left w:type="dxa" w:w="140"/>
              <w:bottom w:type="dxa" w:w="120"/>
              <w:right w:type="dxa" w:w="140"/>
            </w:tcMar>
          </w:tcPr>
          <w:p>
            <w:pPr>
              <w:spacing w:after="0" w:line="264"/>
            </w:pPr>
            <w:r>
              <w:rPr>
                <w:rFonts w:ascii="Calibri" w:cs="Calibri" w:eastAsia="Calibri" w:hAnsi="Calibri"/>
                <w:b/>
                <w:bCs/>
                <w:color w:val="053B4A"/>
                <w:sz w:val="19"/>
                <w:szCs w:val="19"/>
              </w:rPr>
              <w:t xml:space="preserve">Mission ecosystem effect</w:t>
            </w:r>
          </w:p>
        </w:tc>
        <w:tc>
          <w:tcPr>
            <w:tcW w:type="dxa" w:w="5750"/>
            <w:shd w:fill="F7F6F3" w:color="auto" w:val="clear"/>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A mission does more than fund research. It creates a visible national focal point that can inspire young researchers, attract international collaborators, engage the public, produce spin-offs, shape policy, stimulate start-ups, strengthen educational pipelines, diversify capital, build national pride and leave a durable capability beyond any single investment.</w:t>
            </w:r>
          </w:p>
        </w:tc>
        <w:tc>
          <w:tcPr>
            <w:tcW w:type="dxa" w:w="5858"/>
            <w:shd w:fill="F7F6F3" w:color="auto" w:val="clear"/>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A mission does more than fund research. It creates a visible national focal point.</w:t>
            </w:r>
          </w:p>
          <w:p>
            <w:pPr>
              <w:spacing w:after="80" w:line="264"/>
            </w:pPr>
            <w:r>
              <w:rPr>
                <w:rFonts w:ascii="Calibri" w:cs="Calibri" w:eastAsia="Calibri" w:hAnsi="Calibri"/>
                <w:color w:val="053B4A"/>
                <w:sz w:val="19"/>
                <w:szCs w:val="19"/>
              </w:rPr>
              <w:t xml:space="preserve">That focal point attracts international collaborators and non-traditional teams, produces spin-offs and start-ups, strengthens the education pipeline, and leaves durable capability behind when the mission ends.</w:t>
            </w:r>
          </w:p>
          <w:p>
            <w:pPr>
              <w:spacing w:after="0" w:line="264"/>
            </w:pPr>
            <w:r>
              <w:rPr>
                <w:rFonts w:ascii="Calibri" w:cs="Calibri" w:eastAsia="Calibri" w:hAnsi="Calibri"/>
                <w:i/>
                <w:iCs/>
                <w:color w:val="5D6E85"/>
                <w:sz w:val="17"/>
                <w:szCs w:val="17"/>
              </w:rPr>
              <w:t xml:space="preserve">Why: The original lists ten effects in one sentence, which nobody can hold. Four grouped effects are memorable and still cover the ground.</w:t>
            </w:r>
          </w:p>
        </w:tc>
      </w:tr>
      <w:tr>
        <w:trPr>
          <w:cantSplit w:val="false"/>
        </w:trPr>
        <w:tc>
          <w:tcPr>
            <w:tcW w:type="dxa" w:w="2350"/>
            <w:tcMar>
              <w:top w:type="dxa" w:w="120"/>
              <w:left w:type="dxa" w:w="140"/>
              <w:bottom w:type="dxa" w:w="120"/>
              <w:right w:type="dxa" w:w="140"/>
            </w:tcMar>
          </w:tcPr>
          <w:p>
            <w:pPr>
              <w:spacing w:after="0" w:line="264"/>
            </w:pPr>
            <w:r>
              <w:rPr>
                <w:rFonts w:ascii="Calibri" w:cs="Calibri" w:eastAsia="Calibri" w:hAnsi="Calibri"/>
                <w:b/>
                <w:bCs/>
                <w:color w:val="053B4A"/>
                <w:sz w:val="19"/>
                <w:szCs w:val="19"/>
              </w:rPr>
              <w:t xml:space="preserve">A clarifying distinction</w:t>
            </w:r>
          </w:p>
        </w:tc>
        <w:tc>
          <w:tcPr>
            <w:tcW w:type="dxa" w:w="5750"/>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A clarifying distinction. AI, quantum, synthetic biology, advanced materials and magnetics are the enabling stack. A mission is the nationally significant problem those technologies are combined to solve.</w:t>
            </w:r>
          </w:p>
        </w:tc>
        <w:tc>
          <w:tcPr>
            <w:tcW w:type="dxa" w:w="5858"/>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A clarifying distinction. AI, quantum, synthetic biology, advanced materials and magnetics are the tools. A mission is the nationally significant problem those tools are combined to solve.</w:t>
            </w:r>
          </w:p>
          <w:p>
            <w:pPr>
              <w:spacing w:after="0" w:line="264"/>
            </w:pPr>
            <w:r>
              <w:rPr>
                <w:rFonts w:ascii="Calibri" w:cs="Calibri" w:eastAsia="Calibri" w:hAnsi="Calibri"/>
                <w:i/>
                <w:iCs/>
                <w:color w:val="5D6E85"/>
                <w:sz w:val="17"/>
                <w:szCs w:val="17"/>
              </w:rPr>
              <w:t xml:space="preserve">Why: "Enabling stack" is engineering vocabulary. "Tools" matches the wording already used on the Vision page and needs no translation for a lay Board member.</w:t>
            </w:r>
          </w:p>
        </w:tc>
      </w:tr>
    </w:tbl>
    <w:p>
      <w:r>
        <w:br w:type="page"/>
      </w:r>
    </w:p>
    <w:p>
      <w:pPr>
        <w:spacing w:after="60" w:before="340"/>
      </w:pPr>
      <w:r>
        <w:rPr>
          <w:rFonts w:ascii="Calibri" w:cs="Calibri" w:eastAsia="Calibri" w:hAnsi="Calibri"/>
          <w:b/>
          <w:bCs/>
          <w:color w:val="053B4A"/>
          <w:sz w:val="28"/>
          <w:szCs w:val="28"/>
        </w:rPr>
        <w:t xml:space="preserve">3.  Missions</w:t>
      </w:r>
    </w:p>
    <w:p>
      <w:pPr>
        <w:pBdr>
          <w:bottom w:val="single" w:color="C2410C" w:sz="10" w:space="6"/>
        </w:pBdr>
        <w:spacing w:after="160"/>
      </w:pPr>
      <w:r>
        <w:rPr>
          <w:rFonts w:ascii="Calibri" w:cs="Calibri" w:eastAsia="Calibri" w:hAnsi="Calibri"/>
          <w:i/>
          <w:iCs/>
          <w:color w:val="5D6E85"/>
          <w:sz w:val="18"/>
          <w:szCs w:val="18"/>
        </w:rPr>
        <w:t xml:space="preserve">Route: #/missions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350"/>
        <w:gridCol w:w="5750"/>
        <w:gridCol w:w="5858"/>
      </w:tblGrid>
      <w:tr>
        <w:trPr>
          <w:tblHeader/>
        </w:trPr>
        <w:tc>
          <w:tcPr>
            <w:tcW w:type="dxa" w:w="2350"/>
            <w:shd w:fill="053B4A" w:color="auto" w:val="clear"/>
            <w:tcMar>
              <w:top w:type="dxa" w:w="120"/>
              <w:left w:type="dxa" w:w="140"/>
              <w:bottom w:type="dxa" w:w="120"/>
              <w:right w:type="dxa" w:w="140"/>
            </w:tcMar>
          </w:tcPr>
          <w:p>
            <w:pPr>
              <w:spacing w:after="0" w:line="264"/>
            </w:pPr>
            <w:r>
              <w:rPr>
                <w:rFonts w:ascii="Calibri" w:cs="Calibri" w:eastAsia="Calibri" w:hAnsi="Calibri"/>
                <w:b/>
                <w:bCs/>
                <w:color w:val="FFFFFF"/>
                <w:sz w:val="19"/>
                <w:szCs w:val="19"/>
              </w:rPr>
              <w:t xml:space="preserve">Location on page</w:t>
            </w:r>
          </w:p>
        </w:tc>
        <w:tc>
          <w:tcPr>
            <w:tcW w:type="dxa" w:w="5750"/>
            <w:shd w:fill="053B4A" w:color="auto" w:val="clear"/>
            <w:tcMar>
              <w:top w:type="dxa" w:w="120"/>
              <w:left w:type="dxa" w:w="140"/>
              <w:bottom w:type="dxa" w:w="120"/>
              <w:right w:type="dxa" w:w="140"/>
            </w:tcMar>
          </w:tcPr>
          <w:p>
            <w:pPr>
              <w:spacing w:after="0" w:line="264"/>
            </w:pPr>
            <w:r>
              <w:rPr>
                <w:rFonts w:ascii="Calibri" w:cs="Calibri" w:eastAsia="Calibri" w:hAnsi="Calibri"/>
                <w:b/>
                <w:bCs/>
                <w:color w:val="FFFFFF"/>
                <w:sz w:val="19"/>
                <w:szCs w:val="19"/>
              </w:rPr>
              <w:t xml:space="preserve">Current wording</w:t>
            </w:r>
          </w:p>
        </w:tc>
        <w:tc>
          <w:tcPr>
            <w:tcW w:type="dxa" w:w="5858"/>
            <w:shd w:fill="053B4A" w:color="auto" w:val="clear"/>
            <w:tcMar>
              <w:top w:type="dxa" w:w="120"/>
              <w:left w:type="dxa" w:w="140"/>
              <w:bottom w:type="dxa" w:w="120"/>
              <w:right w:type="dxa" w:w="140"/>
            </w:tcMar>
          </w:tcPr>
          <w:p>
            <w:pPr>
              <w:spacing w:after="0" w:line="264"/>
            </w:pPr>
            <w:r>
              <w:rPr>
                <w:rFonts w:ascii="Calibri" w:cs="Calibri" w:eastAsia="Calibri" w:hAnsi="Calibri"/>
                <w:b/>
                <w:bCs/>
                <w:color w:val="FFFFFF"/>
                <w:sz w:val="19"/>
                <w:szCs w:val="19"/>
              </w:rPr>
              <w:t xml:space="preserve">Suggested wording</w:t>
            </w:r>
          </w:p>
        </w:tc>
      </w:tr>
      <w:tr>
        <w:trPr>
          <w:cantSplit w:val="false"/>
        </w:trPr>
        <w:tc>
          <w:tcPr>
            <w:tcW w:type="dxa" w:w="2350"/>
            <w:shd w:fill="FFF1E8" w:color="auto" w:val="clear"/>
            <w:tcMar>
              <w:top w:type="dxa" w:w="120"/>
              <w:left w:type="dxa" w:w="140"/>
              <w:bottom w:type="dxa" w:w="120"/>
              <w:right w:type="dxa" w:w="140"/>
            </w:tcMar>
          </w:tcPr>
          <w:p>
            <w:pPr>
              <w:spacing w:after="40" w:line="264"/>
            </w:pPr>
            <w:r>
              <w:rPr>
                <w:rFonts w:ascii="Calibri" w:cs="Calibri" w:eastAsia="Calibri" w:hAnsi="Calibri"/>
                <w:b/>
                <w:bCs/>
                <w:color w:val="053B4A"/>
                <w:sz w:val="19"/>
                <w:szCs w:val="19"/>
              </w:rPr>
              <w:t xml:space="preserve">Mission 4 card</w:t>
            </w:r>
          </w:p>
          <w:p>
            <w:pPr>
              <w:spacing w:after="0" w:line="264"/>
            </w:pPr>
            <w:r>
              <w:rPr>
                <w:rFonts w:ascii="Calibri" w:cs="Calibri" w:eastAsia="Calibri" w:hAnsi="Calibri"/>
                <w:b/>
                <w:bCs/>
                <w:color w:val="C2410C"/>
                <w:sz w:val="15"/>
                <w:szCs w:val="15"/>
              </w:rPr>
              <w:t xml:space="preserve">MUST FIX</w:t>
            </w:r>
          </w:p>
        </w:tc>
        <w:tc>
          <w:tcPr>
            <w:tcW w:type="dxa" w:w="5750"/>
            <w:shd w:fill="FFF1E8" w:color="auto" w:val="clear"/>
            <w:tcMar>
              <w:top w:type="dxa" w:w="120"/>
              <w:left w:type="dxa" w:w="140"/>
              <w:bottom w:type="dxa" w:w="120"/>
              <w:right w:type="dxa" w:w="140"/>
            </w:tcMar>
          </w:tcPr>
          <w:p>
            <w:pPr>
              <w:spacing w:after="80" w:line="264"/>
            </w:pPr>
            <w:r>
              <w:rPr>
                <w:rFonts w:ascii="Calibri" w:cs="Calibri" w:eastAsia="Calibri" w:hAnsi="Calibri"/>
                <w:color w:val="444444"/>
                <w:sz w:val="19"/>
                <w:szCs w:val="19"/>
              </w:rPr>
              <w:t xml:space="preserve">Mission 4 title (placeholder)</w:t>
            </w:r>
          </w:p>
          <w:p>
            <w:pPr>
              <w:spacing w:after="0" w:line="264"/>
            </w:pPr>
            <w:r>
              <w:rPr>
                <w:rFonts w:ascii="Calibri" w:cs="Calibri" w:eastAsia="Calibri" w:hAnsi="Calibri"/>
                <w:color w:val="444444"/>
                <w:sz w:val="19"/>
                <w:szCs w:val="19"/>
              </w:rPr>
              <w:t xml:space="preserve">Placeholder description: content for Mission 4 has not been written yet. Replace this text once it is available.</w:t>
            </w:r>
          </w:p>
        </w:tc>
        <w:tc>
          <w:tcPr>
            <w:tcW w:type="dxa" w:w="5858"/>
            <w:shd w:fill="FFF1E8" w:color="auto" w:val="clear"/>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Remove the card entirely.</w:t>
            </w:r>
          </w:p>
          <w:p>
            <w:pPr>
              <w:spacing w:after="80" w:line="264"/>
            </w:pPr>
            <w:r>
              <w:rPr>
                <w:rFonts w:ascii="Calibri" w:cs="Calibri" w:eastAsia="Calibri" w:hAnsi="Calibri"/>
                <w:color w:val="053B4A"/>
                <w:sz w:val="19"/>
                <w:szCs w:val="19"/>
              </w:rPr>
              <w:t xml:space="preserve">If a fourth slot must be signalled, replace it with: "A fourth mission would be added only on evidence, not to fill a quota."</w:t>
            </w:r>
          </w:p>
          <w:p>
            <w:pPr>
              <w:spacing w:after="0" w:line="264"/>
            </w:pPr>
            <w:r>
              <w:rPr>
                <w:rFonts w:ascii="Calibri" w:cs="Calibri" w:eastAsia="Calibri" w:hAnsi="Calibri"/>
                <w:i/>
                <w:iCs/>
                <w:color w:val="5D6E85"/>
                <w:sz w:val="17"/>
                <w:szCs w:val="17"/>
              </w:rPr>
              <w:t xml:space="preserve">Why: This is unwritten placeholder text visible on a live page. In front of a Board it reads as an unfinished document and undercuts everything around it. This is the single highest-priority fix on the site.</w:t>
            </w:r>
          </w:p>
        </w:tc>
      </w:tr>
      <w:tr>
        <w:trPr>
          <w:cantSplit w:val="false"/>
        </w:trPr>
        <w:tc>
          <w:tcPr>
            <w:tcW w:type="dxa" w:w="2350"/>
            <w:shd w:fill="F7F6F3" w:color="auto" w:val="clear"/>
            <w:tcMar>
              <w:top w:type="dxa" w:w="120"/>
              <w:left w:type="dxa" w:w="140"/>
              <w:bottom w:type="dxa" w:w="120"/>
              <w:right w:type="dxa" w:w="140"/>
            </w:tcMar>
          </w:tcPr>
          <w:p>
            <w:pPr>
              <w:spacing w:after="0" w:line="264"/>
            </w:pPr>
            <w:r>
              <w:rPr>
                <w:rFonts w:ascii="Calibri" w:cs="Calibri" w:eastAsia="Calibri" w:hAnsi="Calibri"/>
                <w:b/>
                <w:bCs/>
                <w:color w:val="053B4A"/>
                <w:sz w:val="19"/>
                <w:szCs w:val="19"/>
              </w:rPr>
              <w:t xml:space="preserve">Page title</w:t>
            </w:r>
          </w:p>
        </w:tc>
        <w:tc>
          <w:tcPr>
            <w:tcW w:type="dxa" w:w="5750"/>
            <w:shd w:fill="F7F6F3" w:color="auto" w:val="clear"/>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Missions</w:t>
            </w:r>
          </w:p>
        </w:tc>
        <w:tc>
          <w:tcPr>
            <w:tcW w:type="dxa" w:w="5858"/>
            <w:shd w:fill="F7F6F3" w:color="auto" w:val="clear"/>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Proposed mission portfolio</w:t>
            </w:r>
          </w:p>
          <w:p>
            <w:pPr>
              <w:spacing w:after="0" w:line="264"/>
            </w:pPr>
            <w:r>
              <w:rPr>
                <w:rFonts w:ascii="Calibri" w:cs="Calibri" w:eastAsia="Calibri" w:hAnsi="Calibri"/>
                <w:i/>
                <w:iCs/>
                <w:color w:val="5D6E85"/>
                <w:sz w:val="17"/>
                <w:szCs w:val="17"/>
              </w:rPr>
              <w:t xml:space="preserve">Why: The Vision page already uses "Proposed mission portfolio". Matching the two makes clear it is the same set of three, not a second longer list.</w:t>
            </w:r>
          </w:p>
        </w:tc>
      </w:tr>
      <w:tr>
        <w:trPr>
          <w:cantSplit w:val="false"/>
        </w:trPr>
        <w:tc>
          <w:tcPr>
            <w:tcW w:type="dxa" w:w="2350"/>
            <w:tcMar>
              <w:top w:type="dxa" w:w="120"/>
              <w:left w:type="dxa" w:w="140"/>
              <w:bottom w:type="dxa" w:w="120"/>
              <w:right w:type="dxa" w:w="140"/>
            </w:tcMar>
          </w:tcPr>
          <w:p>
            <w:pPr>
              <w:spacing w:after="0" w:line="264"/>
            </w:pPr>
            <w:r>
              <w:rPr>
                <w:rFonts w:ascii="Calibri" w:cs="Calibri" w:eastAsia="Calibri" w:hAnsi="Calibri"/>
                <w:b/>
                <w:bCs/>
                <w:color w:val="053B4A"/>
                <w:sz w:val="19"/>
                <w:szCs w:val="19"/>
              </w:rPr>
              <w:t xml:space="preserve">Intro paragraph</w:t>
            </w:r>
          </w:p>
        </w:tc>
        <w:tc>
          <w:tcPr>
            <w:tcW w:type="dxa" w:w="5750"/>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Missions are the mechanism through which NZIAT turns national priorities into action. Each mission is a concrete, time-bound commitment to a consequential future-world problem, concentrating capital, capability and partnerships behind it until the mission is fulfilled, invalidated or superseded.</w:t>
            </w:r>
          </w:p>
        </w:tc>
        <w:tc>
          <w:tcPr>
            <w:tcW w:type="dxa" w:w="5858"/>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Missions are how NZIAT turns national priorities into action.</w:t>
            </w:r>
          </w:p>
          <w:p>
            <w:pPr>
              <w:spacing w:after="80" w:line="264"/>
            </w:pPr>
            <w:r>
              <w:rPr>
                <w:rFonts w:ascii="Calibri" w:cs="Calibri" w:eastAsia="Calibri" w:hAnsi="Calibri"/>
                <w:color w:val="053B4A"/>
                <w:sz w:val="19"/>
                <w:szCs w:val="19"/>
              </w:rPr>
              <w:t xml:space="preserve">Each is a concrete, time-bound commitment to a consequential problem. It concentrates capital, capability and partnerships behind that problem until the mission is fulfilled, invalidated or superseded.</w:t>
            </w:r>
          </w:p>
          <w:p>
            <w:pPr>
              <w:spacing w:after="0" w:line="264"/>
            </w:pPr>
            <w:r>
              <w:rPr>
                <w:rFonts w:ascii="Calibri" w:cs="Calibri" w:eastAsia="Calibri" w:hAnsi="Calibri"/>
                <w:i/>
                <w:iCs/>
                <w:color w:val="5D6E85"/>
                <w:sz w:val="17"/>
                <w:szCs w:val="17"/>
              </w:rPr>
              <w:t xml:space="preserve">Why: Splits a 40-word second sentence and drops "future-world", which is doing no work the rest of the sentence does not already do.</w:t>
            </w:r>
          </w:p>
        </w:tc>
      </w:tr>
      <w:tr>
        <w:trPr>
          <w:cantSplit w:val="false"/>
        </w:trPr>
        <w:tc>
          <w:tcPr>
            <w:tcW w:type="dxa" w:w="2350"/>
            <w:shd w:fill="F7F6F3" w:color="auto" w:val="clear"/>
            <w:tcMar>
              <w:top w:type="dxa" w:w="120"/>
              <w:left w:type="dxa" w:w="140"/>
              <w:bottom w:type="dxa" w:w="120"/>
              <w:right w:type="dxa" w:w="140"/>
            </w:tcMar>
          </w:tcPr>
          <w:p>
            <w:pPr>
              <w:spacing w:after="0" w:line="264"/>
            </w:pPr>
            <w:r>
              <w:rPr>
                <w:rFonts w:ascii="Calibri" w:cs="Calibri" w:eastAsia="Calibri" w:hAnsi="Calibri"/>
                <w:b/>
                <w:bCs/>
                <w:color w:val="053B4A"/>
                <w:sz w:val="19"/>
                <w:szCs w:val="19"/>
              </w:rPr>
              <w:t xml:space="preserve">Mission 1 description</w:t>
            </w:r>
          </w:p>
        </w:tc>
        <w:tc>
          <w:tcPr>
            <w:tcW w:type="dxa" w:w="5750"/>
            <w:shd w:fill="F7F6F3" w:color="auto" w:val="clear"/>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Technologies that enable people, machines and industries to operate beyond Earth, developing resilient, autonomous and resource-efficient systems that unlock new economic opportunities in space and strengthen life in extreme environments on Earth.</w:t>
            </w:r>
          </w:p>
        </w:tc>
        <w:tc>
          <w:tcPr>
            <w:tcW w:type="dxa" w:w="5858"/>
            <w:shd w:fill="F7F6F3" w:color="auto" w:val="clear"/>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Enabling resilient human and machine activity beyond Earth.</w:t>
            </w:r>
          </w:p>
          <w:p>
            <w:pPr>
              <w:spacing w:after="80" w:line="264"/>
            </w:pPr>
            <w:r>
              <w:rPr>
                <w:rFonts w:ascii="Calibri" w:cs="Calibri" w:eastAsia="Calibri" w:hAnsi="Calibri"/>
                <w:color w:val="053B4A"/>
                <w:sz w:val="19"/>
                <w:szCs w:val="19"/>
              </w:rPr>
              <w:t xml:space="preserve">Autonomous, resource-efficient systems that open new economic opportunity in space, and that strengthen how we operate in extreme environments here.</w:t>
            </w:r>
          </w:p>
          <w:p>
            <w:pPr>
              <w:spacing w:after="0" w:line="264"/>
            </w:pPr>
            <w:r>
              <w:rPr>
                <w:rFonts w:ascii="Calibri" w:cs="Calibri" w:eastAsia="Calibri" w:hAnsi="Calibri"/>
                <w:i/>
                <w:iCs/>
                <w:color w:val="5D6E85"/>
                <w:sz w:val="17"/>
                <w:szCs w:val="17"/>
              </w:rPr>
              <w:t xml:space="preserve">Why: Leads with the same one-line descriptor already used on the Vision page, then expands. The Board hears the hook first and the detail second.</w:t>
            </w:r>
          </w:p>
        </w:tc>
      </w:tr>
      <w:tr>
        <w:trPr>
          <w:cantSplit w:val="false"/>
        </w:trPr>
        <w:tc>
          <w:tcPr>
            <w:tcW w:type="dxa" w:w="2350"/>
            <w:tcMar>
              <w:top w:type="dxa" w:w="120"/>
              <w:left w:type="dxa" w:w="140"/>
              <w:bottom w:type="dxa" w:w="120"/>
              <w:right w:type="dxa" w:w="140"/>
            </w:tcMar>
          </w:tcPr>
          <w:p>
            <w:pPr>
              <w:spacing w:after="0" w:line="264"/>
            </w:pPr>
            <w:r>
              <w:rPr>
                <w:rFonts w:ascii="Calibri" w:cs="Calibri" w:eastAsia="Calibri" w:hAnsi="Calibri"/>
                <w:b/>
                <w:bCs/>
                <w:color w:val="053B4A"/>
                <w:sz w:val="19"/>
                <w:szCs w:val="19"/>
              </w:rPr>
              <w:t xml:space="preserve">Missions 2 and 3 descriptions</w:t>
            </w:r>
          </w:p>
        </w:tc>
        <w:tc>
          <w:tcPr>
            <w:tcW w:type="dxa" w:w="5750"/>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Both follow the same single-sentence, ~35-word pattern as Mission 1.</w:t>
            </w:r>
          </w:p>
        </w:tc>
        <w:tc>
          <w:tcPr>
            <w:tcW w:type="dxa" w:w="5858"/>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Apply the same treatment: the Vision-page one-liner first, then one sentence of expansion.</w:t>
            </w:r>
          </w:p>
          <w:p>
            <w:pPr>
              <w:spacing w:after="0" w:line="264"/>
            </w:pPr>
            <w:r>
              <w:rPr>
                <w:rFonts w:ascii="Calibri" w:cs="Calibri" w:eastAsia="Calibri" w:hAnsi="Calibri"/>
                <w:i/>
                <w:iCs/>
                <w:color w:val="5D6E85"/>
                <w:sz w:val="17"/>
                <w:szCs w:val="17"/>
              </w:rPr>
              <w:t xml:space="preserve">Why: Consistency across the three cards, and it keeps the card heights even, which currently vary.</w:t>
            </w:r>
          </w:p>
        </w:tc>
      </w:tr>
    </w:tbl>
    <w:p>
      <w:pPr>
        <w:spacing w:after="60" w:before="340"/>
      </w:pPr>
      <w:r>
        <w:rPr>
          <w:rFonts w:ascii="Calibri" w:cs="Calibri" w:eastAsia="Calibri" w:hAnsi="Calibri"/>
          <w:b/>
          <w:bCs/>
          <w:color w:val="053B4A"/>
          <w:sz w:val="28"/>
          <w:szCs w:val="28"/>
        </w:rPr>
        <w:t xml:space="preserve">4.  Investment Framework</w:t>
      </w:r>
    </w:p>
    <w:p>
      <w:pPr>
        <w:pBdr>
          <w:bottom w:val="single" w:color="C2410C" w:sz="10" w:space="6"/>
        </w:pBdr>
        <w:spacing w:after="160"/>
      </w:pPr>
      <w:r>
        <w:rPr>
          <w:rFonts w:ascii="Calibri" w:cs="Calibri" w:eastAsia="Calibri" w:hAnsi="Calibri"/>
          <w:i/>
          <w:iCs/>
          <w:color w:val="5D6E85"/>
          <w:sz w:val="18"/>
          <w:szCs w:val="18"/>
        </w:rPr>
        <w:t xml:space="preserve">Route: #/c/investment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350"/>
        <w:gridCol w:w="5750"/>
        <w:gridCol w:w="5858"/>
      </w:tblGrid>
      <w:tr>
        <w:trPr>
          <w:tblHeader/>
        </w:trPr>
        <w:tc>
          <w:tcPr>
            <w:tcW w:type="dxa" w:w="2350"/>
            <w:shd w:fill="053B4A" w:color="auto" w:val="clear"/>
            <w:tcMar>
              <w:top w:type="dxa" w:w="120"/>
              <w:left w:type="dxa" w:w="140"/>
              <w:bottom w:type="dxa" w:w="120"/>
              <w:right w:type="dxa" w:w="140"/>
            </w:tcMar>
          </w:tcPr>
          <w:p>
            <w:pPr>
              <w:spacing w:after="0" w:line="264"/>
            </w:pPr>
            <w:r>
              <w:rPr>
                <w:rFonts w:ascii="Calibri" w:cs="Calibri" w:eastAsia="Calibri" w:hAnsi="Calibri"/>
                <w:b/>
                <w:bCs/>
                <w:color w:val="FFFFFF"/>
                <w:sz w:val="19"/>
                <w:szCs w:val="19"/>
              </w:rPr>
              <w:t xml:space="preserve">Location on page</w:t>
            </w:r>
          </w:p>
        </w:tc>
        <w:tc>
          <w:tcPr>
            <w:tcW w:type="dxa" w:w="5750"/>
            <w:shd w:fill="053B4A" w:color="auto" w:val="clear"/>
            <w:tcMar>
              <w:top w:type="dxa" w:w="120"/>
              <w:left w:type="dxa" w:w="140"/>
              <w:bottom w:type="dxa" w:w="120"/>
              <w:right w:type="dxa" w:w="140"/>
            </w:tcMar>
          </w:tcPr>
          <w:p>
            <w:pPr>
              <w:spacing w:after="0" w:line="264"/>
            </w:pPr>
            <w:r>
              <w:rPr>
                <w:rFonts w:ascii="Calibri" w:cs="Calibri" w:eastAsia="Calibri" w:hAnsi="Calibri"/>
                <w:b/>
                <w:bCs/>
                <w:color w:val="FFFFFF"/>
                <w:sz w:val="19"/>
                <w:szCs w:val="19"/>
              </w:rPr>
              <w:t xml:space="preserve">Current wording</w:t>
            </w:r>
          </w:p>
        </w:tc>
        <w:tc>
          <w:tcPr>
            <w:tcW w:type="dxa" w:w="5858"/>
            <w:shd w:fill="053B4A" w:color="auto" w:val="clear"/>
            <w:tcMar>
              <w:top w:type="dxa" w:w="120"/>
              <w:left w:type="dxa" w:w="140"/>
              <w:bottom w:type="dxa" w:w="120"/>
              <w:right w:type="dxa" w:w="140"/>
            </w:tcMar>
          </w:tcPr>
          <w:p>
            <w:pPr>
              <w:spacing w:after="0" w:line="264"/>
            </w:pPr>
            <w:r>
              <w:rPr>
                <w:rFonts w:ascii="Calibri" w:cs="Calibri" w:eastAsia="Calibri" w:hAnsi="Calibri"/>
                <w:b/>
                <w:bCs/>
                <w:color w:val="FFFFFF"/>
                <w:sz w:val="19"/>
                <w:szCs w:val="19"/>
              </w:rPr>
              <w:t xml:space="preserve">Suggested wording</w:t>
            </w:r>
          </w:p>
        </w:tc>
      </w:tr>
      <w:tr>
        <w:trPr>
          <w:cantSplit w:val="false"/>
        </w:trPr>
        <w:tc>
          <w:tcPr>
            <w:tcW w:type="dxa" w:w="2350"/>
            <w:tcMar>
              <w:top w:type="dxa" w:w="120"/>
              <w:left w:type="dxa" w:w="140"/>
              <w:bottom w:type="dxa" w:w="120"/>
              <w:right w:type="dxa" w:w="140"/>
            </w:tcMar>
          </w:tcPr>
          <w:p>
            <w:pPr>
              <w:spacing w:after="0" w:line="264"/>
            </w:pPr>
            <w:r>
              <w:rPr>
                <w:rFonts w:ascii="Calibri" w:cs="Calibri" w:eastAsia="Calibri" w:hAnsi="Calibri"/>
                <w:b/>
                <w:bCs/>
                <w:color w:val="053B4A"/>
                <w:sz w:val="19"/>
                <w:szCs w:val="19"/>
              </w:rPr>
              <w:t xml:space="preserve">Purpose, sentence 1</w:t>
            </w:r>
          </w:p>
        </w:tc>
        <w:tc>
          <w:tcPr>
            <w:tcW w:type="dxa" w:w="5750"/>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The keystone operating document of an investment-led institution.</w:t>
            </w:r>
          </w:p>
        </w:tc>
        <w:tc>
          <w:tcPr>
            <w:tcW w:type="dxa" w:w="5858"/>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This is the keystone operating document of an investment-led institution.</w:t>
            </w:r>
          </w:p>
          <w:p>
            <w:pPr>
              <w:spacing w:after="0" w:line="264"/>
            </w:pPr>
            <w:r>
              <w:rPr>
                <w:rFonts w:ascii="Calibri" w:cs="Calibri" w:eastAsia="Calibri" w:hAnsi="Calibri"/>
                <w:i/>
                <w:iCs/>
                <w:color w:val="5D6E85"/>
                <w:sz w:val="17"/>
                <w:szCs w:val="17"/>
              </w:rPr>
              <w:t xml:space="preserve">Why: The original is a sentence fragment with no verb. Fine in a slide deck, noticeable in a formal document.</w:t>
            </w:r>
          </w:p>
        </w:tc>
      </w:tr>
      <w:tr>
        <w:trPr>
          <w:cantSplit w:val="false"/>
        </w:trPr>
        <w:tc>
          <w:tcPr>
            <w:tcW w:type="dxa" w:w="2350"/>
            <w:shd w:fill="F7F6F3" w:color="auto" w:val="clear"/>
            <w:tcMar>
              <w:top w:type="dxa" w:w="120"/>
              <w:left w:type="dxa" w:w="140"/>
              <w:bottom w:type="dxa" w:w="120"/>
              <w:right w:type="dxa" w:w="140"/>
            </w:tcMar>
          </w:tcPr>
          <w:p>
            <w:pPr>
              <w:spacing w:after="0" w:line="264"/>
            </w:pPr>
            <w:r>
              <w:rPr>
                <w:rFonts w:ascii="Calibri" w:cs="Calibri" w:eastAsia="Calibri" w:hAnsi="Calibri"/>
                <w:b/>
                <w:bCs/>
                <w:color w:val="053B4A"/>
                <w:sz w:val="19"/>
                <w:szCs w:val="19"/>
              </w:rPr>
              <w:t xml:space="preserve">Purpose, sentence 2</w:t>
            </w:r>
          </w:p>
        </w:tc>
        <w:tc>
          <w:tcPr>
            <w:tcW w:type="dxa" w:w="5750"/>
            <w:shd w:fill="F7F6F3" w:color="auto" w:val="clear"/>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It applies to every dollar NZIAT deploys, including new commitments, inherited platforms, opportunity seeds and follow-on capital alike, and prevails over any other document on an investment matter.</w:t>
            </w:r>
          </w:p>
        </w:tc>
        <w:tc>
          <w:tcPr>
            <w:tcW w:type="dxa" w:w="5858"/>
            <w:shd w:fill="F7F6F3" w:color="auto" w:val="clear"/>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It applies to every dollar NZIAT deploys: new commitments, inherited platforms, opportunity seeds and follow-on capital.</w:t>
            </w:r>
          </w:p>
          <w:p>
            <w:pPr>
              <w:spacing w:after="80" w:line="264"/>
            </w:pPr>
            <w:r>
              <w:rPr>
                <w:rFonts w:ascii="Calibri" w:cs="Calibri" w:eastAsia="Calibri" w:hAnsi="Calibri"/>
                <w:color w:val="053B4A"/>
                <w:sz w:val="19"/>
                <w:szCs w:val="19"/>
              </w:rPr>
              <w:t xml:space="preserve">On any investment matter it prevails over every other document.</w:t>
            </w:r>
          </w:p>
          <w:p>
            <w:pPr>
              <w:spacing w:after="0" w:line="264"/>
            </w:pPr>
            <w:r>
              <w:rPr>
                <w:rFonts w:ascii="Calibri" w:cs="Calibri" w:eastAsia="Calibri" w:hAnsi="Calibri"/>
                <w:i/>
                <w:iCs/>
                <w:color w:val="5D6E85"/>
                <w:sz w:val="17"/>
                <w:szCs w:val="17"/>
              </w:rPr>
              <w:t xml:space="preserve">Why: "including … alike" is redundant, and the sentence carries three ideas at 29 words. The precedence point is important enough to stand alone.</w:t>
            </w:r>
          </w:p>
        </w:tc>
      </w:tr>
      <w:tr>
        <w:trPr>
          <w:cantSplit w:val="false"/>
        </w:trPr>
        <w:tc>
          <w:tcPr>
            <w:tcW w:type="dxa" w:w="2350"/>
            <w:tcMar>
              <w:top w:type="dxa" w:w="120"/>
              <w:left w:type="dxa" w:w="140"/>
              <w:bottom w:type="dxa" w:w="120"/>
              <w:right w:type="dxa" w:w="140"/>
            </w:tcMar>
          </w:tcPr>
          <w:p>
            <w:pPr>
              <w:spacing w:after="0" w:line="264"/>
            </w:pPr>
            <w:r>
              <w:rPr>
                <w:rFonts w:ascii="Calibri" w:cs="Calibri" w:eastAsia="Calibri" w:hAnsi="Calibri"/>
                <w:b/>
                <w:bCs/>
                <w:color w:val="053B4A"/>
                <w:sz w:val="19"/>
                <w:szCs w:val="19"/>
              </w:rPr>
              <w:t xml:space="preserve">Gate diagram caption</w:t>
            </w:r>
          </w:p>
        </w:tc>
        <w:tc>
          <w:tcPr>
            <w:tcW w:type="dxa" w:w="5750"/>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A stop on good evidence is a success of the decision system, not a failure of the team</w:t>
            </w:r>
          </w:p>
        </w:tc>
        <w:tc>
          <w:tcPr>
            <w:tcW w:type="dxa" w:w="5858"/>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A stop on good evidence is a success of the decision system, not a failure of the team.</w:t>
            </w:r>
          </w:p>
          <w:p>
            <w:pPr>
              <w:spacing w:after="0" w:line="264"/>
            </w:pPr>
            <w:r>
              <w:rPr>
                <w:rFonts w:ascii="Calibri" w:cs="Calibri" w:eastAsia="Calibri" w:hAnsi="Calibri"/>
                <w:i/>
                <w:iCs/>
                <w:color w:val="5D6E85"/>
                <w:sz w:val="17"/>
                <w:szCs w:val="17"/>
              </w:rPr>
              <w:t xml:space="preserve">Why: No change other than the missing full stop. This is the line most likely to be quoted back to you; leave it alone.</w:t>
            </w:r>
          </w:p>
        </w:tc>
      </w:tr>
      <w:tr>
        <w:trPr>
          <w:cantSplit w:val="false"/>
        </w:trPr>
        <w:tc>
          <w:tcPr>
            <w:tcW w:type="dxa" w:w="2350"/>
            <w:shd w:fill="F7F6F3" w:color="auto" w:val="clear"/>
            <w:tcMar>
              <w:top w:type="dxa" w:w="120"/>
              <w:left w:type="dxa" w:w="140"/>
              <w:bottom w:type="dxa" w:w="120"/>
              <w:right w:type="dxa" w:w="140"/>
            </w:tcMar>
          </w:tcPr>
          <w:p>
            <w:pPr>
              <w:spacing w:after="0" w:line="264"/>
            </w:pPr>
            <w:r>
              <w:rPr>
                <w:rFonts w:ascii="Calibri" w:cs="Calibri" w:eastAsia="Calibri" w:hAnsi="Calibri"/>
                <w:b/>
                <w:bCs/>
                <w:color w:val="053B4A"/>
                <w:sz w:val="19"/>
                <w:szCs w:val="19"/>
              </w:rPr>
              <w:t xml:space="preserve">Considerations for the Board</w:t>
            </w:r>
          </w:p>
        </w:tc>
        <w:tc>
          <w:tcPr>
            <w:tcW w:type="dxa" w:w="5750"/>
            <w:shd w:fill="F7F6F3" w:color="auto" w:val="clear"/>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Has a gate produced a stop in practice, or only continues and reshapes?</w:t>
            </w:r>
          </w:p>
        </w:tc>
        <w:tc>
          <w:tcPr>
            <w:tcW w:type="dxa" w:w="5858"/>
            <w:shd w:fill="F7F6F3" w:color="auto" w:val="clear"/>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Has a gate ever produced a stop in practice, or only continues and reshapes?</w:t>
            </w:r>
          </w:p>
          <w:p>
            <w:pPr>
              <w:spacing w:after="0" w:line="264"/>
            </w:pPr>
            <w:r>
              <w:rPr>
                <w:rFonts w:ascii="Calibri" w:cs="Calibri" w:eastAsia="Calibri" w:hAnsi="Calibri"/>
                <w:i/>
                <w:iCs/>
                <w:color w:val="5D6E85"/>
                <w:sz w:val="17"/>
                <w:szCs w:val="17"/>
              </w:rPr>
              <w:t xml:space="preserve">Why: "Ever" sharpens it into the question a Board actually wants answered.</w:t>
            </w:r>
          </w:p>
        </w:tc>
      </w:tr>
    </w:tbl>
    <w:p>
      <w:r>
        <w:br w:type="page"/>
      </w:r>
    </w:p>
    <w:p>
      <w:pPr>
        <w:spacing w:after="60" w:before="340"/>
      </w:pPr>
      <w:r>
        <w:rPr>
          <w:rFonts w:ascii="Calibri" w:cs="Calibri" w:eastAsia="Calibri" w:hAnsi="Calibri"/>
          <w:b/>
          <w:bCs/>
          <w:color w:val="053B4A"/>
          <w:sz w:val="28"/>
          <w:szCs w:val="28"/>
        </w:rPr>
        <w:t xml:space="preserve">5.  Capital</w:t>
      </w:r>
    </w:p>
    <w:p>
      <w:pPr>
        <w:pBdr>
          <w:bottom w:val="single" w:color="C2410C" w:sz="10" w:space="6"/>
        </w:pBdr>
        <w:spacing w:after="160"/>
      </w:pPr>
      <w:r>
        <w:rPr>
          <w:rFonts w:ascii="Calibri" w:cs="Calibri" w:eastAsia="Calibri" w:hAnsi="Calibri"/>
          <w:i/>
          <w:iCs/>
          <w:color w:val="5D6E85"/>
          <w:sz w:val="18"/>
          <w:szCs w:val="18"/>
        </w:rPr>
        <w:t xml:space="preserve">Route: #/s/capital</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350"/>
        <w:gridCol w:w="5750"/>
        <w:gridCol w:w="5858"/>
      </w:tblGrid>
      <w:tr>
        <w:trPr>
          <w:tblHeader/>
        </w:trPr>
        <w:tc>
          <w:tcPr>
            <w:tcW w:type="dxa" w:w="2350"/>
            <w:shd w:fill="053B4A" w:color="auto" w:val="clear"/>
            <w:tcMar>
              <w:top w:type="dxa" w:w="120"/>
              <w:left w:type="dxa" w:w="140"/>
              <w:bottom w:type="dxa" w:w="120"/>
              <w:right w:type="dxa" w:w="140"/>
            </w:tcMar>
          </w:tcPr>
          <w:p>
            <w:pPr>
              <w:spacing w:after="0" w:line="264"/>
            </w:pPr>
            <w:r>
              <w:rPr>
                <w:rFonts w:ascii="Calibri" w:cs="Calibri" w:eastAsia="Calibri" w:hAnsi="Calibri"/>
                <w:b/>
                <w:bCs/>
                <w:color w:val="FFFFFF"/>
                <w:sz w:val="19"/>
                <w:szCs w:val="19"/>
              </w:rPr>
              <w:t xml:space="preserve">Location on page</w:t>
            </w:r>
          </w:p>
        </w:tc>
        <w:tc>
          <w:tcPr>
            <w:tcW w:type="dxa" w:w="5750"/>
            <w:shd w:fill="053B4A" w:color="auto" w:val="clear"/>
            <w:tcMar>
              <w:top w:type="dxa" w:w="120"/>
              <w:left w:type="dxa" w:w="140"/>
              <w:bottom w:type="dxa" w:w="120"/>
              <w:right w:type="dxa" w:w="140"/>
            </w:tcMar>
          </w:tcPr>
          <w:p>
            <w:pPr>
              <w:spacing w:after="0" w:line="264"/>
            </w:pPr>
            <w:r>
              <w:rPr>
                <w:rFonts w:ascii="Calibri" w:cs="Calibri" w:eastAsia="Calibri" w:hAnsi="Calibri"/>
                <w:b/>
                <w:bCs/>
                <w:color w:val="FFFFFF"/>
                <w:sz w:val="19"/>
                <w:szCs w:val="19"/>
              </w:rPr>
              <w:t xml:space="preserve">Current wording</w:t>
            </w:r>
          </w:p>
        </w:tc>
        <w:tc>
          <w:tcPr>
            <w:tcW w:type="dxa" w:w="5858"/>
            <w:shd w:fill="053B4A" w:color="auto" w:val="clear"/>
            <w:tcMar>
              <w:top w:type="dxa" w:w="120"/>
              <w:left w:type="dxa" w:w="140"/>
              <w:bottom w:type="dxa" w:w="120"/>
              <w:right w:type="dxa" w:w="140"/>
            </w:tcMar>
          </w:tcPr>
          <w:p>
            <w:pPr>
              <w:spacing w:after="0" w:line="264"/>
            </w:pPr>
            <w:r>
              <w:rPr>
                <w:rFonts w:ascii="Calibri" w:cs="Calibri" w:eastAsia="Calibri" w:hAnsi="Calibri"/>
                <w:b/>
                <w:bCs/>
                <w:color w:val="FFFFFF"/>
                <w:sz w:val="19"/>
                <w:szCs w:val="19"/>
              </w:rPr>
              <w:t xml:space="preserve">Suggested wording</w:t>
            </w:r>
          </w:p>
        </w:tc>
      </w:tr>
      <w:tr>
        <w:trPr>
          <w:cantSplit w:val="false"/>
        </w:trPr>
        <w:tc>
          <w:tcPr>
            <w:tcW w:type="dxa" w:w="2350"/>
            <w:shd w:fill="FFF1E8" w:color="auto" w:val="clear"/>
            <w:tcMar>
              <w:top w:type="dxa" w:w="120"/>
              <w:left w:type="dxa" w:w="140"/>
              <w:bottom w:type="dxa" w:w="120"/>
              <w:right w:type="dxa" w:w="140"/>
            </w:tcMar>
          </w:tcPr>
          <w:p>
            <w:pPr>
              <w:spacing w:after="40" w:line="264"/>
            </w:pPr>
            <w:r>
              <w:rPr>
                <w:rFonts w:ascii="Calibri" w:cs="Calibri" w:eastAsia="Calibri" w:hAnsi="Calibri"/>
                <w:b/>
                <w:bCs/>
                <w:color w:val="053B4A"/>
                <w:sz w:val="19"/>
                <w:szCs w:val="19"/>
              </w:rPr>
              <w:t xml:space="preserve">A layered capital model, intro</w:t>
            </w:r>
          </w:p>
          <w:p>
            <w:pPr>
              <w:spacing w:after="0" w:line="264"/>
            </w:pPr>
            <w:r>
              <w:rPr>
                <w:rFonts w:ascii="Calibri" w:cs="Calibri" w:eastAsia="Calibri" w:hAnsi="Calibri"/>
                <w:b/>
                <w:bCs/>
                <w:color w:val="C2410C"/>
                <w:sz w:val="15"/>
                <w:szCs w:val="15"/>
              </w:rPr>
              <w:t xml:space="preserve">MUST FIX</w:t>
            </w:r>
          </w:p>
        </w:tc>
        <w:tc>
          <w:tcPr>
            <w:tcW w:type="dxa" w:w="5750"/>
            <w:shd w:fill="FFF1E8" w:color="auto" w:val="clear"/>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The simple “80/20” split is kept only as an indicative discipline within the priority-missions layer, not as a promise about the whole $231m mandate.</w:t>
            </w:r>
          </w:p>
        </w:tc>
        <w:tc>
          <w:tcPr>
            <w:tcW w:type="dxa" w:w="5858"/>
            <w:shd w:fill="FFF1E8" w:color="auto" w:val="clear"/>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Define the split where it is first mentioned, for example: "An indicative 80/20 split, weighting the majority of discretionary capital to validated missions, is kept as a discipline within the priority-missions layer only, not as a promise about the whole $231m mandate."</w:t>
            </w:r>
          </w:p>
          <w:p>
            <w:pPr>
              <w:spacing w:after="0" w:line="264"/>
            </w:pPr>
            <w:r>
              <w:rPr>
                <w:rFonts w:ascii="Calibri" w:cs="Calibri" w:eastAsia="Calibri" w:hAnsi="Calibri"/>
                <w:i/>
                <w:iCs/>
                <w:color w:val="5D6E85"/>
                <w:sz w:val="17"/>
                <w:szCs w:val="17"/>
              </w:rPr>
              <w:t xml:space="preserve">Why: The 80/20 split is referenced but never defined anywhere on the site. A Board member who has not seen an earlier draft cannot follow the sentence.</w:t>
            </w:r>
          </w:p>
        </w:tc>
      </w:tr>
      <w:tr>
        <w:trPr>
          <w:cantSplit w:val="false"/>
        </w:trPr>
        <w:tc>
          <w:tcPr>
            <w:tcW w:type="dxa" w:w="2350"/>
            <w:shd w:fill="F7F6F3" w:color="auto" w:val="clear"/>
            <w:tcMar>
              <w:top w:type="dxa" w:w="120"/>
              <w:left w:type="dxa" w:w="140"/>
              <w:bottom w:type="dxa" w:w="120"/>
              <w:right w:type="dxa" w:w="140"/>
            </w:tcMar>
          </w:tcPr>
          <w:p>
            <w:pPr>
              <w:spacing w:after="0" w:line="264"/>
            </w:pPr>
            <w:r>
              <w:rPr>
                <w:rFonts w:ascii="Calibri" w:cs="Calibri" w:eastAsia="Calibri" w:hAnsi="Calibri"/>
                <w:b/>
                <w:bCs/>
                <w:color w:val="053B4A"/>
                <w:sz w:val="19"/>
                <w:szCs w:val="19"/>
              </w:rPr>
              <w:t xml:space="preserve">Duplication treatment</w:t>
            </w:r>
          </w:p>
        </w:tc>
        <w:tc>
          <w:tcPr>
            <w:tcW w:type="dxa" w:w="5750"/>
            <w:shd w:fill="F7F6F3" w:color="auto" w:val="clear"/>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Apparent duplication is not automatically waste: independent replication, alternative methods and competitive approaches can be valuable. The decision question is whether the proposal creates additional information, capability or strategic options relative to existing work.</w:t>
            </w:r>
          </w:p>
        </w:tc>
        <w:tc>
          <w:tcPr>
            <w:tcW w:type="dxa" w:w="5858"/>
            <w:shd w:fill="F7F6F3" w:color="auto" w:val="clear"/>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Apparent duplication is not automatically waste. Replication, alternative methods and competing approaches all have value.</w:t>
            </w:r>
          </w:p>
          <w:p>
            <w:pPr>
              <w:spacing w:after="80" w:line="264"/>
            </w:pPr>
            <w:r>
              <w:rPr>
                <w:rFonts w:ascii="Calibri" w:cs="Calibri" w:eastAsia="Calibri" w:hAnsi="Calibri"/>
                <w:color w:val="053B4A"/>
                <w:sz w:val="19"/>
                <w:szCs w:val="19"/>
              </w:rPr>
              <w:t xml:space="preserve">The test is simple: does this proposal create information, capability or options that existing work does not?</w:t>
            </w:r>
          </w:p>
          <w:p>
            <w:pPr>
              <w:spacing w:after="0" w:line="264"/>
            </w:pPr>
            <w:r>
              <w:rPr>
                <w:rFonts w:ascii="Calibri" w:cs="Calibri" w:eastAsia="Calibri" w:hAnsi="Calibri"/>
                <w:i/>
                <w:iCs/>
                <w:color w:val="5D6E85"/>
                <w:sz w:val="17"/>
                <w:szCs w:val="17"/>
              </w:rPr>
              <w:t xml:space="preserve">Why: Turning the second sentence into a direct question makes the test easy to repeat, which is what you want a decision rule to be.</w:t>
            </w:r>
          </w:p>
        </w:tc>
      </w:tr>
      <w:tr>
        <w:trPr>
          <w:cantSplit w:val="false"/>
        </w:trPr>
        <w:tc>
          <w:tcPr>
            <w:tcW w:type="dxa" w:w="2350"/>
            <w:tcMar>
              <w:top w:type="dxa" w:w="120"/>
              <w:left w:type="dxa" w:w="140"/>
              <w:bottom w:type="dxa" w:w="120"/>
              <w:right w:type="dxa" w:w="140"/>
            </w:tcMar>
          </w:tcPr>
          <w:p>
            <w:pPr>
              <w:spacing w:after="0" w:line="264"/>
            </w:pPr>
            <w:r>
              <w:rPr>
                <w:rFonts w:ascii="Calibri" w:cs="Calibri" w:eastAsia="Calibri" w:hAnsi="Calibri"/>
                <w:b/>
                <w:bCs/>
                <w:color w:val="053B4A"/>
                <w:sz w:val="19"/>
                <w:szCs w:val="19"/>
              </w:rPr>
              <w:t xml:space="preserve">Capital layers table, row 1</w:t>
            </w:r>
          </w:p>
        </w:tc>
        <w:tc>
          <w:tcPr>
            <w:tcW w:type="dxa" w:w="5750"/>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Bring every inherited commitment into one common evidence, gate and reporting standard; do not pretend all $231m is discretionary.</w:t>
            </w:r>
          </w:p>
        </w:tc>
        <w:tc>
          <w:tcPr>
            <w:tcW w:type="dxa" w:w="5858"/>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Bring every inherited commitment onto one evidence, gate and reporting standard. Not all of the $231m is discretionary.</w:t>
            </w:r>
          </w:p>
          <w:p>
            <w:pPr>
              <w:spacing w:after="0" w:line="264"/>
            </w:pPr>
            <w:r>
              <w:rPr>
                <w:rFonts w:ascii="Calibri" w:cs="Calibri" w:eastAsia="Calibri" w:hAnsi="Calibri"/>
                <w:i/>
                <w:iCs/>
                <w:color w:val="5D6E85"/>
                <w:sz w:val="17"/>
                <w:szCs w:val="17"/>
              </w:rPr>
              <w:t xml:space="preserve">Why: "Do not pretend" is the right instinct but reads as scolding on screen. The flat statement is harder to argue with.</w:t>
            </w:r>
          </w:p>
        </w:tc>
      </w:tr>
    </w:tbl>
    <w:p>
      <w:pPr>
        <w:spacing w:after="60" w:before="340"/>
      </w:pPr>
      <w:r>
        <w:rPr>
          <w:rFonts w:ascii="Calibri" w:cs="Calibri" w:eastAsia="Calibri" w:hAnsi="Calibri"/>
          <w:b/>
          <w:bCs/>
          <w:color w:val="053B4A"/>
          <w:sz w:val="28"/>
          <w:szCs w:val="28"/>
        </w:rPr>
        <w:t xml:space="preserve">6.  Organisation</w:t>
      </w:r>
    </w:p>
    <w:p>
      <w:pPr>
        <w:pBdr>
          <w:bottom w:val="single" w:color="C2410C" w:sz="10" w:space="6"/>
        </w:pBdr>
        <w:spacing w:after="160"/>
      </w:pPr>
      <w:r>
        <w:rPr>
          <w:rFonts w:ascii="Calibri" w:cs="Calibri" w:eastAsia="Calibri" w:hAnsi="Calibri"/>
          <w:i/>
          <w:iCs/>
          <w:color w:val="5D6E85"/>
          <w:sz w:val="18"/>
          <w:szCs w:val="18"/>
        </w:rPr>
        <w:t xml:space="preserve">Route: #/s/organisation</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350"/>
        <w:gridCol w:w="5750"/>
        <w:gridCol w:w="5858"/>
      </w:tblGrid>
      <w:tr>
        <w:trPr>
          <w:tblHeader/>
        </w:trPr>
        <w:tc>
          <w:tcPr>
            <w:tcW w:type="dxa" w:w="2350"/>
            <w:shd w:fill="053B4A" w:color="auto" w:val="clear"/>
            <w:tcMar>
              <w:top w:type="dxa" w:w="120"/>
              <w:left w:type="dxa" w:w="140"/>
              <w:bottom w:type="dxa" w:w="120"/>
              <w:right w:type="dxa" w:w="140"/>
            </w:tcMar>
          </w:tcPr>
          <w:p>
            <w:pPr>
              <w:spacing w:after="0" w:line="264"/>
            </w:pPr>
            <w:r>
              <w:rPr>
                <w:rFonts w:ascii="Calibri" w:cs="Calibri" w:eastAsia="Calibri" w:hAnsi="Calibri"/>
                <w:b/>
                <w:bCs/>
                <w:color w:val="FFFFFF"/>
                <w:sz w:val="19"/>
                <w:szCs w:val="19"/>
              </w:rPr>
              <w:t xml:space="preserve">Location on page</w:t>
            </w:r>
          </w:p>
        </w:tc>
        <w:tc>
          <w:tcPr>
            <w:tcW w:type="dxa" w:w="5750"/>
            <w:shd w:fill="053B4A" w:color="auto" w:val="clear"/>
            <w:tcMar>
              <w:top w:type="dxa" w:w="120"/>
              <w:left w:type="dxa" w:w="140"/>
              <w:bottom w:type="dxa" w:w="120"/>
              <w:right w:type="dxa" w:w="140"/>
            </w:tcMar>
          </w:tcPr>
          <w:p>
            <w:pPr>
              <w:spacing w:after="0" w:line="264"/>
            </w:pPr>
            <w:r>
              <w:rPr>
                <w:rFonts w:ascii="Calibri" w:cs="Calibri" w:eastAsia="Calibri" w:hAnsi="Calibri"/>
                <w:b/>
                <w:bCs/>
                <w:color w:val="FFFFFF"/>
                <w:sz w:val="19"/>
                <w:szCs w:val="19"/>
              </w:rPr>
              <w:t xml:space="preserve">Current wording</w:t>
            </w:r>
          </w:p>
        </w:tc>
        <w:tc>
          <w:tcPr>
            <w:tcW w:type="dxa" w:w="5858"/>
            <w:shd w:fill="053B4A" w:color="auto" w:val="clear"/>
            <w:tcMar>
              <w:top w:type="dxa" w:w="120"/>
              <w:left w:type="dxa" w:w="140"/>
              <w:bottom w:type="dxa" w:w="120"/>
              <w:right w:type="dxa" w:w="140"/>
            </w:tcMar>
          </w:tcPr>
          <w:p>
            <w:pPr>
              <w:spacing w:after="0" w:line="264"/>
            </w:pPr>
            <w:r>
              <w:rPr>
                <w:rFonts w:ascii="Calibri" w:cs="Calibri" w:eastAsia="Calibri" w:hAnsi="Calibri"/>
                <w:b/>
                <w:bCs/>
                <w:color w:val="FFFFFF"/>
                <w:sz w:val="19"/>
                <w:szCs w:val="19"/>
              </w:rPr>
              <w:t xml:space="preserve">Suggested wording</w:t>
            </w:r>
          </w:p>
        </w:tc>
      </w:tr>
      <w:tr>
        <w:trPr>
          <w:cantSplit w:val="false"/>
        </w:trPr>
        <w:tc>
          <w:tcPr>
            <w:tcW w:type="dxa" w:w="2350"/>
            <w:tcMar>
              <w:top w:type="dxa" w:w="120"/>
              <w:left w:type="dxa" w:w="140"/>
              <w:bottom w:type="dxa" w:w="120"/>
              <w:right w:type="dxa" w:w="140"/>
            </w:tcMar>
          </w:tcPr>
          <w:p>
            <w:pPr>
              <w:spacing w:after="0" w:line="264"/>
            </w:pPr>
            <w:r>
              <w:rPr>
                <w:rFonts w:ascii="Calibri" w:cs="Calibri" w:eastAsia="Calibri" w:hAnsi="Calibri"/>
                <w:b/>
                <w:bCs/>
                <w:color w:val="053B4A"/>
                <w:sz w:val="19"/>
                <w:szCs w:val="19"/>
              </w:rPr>
              <w:t xml:space="preserve">Page introduction</w:t>
            </w:r>
          </w:p>
        </w:tc>
        <w:tc>
          <w:tcPr>
            <w:tcW w:type="dxa" w:w="5750"/>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Build a small institution with unusually high judgement, shown as a phased capability model rather than a finished day-one structure. See Leadership approach for how this organisation would actually be led.</w:t>
            </w:r>
          </w:p>
        </w:tc>
        <w:tc>
          <w:tcPr>
            <w:tcW w:type="dxa" w:w="5858"/>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Build a small institution with unusually high judgement, as a phased capability model rather than a finished day-one structure.</w:t>
            </w:r>
          </w:p>
          <w:p>
            <w:pPr>
              <w:spacing w:after="80" w:line="264"/>
            </w:pPr>
            <w:r>
              <w:rPr>
                <w:rFonts w:ascii="Calibri" w:cs="Calibri" w:eastAsia="Calibri" w:hAnsi="Calibri"/>
                <w:color w:val="053B4A"/>
                <w:sz w:val="19"/>
                <w:szCs w:val="19"/>
              </w:rPr>
              <w:t xml:space="preserve">See Leadership approach for how it would be led.</w:t>
            </w:r>
          </w:p>
          <w:p>
            <w:pPr>
              <w:spacing w:after="0" w:line="264"/>
            </w:pPr>
            <w:r>
              <w:rPr>
                <w:rFonts w:ascii="Calibri" w:cs="Calibri" w:eastAsia="Calibri" w:hAnsi="Calibri"/>
                <w:i/>
                <w:iCs/>
                <w:color w:val="5D6E85"/>
                <w:sz w:val="17"/>
                <w:szCs w:val="17"/>
              </w:rPr>
              <w:t xml:space="preserve">Why: "Shown as" describes the document rather than the institution. Dropping "actually" removes a defensive note that is not needed.</w:t>
            </w:r>
          </w:p>
        </w:tc>
      </w:tr>
      <w:tr>
        <w:trPr>
          <w:cantSplit w:val="false"/>
        </w:trPr>
        <w:tc>
          <w:tcPr>
            <w:tcW w:type="dxa" w:w="2350"/>
            <w:shd w:fill="F7F6F3" w:color="auto" w:val="clear"/>
            <w:tcMar>
              <w:top w:type="dxa" w:w="120"/>
              <w:left w:type="dxa" w:w="140"/>
              <w:bottom w:type="dxa" w:w="120"/>
              <w:right w:type="dxa" w:w="140"/>
            </w:tcMar>
          </w:tcPr>
          <w:p>
            <w:pPr>
              <w:spacing w:after="0" w:line="264"/>
            </w:pPr>
            <w:r>
              <w:rPr>
                <w:rFonts w:ascii="Calibri" w:cs="Calibri" w:eastAsia="Calibri" w:hAnsi="Calibri"/>
                <w:b/>
                <w:bCs/>
                <w:color w:val="053B4A"/>
                <w:sz w:val="19"/>
                <w:szCs w:val="19"/>
              </w:rPr>
              <w:t xml:space="preserve">Whole page</w:t>
            </w:r>
          </w:p>
        </w:tc>
        <w:tc>
          <w:tcPr>
            <w:tcW w:type="dxa" w:w="5750"/>
            <w:shd w:fill="F7F6F3" w:color="auto" w:val="clear"/>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The page is roughly 90 words plus two framework links, and is by some margin the thinnest of the nine.</w:t>
            </w:r>
          </w:p>
        </w:tc>
        <w:tc>
          <w:tcPr>
            <w:tcW w:type="dxa" w:w="5858"/>
            <w:shd w:fill="F7F6F3" w:color="auto" w:val="clear"/>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Add two or three sentences naming the three phases, for example what the institution looks like at day one, at first mission validation, and at full build.</w:t>
            </w:r>
          </w:p>
          <w:p>
            <w:pPr>
              <w:spacing w:after="0" w:line="264"/>
            </w:pPr>
            <w:r>
              <w:rPr>
                <w:rFonts w:ascii="Calibri" w:cs="Calibri" w:eastAsia="Calibri" w:hAnsi="Calibri"/>
                <w:i/>
                <w:iCs/>
                <w:color w:val="5D6E85"/>
                <w:sz w:val="17"/>
                <w:szCs w:val="17"/>
              </w:rPr>
              <w:t xml:space="preserve">Why: On screen this page looks empty next to Capital and Governance. Given the Board is being asked to decide on a 44-FTE upper scenario, the phasing deserves stating here rather than only inside 6.1.</w:t>
            </w:r>
          </w:p>
        </w:tc>
      </w:tr>
    </w:tbl>
    <w:p>
      <w:pPr>
        <w:spacing w:after="60" w:before="340"/>
      </w:pPr>
      <w:r>
        <w:rPr>
          <w:rFonts w:ascii="Calibri" w:cs="Calibri" w:eastAsia="Calibri" w:hAnsi="Calibri"/>
          <w:b/>
          <w:bCs/>
          <w:color w:val="053B4A"/>
          <w:sz w:val="28"/>
          <w:szCs w:val="28"/>
        </w:rPr>
        <w:t xml:space="preserve">7.  Leadership approach</w:t>
      </w:r>
    </w:p>
    <w:p>
      <w:pPr>
        <w:pBdr>
          <w:bottom w:val="single" w:color="C2410C" w:sz="10" w:space="6"/>
        </w:pBdr>
        <w:spacing w:after="160"/>
      </w:pPr>
      <w:r>
        <w:rPr>
          <w:rFonts w:ascii="Calibri" w:cs="Calibri" w:eastAsia="Calibri" w:hAnsi="Calibri"/>
          <w:i/>
          <w:iCs/>
          <w:color w:val="5D6E85"/>
          <w:sz w:val="18"/>
          <w:szCs w:val="18"/>
        </w:rPr>
        <w:t xml:space="preserve">Route: #/leadership</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350"/>
        <w:gridCol w:w="5750"/>
        <w:gridCol w:w="5858"/>
      </w:tblGrid>
      <w:tr>
        <w:trPr>
          <w:tblHeader/>
        </w:trPr>
        <w:tc>
          <w:tcPr>
            <w:tcW w:type="dxa" w:w="2350"/>
            <w:shd w:fill="053B4A" w:color="auto" w:val="clear"/>
            <w:tcMar>
              <w:top w:type="dxa" w:w="120"/>
              <w:left w:type="dxa" w:w="140"/>
              <w:bottom w:type="dxa" w:w="120"/>
              <w:right w:type="dxa" w:w="140"/>
            </w:tcMar>
          </w:tcPr>
          <w:p>
            <w:pPr>
              <w:spacing w:after="0" w:line="264"/>
            </w:pPr>
            <w:r>
              <w:rPr>
                <w:rFonts w:ascii="Calibri" w:cs="Calibri" w:eastAsia="Calibri" w:hAnsi="Calibri"/>
                <w:b/>
                <w:bCs/>
                <w:color w:val="FFFFFF"/>
                <w:sz w:val="19"/>
                <w:szCs w:val="19"/>
              </w:rPr>
              <w:t xml:space="preserve">Location on page</w:t>
            </w:r>
          </w:p>
        </w:tc>
        <w:tc>
          <w:tcPr>
            <w:tcW w:type="dxa" w:w="5750"/>
            <w:shd w:fill="053B4A" w:color="auto" w:val="clear"/>
            <w:tcMar>
              <w:top w:type="dxa" w:w="120"/>
              <w:left w:type="dxa" w:w="140"/>
              <w:bottom w:type="dxa" w:w="120"/>
              <w:right w:type="dxa" w:w="140"/>
            </w:tcMar>
          </w:tcPr>
          <w:p>
            <w:pPr>
              <w:spacing w:after="0" w:line="264"/>
            </w:pPr>
            <w:r>
              <w:rPr>
                <w:rFonts w:ascii="Calibri" w:cs="Calibri" w:eastAsia="Calibri" w:hAnsi="Calibri"/>
                <w:b/>
                <w:bCs/>
                <w:color w:val="FFFFFF"/>
                <w:sz w:val="19"/>
                <w:szCs w:val="19"/>
              </w:rPr>
              <w:t xml:space="preserve">Current wording</w:t>
            </w:r>
          </w:p>
        </w:tc>
        <w:tc>
          <w:tcPr>
            <w:tcW w:type="dxa" w:w="5858"/>
            <w:shd w:fill="053B4A" w:color="auto" w:val="clear"/>
            <w:tcMar>
              <w:top w:type="dxa" w:w="120"/>
              <w:left w:type="dxa" w:w="140"/>
              <w:bottom w:type="dxa" w:w="120"/>
              <w:right w:type="dxa" w:w="140"/>
            </w:tcMar>
          </w:tcPr>
          <w:p>
            <w:pPr>
              <w:spacing w:after="0" w:line="264"/>
            </w:pPr>
            <w:r>
              <w:rPr>
                <w:rFonts w:ascii="Calibri" w:cs="Calibri" w:eastAsia="Calibri" w:hAnsi="Calibri"/>
                <w:b/>
                <w:bCs/>
                <w:color w:val="FFFFFF"/>
                <w:sz w:val="19"/>
                <w:szCs w:val="19"/>
              </w:rPr>
              <w:t xml:space="preserve">Suggested wording</w:t>
            </w:r>
          </w:p>
        </w:tc>
      </w:tr>
      <w:tr>
        <w:trPr>
          <w:cantSplit w:val="false"/>
        </w:trPr>
        <w:tc>
          <w:tcPr>
            <w:tcW w:type="dxa" w:w="2350"/>
            <w:tcMar>
              <w:top w:type="dxa" w:w="120"/>
              <w:left w:type="dxa" w:w="140"/>
              <w:bottom w:type="dxa" w:w="120"/>
              <w:right w:type="dxa" w:w="140"/>
            </w:tcMar>
          </w:tcPr>
          <w:p>
            <w:pPr>
              <w:spacing w:after="0" w:line="264"/>
            </w:pPr>
            <w:r>
              <w:rPr>
                <w:rFonts w:ascii="Calibri" w:cs="Calibri" w:eastAsia="Calibri" w:hAnsi="Calibri"/>
                <w:b/>
                <w:bCs/>
                <w:color w:val="053B4A"/>
                <w:sz w:val="19"/>
                <w:szCs w:val="19"/>
              </w:rPr>
              <w:t xml:space="preserve">Page heading</w:t>
            </w:r>
          </w:p>
        </w:tc>
        <w:tc>
          <w:tcPr>
            <w:tcW w:type="dxa" w:w="5750"/>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Leadership: ambitious, evidence-led and institutionally grounded</w:t>
            </w:r>
          </w:p>
        </w:tc>
        <w:tc>
          <w:tcPr>
            <w:tcW w:type="dxa" w:w="5858"/>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How I would lead NZIAT</w:t>
            </w:r>
          </w:p>
          <w:p>
            <w:pPr>
              <w:spacing w:after="0" w:line="264"/>
            </w:pPr>
            <w:r>
              <w:rPr>
                <w:rFonts w:ascii="Calibri" w:cs="Calibri" w:eastAsia="Calibri" w:hAnsi="Calibri"/>
                <w:i/>
                <w:iCs/>
                <w:color w:val="5D6E85"/>
                <w:sz w:val="17"/>
                <w:szCs w:val="17"/>
              </w:rPr>
              <w:t xml:space="preserve">Why: Three adjectives after a colon is the most generic construction in corporate writing. The plain version is more confident, and this is the one page where speaking in the first person is a strength.</w:t>
            </w:r>
          </w:p>
        </w:tc>
      </w:tr>
      <w:tr>
        <w:trPr>
          <w:cantSplit w:val="false"/>
        </w:trPr>
        <w:tc>
          <w:tcPr>
            <w:tcW w:type="dxa" w:w="2350"/>
            <w:shd w:fill="F7F6F3" w:color="auto" w:val="clear"/>
            <w:tcMar>
              <w:top w:type="dxa" w:w="120"/>
              <w:left w:type="dxa" w:w="140"/>
              <w:bottom w:type="dxa" w:w="120"/>
              <w:right w:type="dxa" w:w="140"/>
            </w:tcMar>
          </w:tcPr>
          <w:p>
            <w:pPr>
              <w:spacing w:after="0" w:line="264"/>
            </w:pPr>
            <w:r>
              <w:rPr>
                <w:rFonts w:ascii="Calibri" w:cs="Calibri" w:eastAsia="Calibri" w:hAnsi="Calibri"/>
                <w:b/>
                <w:bCs/>
                <w:color w:val="053B4A"/>
                <w:sz w:val="19"/>
                <w:szCs w:val="19"/>
              </w:rPr>
              <w:t xml:space="preserve">Bullet 4</w:t>
            </w:r>
          </w:p>
        </w:tc>
        <w:tc>
          <w:tcPr>
            <w:tcW w:type="dxa" w:w="5750"/>
            <w:shd w:fill="F7F6F3" w:color="auto" w:val="clear"/>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Use specialists and independent challenge rather than trying to be the deepest scientist, investor and Crown operator simultaneously.</w:t>
            </w:r>
          </w:p>
        </w:tc>
        <w:tc>
          <w:tcPr>
            <w:tcW w:type="dxa" w:w="5858"/>
            <w:shd w:fill="F7F6F3" w:color="auto" w:val="clear"/>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Use specialists and independent challenge rather than trying to be the deepest scientist, investor and Crown operator in the room.</w:t>
            </w:r>
          </w:p>
          <w:p>
            <w:pPr>
              <w:spacing w:after="0" w:line="264"/>
            </w:pPr>
            <w:r>
              <w:rPr>
                <w:rFonts w:ascii="Calibri" w:cs="Calibri" w:eastAsia="Calibri" w:hAnsi="Calibri"/>
                <w:i/>
                <w:iCs/>
                <w:color w:val="5D6E85"/>
                <w:sz w:val="17"/>
                <w:szCs w:val="17"/>
              </w:rPr>
              <w:t xml:space="preserve">Why: "In the room" is concrete and echoes the Overview bullet on the same theme, tying the two pages together.</w:t>
            </w:r>
          </w:p>
        </w:tc>
      </w:tr>
      <w:tr>
        <w:trPr>
          <w:cantSplit w:val="false"/>
        </w:trPr>
        <w:tc>
          <w:tcPr>
            <w:tcW w:type="dxa" w:w="2350"/>
            <w:tcMar>
              <w:top w:type="dxa" w:w="120"/>
              <w:left w:type="dxa" w:w="140"/>
              <w:bottom w:type="dxa" w:w="120"/>
              <w:right w:type="dxa" w:w="140"/>
            </w:tcMar>
          </w:tcPr>
          <w:p>
            <w:pPr>
              <w:spacing w:after="0" w:line="264"/>
            </w:pPr>
            <w:r>
              <w:rPr>
                <w:rFonts w:ascii="Calibri" w:cs="Calibri" w:eastAsia="Calibri" w:hAnsi="Calibri"/>
                <w:b/>
                <w:bCs/>
                <w:color w:val="053B4A"/>
                <w:sz w:val="19"/>
                <w:szCs w:val="19"/>
              </w:rPr>
              <w:t xml:space="preserve">Closing statements</w:t>
            </w:r>
          </w:p>
        </w:tc>
        <w:tc>
          <w:tcPr>
            <w:tcW w:type="dxa" w:w="5750"/>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Opportunity Discovery is curiosity with discipline. Its purpose is learning before funding, and a valid outcome is deciding not to proceed.</w:t>
            </w:r>
          </w:p>
        </w:tc>
        <w:tc>
          <w:tcPr>
            <w:tcW w:type="dxa" w:w="5858"/>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Opportunity Discovery is curiosity with discipline. Its purpose is learning before funding, and deciding not to proceed is a valid outcome.</w:t>
            </w:r>
          </w:p>
          <w:p>
            <w:pPr>
              <w:spacing w:after="0" w:line="264"/>
            </w:pPr>
            <w:r>
              <w:rPr>
                <w:rFonts w:ascii="Calibri" w:cs="Calibri" w:eastAsia="Calibri" w:hAnsi="Calibri"/>
                <w:i/>
                <w:iCs/>
                <w:color w:val="5D6E85"/>
                <w:sz w:val="17"/>
                <w:szCs w:val="17"/>
              </w:rPr>
              <w:t xml:space="preserve">Why: Ending on "a valid outcome" rather than trailing into a subordinate clause gives the sentence a stronger close when read aloud.</w:t>
            </w:r>
          </w:p>
        </w:tc>
      </w:tr>
    </w:tbl>
    <w:p>
      <w:r>
        <w:br w:type="page"/>
      </w:r>
    </w:p>
    <w:p>
      <w:pPr>
        <w:spacing w:after="60" w:before="340"/>
      </w:pPr>
      <w:r>
        <w:rPr>
          <w:rFonts w:ascii="Calibri" w:cs="Calibri" w:eastAsia="Calibri" w:hAnsi="Calibri"/>
          <w:b/>
          <w:bCs/>
          <w:color w:val="053B4A"/>
          <w:sz w:val="28"/>
          <w:szCs w:val="28"/>
        </w:rPr>
        <w:t xml:space="preserve">8.  Governance</w:t>
      </w:r>
    </w:p>
    <w:p>
      <w:pPr>
        <w:pBdr>
          <w:bottom w:val="single" w:color="C2410C" w:sz="10" w:space="6"/>
        </w:pBdr>
        <w:spacing w:after="160"/>
      </w:pPr>
      <w:r>
        <w:rPr>
          <w:rFonts w:ascii="Calibri" w:cs="Calibri" w:eastAsia="Calibri" w:hAnsi="Calibri"/>
          <w:i/>
          <w:iCs/>
          <w:color w:val="5D6E85"/>
          <w:sz w:val="18"/>
          <w:szCs w:val="18"/>
        </w:rPr>
        <w:t xml:space="preserve">Route: #/s/governance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350"/>
        <w:gridCol w:w="5750"/>
        <w:gridCol w:w="5858"/>
      </w:tblGrid>
      <w:tr>
        <w:trPr>
          <w:tblHeader/>
        </w:trPr>
        <w:tc>
          <w:tcPr>
            <w:tcW w:type="dxa" w:w="2350"/>
            <w:shd w:fill="053B4A" w:color="auto" w:val="clear"/>
            <w:tcMar>
              <w:top w:type="dxa" w:w="120"/>
              <w:left w:type="dxa" w:w="140"/>
              <w:bottom w:type="dxa" w:w="120"/>
              <w:right w:type="dxa" w:w="140"/>
            </w:tcMar>
          </w:tcPr>
          <w:p>
            <w:pPr>
              <w:spacing w:after="0" w:line="264"/>
            </w:pPr>
            <w:r>
              <w:rPr>
                <w:rFonts w:ascii="Calibri" w:cs="Calibri" w:eastAsia="Calibri" w:hAnsi="Calibri"/>
                <w:b/>
                <w:bCs/>
                <w:color w:val="FFFFFF"/>
                <w:sz w:val="19"/>
                <w:szCs w:val="19"/>
              </w:rPr>
              <w:t xml:space="preserve">Location on page</w:t>
            </w:r>
          </w:p>
        </w:tc>
        <w:tc>
          <w:tcPr>
            <w:tcW w:type="dxa" w:w="5750"/>
            <w:shd w:fill="053B4A" w:color="auto" w:val="clear"/>
            <w:tcMar>
              <w:top w:type="dxa" w:w="120"/>
              <w:left w:type="dxa" w:w="140"/>
              <w:bottom w:type="dxa" w:w="120"/>
              <w:right w:type="dxa" w:w="140"/>
            </w:tcMar>
          </w:tcPr>
          <w:p>
            <w:pPr>
              <w:spacing w:after="0" w:line="264"/>
            </w:pPr>
            <w:r>
              <w:rPr>
                <w:rFonts w:ascii="Calibri" w:cs="Calibri" w:eastAsia="Calibri" w:hAnsi="Calibri"/>
                <w:b/>
                <w:bCs/>
                <w:color w:val="FFFFFF"/>
                <w:sz w:val="19"/>
                <w:szCs w:val="19"/>
              </w:rPr>
              <w:t xml:space="preserve">Current wording</w:t>
            </w:r>
          </w:p>
        </w:tc>
        <w:tc>
          <w:tcPr>
            <w:tcW w:type="dxa" w:w="5858"/>
            <w:shd w:fill="053B4A" w:color="auto" w:val="clear"/>
            <w:tcMar>
              <w:top w:type="dxa" w:w="120"/>
              <w:left w:type="dxa" w:w="140"/>
              <w:bottom w:type="dxa" w:w="120"/>
              <w:right w:type="dxa" w:w="140"/>
            </w:tcMar>
          </w:tcPr>
          <w:p>
            <w:pPr>
              <w:spacing w:after="0" w:line="264"/>
            </w:pPr>
            <w:r>
              <w:rPr>
                <w:rFonts w:ascii="Calibri" w:cs="Calibri" w:eastAsia="Calibri" w:hAnsi="Calibri"/>
                <w:b/>
                <w:bCs/>
                <w:color w:val="FFFFFF"/>
                <w:sz w:val="19"/>
                <w:szCs w:val="19"/>
              </w:rPr>
              <w:t xml:space="preserve">Suggested wording</w:t>
            </w:r>
          </w:p>
        </w:tc>
      </w:tr>
      <w:tr>
        <w:trPr>
          <w:cantSplit w:val="false"/>
        </w:trPr>
        <w:tc>
          <w:tcPr>
            <w:tcW w:type="dxa" w:w="2350"/>
            <w:tcMar>
              <w:top w:type="dxa" w:w="120"/>
              <w:left w:type="dxa" w:w="140"/>
              <w:bottom w:type="dxa" w:w="120"/>
              <w:right w:type="dxa" w:w="140"/>
            </w:tcMar>
          </w:tcPr>
          <w:p>
            <w:pPr>
              <w:spacing w:after="0" w:line="264"/>
            </w:pPr>
            <w:r>
              <w:rPr>
                <w:rFonts w:ascii="Calibri" w:cs="Calibri" w:eastAsia="Calibri" w:hAnsi="Calibri"/>
                <w:b/>
                <w:bCs/>
                <w:color w:val="053B4A"/>
                <w:sz w:val="19"/>
                <w:szCs w:val="19"/>
              </w:rPr>
              <w:t xml:space="preserve">Failure and accountability</w:t>
            </w:r>
          </w:p>
        </w:tc>
        <w:tc>
          <w:tcPr>
            <w:tcW w:type="dxa" w:w="5750"/>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Frontier investment can fail technically while still being governed well: a proportion of early-stage investment is expected not to work, and a mission or programme with no stops is presumed under-managed rather than high-performing. What must never fail is probity: conflicts declared late, evidence suppressed, or decisions made outside delegated authority.</w:t>
            </w:r>
          </w:p>
        </w:tc>
        <w:tc>
          <w:tcPr>
            <w:tcW w:type="dxa" w:w="5858"/>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Frontier investment can fail technically and still be governed well. A share of early-stage investment is expected not to work, and a mission with no stops is presumed under-managed rather than high-performing.</w:t>
            </w:r>
          </w:p>
          <w:p>
            <w:pPr>
              <w:spacing w:after="80" w:line="264"/>
            </w:pPr>
            <w:r>
              <w:rPr>
                <w:rFonts w:ascii="Calibri" w:cs="Calibri" w:eastAsia="Calibri" w:hAnsi="Calibri"/>
                <w:color w:val="053B4A"/>
                <w:sz w:val="19"/>
                <w:szCs w:val="19"/>
              </w:rPr>
              <w:t xml:space="preserve">What must never fail is probity: conflicts declared late, evidence suppressed, or decisions made outside delegated authority.</w:t>
            </w:r>
          </w:p>
          <w:p>
            <w:pPr>
              <w:spacing w:after="0" w:line="264"/>
            </w:pPr>
            <w:r>
              <w:rPr>
                <w:rFonts w:ascii="Calibri" w:cs="Calibri" w:eastAsia="Calibri" w:hAnsi="Calibri"/>
                <w:i/>
                <w:iCs/>
                <w:color w:val="5D6E85"/>
                <w:sz w:val="17"/>
                <w:szCs w:val="17"/>
              </w:rPr>
              <w:t xml:space="preserve">Why: The first sentence is 48 words with two colons. Splitting it sets up the probity line as the hard boundary, which is the point the Board needs to hear.</w:t>
            </w:r>
          </w:p>
        </w:tc>
      </w:tr>
      <w:tr>
        <w:trPr>
          <w:cantSplit w:val="false"/>
        </w:trPr>
        <w:tc>
          <w:tcPr>
            <w:tcW w:type="dxa" w:w="2350"/>
            <w:shd w:fill="FFF1E8" w:color="auto" w:val="clear"/>
            <w:tcMar>
              <w:top w:type="dxa" w:w="120"/>
              <w:left w:type="dxa" w:w="140"/>
              <w:bottom w:type="dxa" w:w="120"/>
              <w:right w:type="dxa" w:w="140"/>
            </w:tcMar>
          </w:tcPr>
          <w:p>
            <w:pPr>
              <w:spacing w:after="40" w:line="264"/>
            </w:pPr>
            <w:r>
              <w:rPr>
                <w:rFonts w:ascii="Calibri" w:cs="Calibri" w:eastAsia="Calibri" w:hAnsi="Calibri"/>
                <w:b/>
                <w:bCs/>
                <w:color w:val="053B4A"/>
                <w:sz w:val="19"/>
                <w:szCs w:val="19"/>
              </w:rPr>
              <w:t xml:space="preserve">Decision hierarchy</w:t>
            </w:r>
          </w:p>
          <w:p>
            <w:pPr>
              <w:spacing w:after="0" w:line="264"/>
            </w:pPr>
            <w:r>
              <w:rPr>
                <w:rFonts w:ascii="Calibri" w:cs="Calibri" w:eastAsia="Calibri" w:hAnsi="Calibri"/>
                <w:b/>
                <w:bCs/>
                <w:color w:val="C2410C"/>
                <w:sz w:val="15"/>
                <w:szCs w:val="15"/>
              </w:rPr>
              <w:t xml:space="preserve">MUST FIX</w:t>
            </w:r>
          </w:p>
        </w:tc>
        <w:tc>
          <w:tcPr>
            <w:tcW w:type="dxa" w:w="5750"/>
            <w:shd w:fill="FFF1E8" w:color="auto" w:val="clear"/>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Decision hierarchy. Mission Director: decisions within approved envelope and delegation. Executive Investment Committee: cross-functional challenge and delegated commitments. Chief Executive: accountable recommendation, organisational integration and escalation. Board: strategy, mission approval, major allocations, equity positions, risk appetite and material exceptions. Minister: ownership and accountability relationship…</w:t>
            </w:r>
          </w:p>
        </w:tc>
        <w:tc>
          <w:tcPr>
            <w:tcW w:type="dxa" w:w="5858"/>
            <w:shd w:fill="FFF1E8" w:color="auto" w:val="clear"/>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Same content, set as a five-row list or small table rather than a single run-on paragraph.</w:t>
            </w:r>
          </w:p>
          <w:p>
            <w:pPr>
              <w:spacing w:after="0" w:line="264"/>
            </w:pPr>
            <w:r>
              <w:rPr>
                <w:rFonts w:ascii="Calibri" w:cs="Calibri" w:eastAsia="Calibri" w:hAnsi="Calibri"/>
                <w:i/>
                <w:iCs/>
                <w:color w:val="5D6E85"/>
                <w:sz w:val="17"/>
                <w:szCs w:val="17"/>
              </w:rPr>
              <w:t xml:space="preserve">Why: This is reference material a Board member will scan for their own row. As prose it cannot be scanned. This is the clearest wording-to-layout fix on the site.</w:t>
            </w:r>
          </w:p>
        </w:tc>
      </w:tr>
      <w:tr>
        <w:trPr>
          <w:cantSplit w:val="false"/>
        </w:trPr>
        <w:tc>
          <w:tcPr>
            <w:tcW w:type="dxa" w:w="2350"/>
            <w:tcMar>
              <w:top w:type="dxa" w:w="120"/>
              <w:left w:type="dxa" w:w="140"/>
              <w:bottom w:type="dxa" w:w="120"/>
              <w:right w:type="dxa" w:w="140"/>
            </w:tcMar>
          </w:tcPr>
          <w:p>
            <w:pPr>
              <w:spacing w:after="0" w:line="264"/>
            </w:pPr>
            <w:r>
              <w:rPr>
                <w:rFonts w:ascii="Calibri" w:cs="Calibri" w:eastAsia="Calibri" w:hAnsi="Calibri"/>
                <w:b/>
                <w:bCs/>
                <w:color w:val="053B4A"/>
                <w:sz w:val="19"/>
                <w:szCs w:val="19"/>
              </w:rPr>
              <w:t xml:space="preserve">Conflicts and small-system reality</w:t>
            </w:r>
          </w:p>
        </w:tc>
        <w:tc>
          <w:tcPr>
            <w:tcW w:type="dxa" w:w="5750"/>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New Zealand’s research and investment community is small enough that conflicts of interest are common rather than exceptional.</w:t>
            </w:r>
          </w:p>
        </w:tc>
        <w:tc>
          <w:tcPr>
            <w:tcW w:type="dxa" w:w="5858"/>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New Zealand’s research and investment community is small enough that conflicts of interest are normal, not exceptional.</w:t>
            </w:r>
          </w:p>
          <w:p>
            <w:pPr>
              <w:spacing w:after="0" w:line="264"/>
            </w:pPr>
            <w:r>
              <w:rPr>
                <w:rFonts w:ascii="Calibri" w:cs="Calibri" w:eastAsia="Calibri" w:hAnsi="Calibri"/>
                <w:i/>
                <w:iCs/>
                <w:color w:val="5D6E85"/>
                <w:sz w:val="17"/>
                <w:szCs w:val="17"/>
              </w:rPr>
              <w:t xml:space="preserve">Why: "Normal" is the more honest word and pre-empts the objection rather than softening it.</w:t>
            </w:r>
          </w:p>
        </w:tc>
      </w:tr>
    </w:tbl>
    <w:p>
      <w:pPr>
        <w:spacing w:after="60" w:before="340"/>
      </w:pPr>
      <w:r>
        <w:rPr>
          <w:rFonts w:ascii="Calibri" w:cs="Calibri" w:eastAsia="Calibri" w:hAnsi="Calibri"/>
          <w:b/>
          <w:bCs/>
          <w:color w:val="053B4A"/>
          <w:sz w:val="28"/>
          <w:szCs w:val="28"/>
        </w:rPr>
        <w:t xml:space="preserve">9.  All frameworks (searchable index)</w:t>
      </w:r>
    </w:p>
    <w:p>
      <w:pPr>
        <w:pBdr>
          <w:bottom w:val="single" w:color="C2410C" w:sz="10" w:space="6"/>
        </w:pBdr>
        <w:spacing w:after="160"/>
      </w:pPr>
      <w:r>
        <w:rPr>
          <w:rFonts w:ascii="Calibri" w:cs="Calibri" w:eastAsia="Calibri" w:hAnsi="Calibri"/>
          <w:i/>
          <w:iCs/>
          <w:color w:val="5D6E85"/>
          <w:sz w:val="18"/>
          <w:szCs w:val="18"/>
        </w:rPr>
        <w:t xml:space="preserve">Route: #/all</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350"/>
        <w:gridCol w:w="5750"/>
        <w:gridCol w:w="5858"/>
      </w:tblGrid>
      <w:tr>
        <w:trPr>
          <w:tblHeader/>
        </w:trPr>
        <w:tc>
          <w:tcPr>
            <w:tcW w:type="dxa" w:w="2350"/>
            <w:shd w:fill="053B4A" w:color="auto" w:val="clear"/>
            <w:tcMar>
              <w:top w:type="dxa" w:w="120"/>
              <w:left w:type="dxa" w:w="140"/>
              <w:bottom w:type="dxa" w:w="120"/>
              <w:right w:type="dxa" w:w="140"/>
            </w:tcMar>
          </w:tcPr>
          <w:p>
            <w:pPr>
              <w:spacing w:after="0" w:line="264"/>
            </w:pPr>
            <w:r>
              <w:rPr>
                <w:rFonts w:ascii="Calibri" w:cs="Calibri" w:eastAsia="Calibri" w:hAnsi="Calibri"/>
                <w:b/>
                <w:bCs/>
                <w:color w:val="FFFFFF"/>
                <w:sz w:val="19"/>
                <w:szCs w:val="19"/>
              </w:rPr>
              <w:t xml:space="preserve">Location on page</w:t>
            </w:r>
          </w:p>
        </w:tc>
        <w:tc>
          <w:tcPr>
            <w:tcW w:type="dxa" w:w="5750"/>
            <w:shd w:fill="053B4A" w:color="auto" w:val="clear"/>
            <w:tcMar>
              <w:top w:type="dxa" w:w="120"/>
              <w:left w:type="dxa" w:w="140"/>
              <w:bottom w:type="dxa" w:w="120"/>
              <w:right w:type="dxa" w:w="140"/>
            </w:tcMar>
          </w:tcPr>
          <w:p>
            <w:pPr>
              <w:spacing w:after="0" w:line="264"/>
            </w:pPr>
            <w:r>
              <w:rPr>
                <w:rFonts w:ascii="Calibri" w:cs="Calibri" w:eastAsia="Calibri" w:hAnsi="Calibri"/>
                <w:b/>
                <w:bCs/>
                <w:color w:val="FFFFFF"/>
                <w:sz w:val="19"/>
                <w:szCs w:val="19"/>
              </w:rPr>
              <w:t xml:space="preserve">Current wording</w:t>
            </w:r>
          </w:p>
        </w:tc>
        <w:tc>
          <w:tcPr>
            <w:tcW w:type="dxa" w:w="5858"/>
            <w:shd w:fill="053B4A" w:color="auto" w:val="clear"/>
            <w:tcMar>
              <w:top w:type="dxa" w:w="120"/>
              <w:left w:type="dxa" w:w="140"/>
              <w:bottom w:type="dxa" w:w="120"/>
              <w:right w:type="dxa" w:w="140"/>
            </w:tcMar>
          </w:tcPr>
          <w:p>
            <w:pPr>
              <w:spacing w:after="0" w:line="264"/>
            </w:pPr>
            <w:r>
              <w:rPr>
                <w:rFonts w:ascii="Calibri" w:cs="Calibri" w:eastAsia="Calibri" w:hAnsi="Calibri"/>
                <w:b/>
                <w:bCs/>
                <w:color w:val="FFFFFF"/>
                <w:sz w:val="19"/>
                <w:szCs w:val="19"/>
              </w:rPr>
              <w:t xml:space="preserve">Suggested wording</w:t>
            </w:r>
          </w:p>
        </w:tc>
      </w:tr>
      <w:tr>
        <w:trPr>
          <w:cantSplit w:val="false"/>
        </w:trPr>
        <w:tc>
          <w:tcPr>
            <w:tcW w:type="dxa" w:w="2350"/>
            <w:tcMar>
              <w:top w:type="dxa" w:w="120"/>
              <w:left w:type="dxa" w:w="140"/>
              <w:bottom w:type="dxa" w:w="120"/>
              <w:right w:type="dxa" w:w="140"/>
            </w:tcMar>
          </w:tcPr>
          <w:p>
            <w:pPr>
              <w:spacing w:after="0" w:line="264"/>
            </w:pPr>
            <w:r>
              <w:rPr>
                <w:rFonts w:ascii="Calibri" w:cs="Calibri" w:eastAsia="Calibri" w:hAnsi="Calibri"/>
                <w:b/>
                <w:bCs/>
                <w:color w:val="053B4A"/>
                <w:sz w:val="19"/>
                <w:szCs w:val="19"/>
              </w:rPr>
              <w:t xml:space="preserve">Page introduction</w:t>
            </w:r>
          </w:p>
        </w:tc>
        <w:tc>
          <w:tcPr>
            <w:tcW w:type="dxa" w:w="5750"/>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A complete list of the frameworks that make up the NZIAT operating model, searchable by operating area.</w:t>
            </w:r>
          </w:p>
        </w:tc>
        <w:tc>
          <w:tcPr>
            <w:tcW w:type="dxa" w:w="5858"/>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Every framework in the operating model, searchable by area.</w:t>
            </w:r>
          </w:p>
          <w:p>
            <w:pPr>
              <w:spacing w:after="0" w:line="264"/>
            </w:pPr>
            <w:r>
              <w:rPr>
                <w:rFonts w:ascii="Calibri" w:cs="Calibri" w:eastAsia="Calibri" w:hAnsi="Calibri"/>
                <w:i/>
                <w:iCs/>
                <w:color w:val="5D6E85"/>
                <w:sz w:val="17"/>
                <w:szCs w:val="17"/>
              </w:rPr>
              <w:t xml:space="preserve">Why: Halves the length of a line whose only job is to explain a search box.</w:t>
            </w:r>
          </w:p>
        </w:tc>
      </w:tr>
      <w:tr>
        <w:trPr>
          <w:cantSplit w:val="false"/>
        </w:trPr>
        <w:tc>
          <w:tcPr>
            <w:tcW w:type="dxa" w:w="2350"/>
            <w:shd w:fill="F7F6F3" w:color="auto" w:val="clear"/>
            <w:tcMar>
              <w:top w:type="dxa" w:w="120"/>
              <w:left w:type="dxa" w:w="140"/>
              <w:bottom w:type="dxa" w:w="120"/>
              <w:right w:type="dxa" w:w="140"/>
            </w:tcMar>
          </w:tcPr>
          <w:p>
            <w:pPr>
              <w:spacing w:after="0" w:line="264"/>
            </w:pPr>
            <w:r>
              <w:rPr>
                <w:rFonts w:ascii="Calibri" w:cs="Calibri" w:eastAsia="Calibri" w:hAnsi="Calibri"/>
                <w:b/>
                <w:bCs/>
                <w:color w:val="053B4A"/>
                <w:sz w:val="19"/>
                <w:szCs w:val="19"/>
              </w:rPr>
              <w:t xml:space="preserve">Result count</w:t>
            </w:r>
          </w:p>
        </w:tc>
        <w:tc>
          <w:tcPr>
            <w:tcW w:type="dxa" w:w="5750"/>
            <w:shd w:fill="F7F6F3" w:color="auto" w:val="clear"/>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14 of 14 frameworks shown.</w:t>
            </w:r>
          </w:p>
        </w:tc>
        <w:tc>
          <w:tcPr>
            <w:tcW w:type="dxa" w:w="5858"/>
            <w:shd w:fill="F7F6F3" w:color="auto" w:val="clear"/>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Showing all 14 frameworks.</w:t>
            </w:r>
          </w:p>
          <w:p>
            <w:pPr>
              <w:spacing w:after="0" w:line="264"/>
            </w:pPr>
            <w:r>
              <w:rPr>
                <w:rFonts w:ascii="Calibri" w:cs="Calibri" w:eastAsia="Calibri" w:hAnsi="Calibri"/>
                <w:i/>
                <w:iCs/>
                <w:color w:val="5D6E85"/>
                <w:sz w:val="17"/>
                <w:szCs w:val="17"/>
              </w:rPr>
              <w:t xml:space="preserve">Why: Reads as a sentence rather than a system message when nothing is filtered.</w:t>
            </w:r>
          </w:p>
        </w:tc>
      </w:tr>
      <w:tr>
        <w:trPr>
          <w:cantSplit w:val="false"/>
        </w:trPr>
        <w:tc>
          <w:tcPr>
            <w:tcW w:type="dxa" w:w="2350"/>
            <w:tcMar>
              <w:top w:type="dxa" w:w="120"/>
              <w:left w:type="dxa" w:w="140"/>
              <w:bottom w:type="dxa" w:w="120"/>
              <w:right w:type="dxa" w:w="140"/>
            </w:tcMar>
          </w:tcPr>
          <w:p>
            <w:pPr>
              <w:spacing w:after="0" w:line="264"/>
            </w:pPr>
            <w:r>
              <w:rPr>
                <w:rFonts w:ascii="Calibri" w:cs="Calibri" w:eastAsia="Calibri" w:hAnsi="Calibri"/>
                <w:b/>
                <w:bCs/>
                <w:color w:val="053B4A"/>
                <w:sz w:val="19"/>
                <w:szCs w:val="19"/>
              </w:rPr>
              <w:t xml:space="preserve">Status labels</w:t>
            </w:r>
          </w:p>
        </w:tc>
        <w:tc>
          <w:tcPr>
            <w:tcW w:type="dxa" w:w="5750"/>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Proposed design choice / Requires Board decision</w:t>
            </w:r>
          </w:p>
        </w:tc>
        <w:tc>
          <w:tcPr>
            <w:tcW w:type="dxa" w:w="5858"/>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No change, but ensure the legend explaining the two labels is visible on this page as well as on Evidence.</w:t>
            </w:r>
          </w:p>
          <w:p>
            <w:pPr>
              <w:spacing w:after="0" w:line="264"/>
            </w:pPr>
            <w:r>
              <w:rPr>
                <w:rFonts w:ascii="Calibri" w:cs="Calibri" w:eastAsia="Calibri" w:hAnsi="Calibri"/>
                <w:i/>
                <w:iCs/>
                <w:color w:val="5D6E85"/>
                <w:sz w:val="17"/>
                <w:szCs w:val="17"/>
              </w:rPr>
              <w:t xml:space="preserve">Why: The index is where a Board member is most likely to land first. The labels carry real meaning and should not need another page to decode.</w:t>
            </w:r>
          </w:p>
        </w:tc>
      </w:tr>
    </w:tbl>
    <w:p>
      <w:pPr>
        <w:spacing w:after="60" w:before="340"/>
      </w:pPr>
      <w:r>
        <w:rPr>
          <w:rFonts w:ascii="Calibri" w:cs="Calibri" w:eastAsia="Calibri" w:hAnsi="Calibri"/>
          <w:b/>
          <w:bCs/>
          <w:color w:val="053B4A"/>
          <w:sz w:val="28"/>
          <w:szCs w:val="28"/>
        </w:rPr>
        <w:t xml:space="preserve">Appendix.  Evidence and Glossary</w:t>
      </w:r>
    </w:p>
    <w:p>
      <w:pPr>
        <w:pBdr>
          <w:bottom w:val="single" w:color="C2410C" w:sz="10" w:space="6"/>
        </w:pBdr>
        <w:spacing w:after="160"/>
      </w:pPr>
      <w:r>
        <w:rPr>
          <w:rFonts w:ascii="Calibri" w:cs="Calibri" w:eastAsia="Calibri" w:hAnsi="Calibri"/>
          <w:i/>
          <w:iCs/>
          <w:color w:val="5D6E85"/>
          <w:sz w:val="18"/>
          <w:szCs w:val="18"/>
        </w:rPr>
        <w:t xml:space="preserve">Routes: #/evidence and #/glossary. These sit in their own navigation group below Supporting Information, but carry the same inconsistencies.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350"/>
        <w:gridCol w:w="5750"/>
        <w:gridCol w:w="5858"/>
      </w:tblGrid>
      <w:tr>
        <w:trPr>
          <w:tblHeader/>
        </w:trPr>
        <w:tc>
          <w:tcPr>
            <w:tcW w:type="dxa" w:w="2350"/>
            <w:shd w:fill="053B4A" w:color="auto" w:val="clear"/>
            <w:tcMar>
              <w:top w:type="dxa" w:w="120"/>
              <w:left w:type="dxa" w:w="140"/>
              <w:bottom w:type="dxa" w:w="120"/>
              <w:right w:type="dxa" w:w="140"/>
            </w:tcMar>
          </w:tcPr>
          <w:p>
            <w:pPr>
              <w:spacing w:after="0" w:line="264"/>
            </w:pPr>
            <w:r>
              <w:rPr>
                <w:rFonts w:ascii="Calibri" w:cs="Calibri" w:eastAsia="Calibri" w:hAnsi="Calibri"/>
                <w:b/>
                <w:bCs/>
                <w:color w:val="FFFFFF"/>
                <w:sz w:val="19"/>
                <w:szCs w:val="19"/>
              </w:rPr>
              <w:t xml:space="preserve">Location on page</w:t>
            </w:r>
          </w:p>
        </w:tc>
        <w:tc>
          <w:tcPr>
            <w:tcW w:type="dxa" w:w="5750"/>
            <w:shd w:fill="053B4A" w:color="auto" w:val="clear"/>
            <w:tcMar>
              <w:top w:type="dxa" w:w="120"/>
              <w:left w:type="dxa" w:w="140"/>
              <w:bottom w:type="dxa" w:w="120"/>
              <w:right w:type="dxa" w:w="140"/>
            </w:tcMar>
          </w:tcPr>
          <w:p>
            <w:pPr>
              <w:spacing w:after="0" w:line="264"/>
            </w:pPr>
            <w:r>
              <w:rPr>
                <w:rFonts w:ascii="Calibri" w:cs="Calibri" w:eastAsia="Calibri" w:hAnsi="Calibri"/>
                <w:b/>
                <w:bCs/>
                <w:color w:val="FFFFFF"/>
                <w:sz w:val="19"/>
                <w:szCs w:val="19"/>
              </w:rPr>
              <w:t xml:space="preserve">Current wording</w:t>
            </w:r>
          </w:p>
        </w:tc>
        <w:tc>
          <w:tcPr>
            <w:tcW w:type="dxa" w:w="5858"/>
            <w:shd w:fill="053B4A" w:color="auto" w:val="clear"/>
            <w:tcMar>
              <w:top w:type="dxa" w:w="120"/>
              <w:left w:type="dxa" w:w="140"/>
              <w:bottom w:type="dxa" w:w="120"/>
              <w:right w:type="dxa" w:w="140"/>
            </w:tcMar>
          </w:tcPr>
          <w:p>
            <w:pPr>
              <w:spacing w:after="0" w:line="264"/>
            </w:pPr>
            <w:r>
              <w:rPr>
                <w:rFonts w:ascii="Calibri" w:cs="Calibri" w:eastAsia="Calibri" w:hAnsi="Calibri"/>
                <w:b/>
                <w:bCs/>
                <w:color w:val="FFFFFF"/>
                <w:sz w:val="19"/>
                <w:szCs w:val="19"/>
              </w:rPr>
              <w:t xml:space="preserve">Suggested wording</w:t>
            </w:r>
          </w:p>
        </w:tc>
      </w:tr>
      <w:tr>
        <w:trPr>
          <w:cantSplit w:val="false"/>
        </w:trPr>
        <w:tc>
          <w:tcPr>
            <w:tcW w:type="dxa" w:w="2350"/>
            <w:shd w:fill="FFF1E8" w:color="auto" w:val="clear"/>
            <w:tcMar>
              <w:top w:type="dxa" w:w="120"/>
              <w:left w:type="dxa" w:w="140"/>
              <w:bottom w:type="dxa" w:w="120"/>
              <w:right w:type="dxa" w:w="140"/>
            </w:tcMar>
          </w:tcPr>
          <w:p>
            <w:pPr>
              <w:spacing w:after="40" w:line="264"/>
            </w:pPr>
            <w:r>
              <w:rPr>
                <w:rFonts w:ascii="Calibri" w:cs="Calibri" w:eastAsia="Calibri" w:hAnsi="Calibri"/>
                <w:b/>
                <w:bCs/>
                <w:color w:val="053B4A"/>
                <w:sz w:val="19"/>
                <w:szCs w:val="19"/>
              </w:rPr>
              <w:t xml:space="preserve">Evidence — designed elements table</w:t>
            </w:r>
          </w:p>
          <w:p>
            <w:pPr>
              <w:spacing w:after="0" w:line="264"/>
            </w:pPr>
            <w:r>
              <w:rPr>
                <w:rFonts w:ascii="Calibri" w:cs="Calibri" w:eastAsia="Calibri" w:hAnsi="Calibri"/>
                <w:b/>
                <w:bCs/>
                <w:color w:val="C2410C"/>
                <w:sz w:val="15"/>
                <w:szCs w:val="15"/>
              </w:rPr>
              <w:t xml:space="preserve">MUST FIX</w:t>
            </w:r>
          </w:p>
        </w:tc>
        <w:tc>
          <w:tcPr>
            <w:tcW w:type="dxa" w:w="5750"/>
            <w:shd w:fill="FFF1E8" w:color="auto" w:val="clear"/>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Four mission hypotheses shown for ambition</w:t>
            </w:r>
          </w:p>
        </w:tc>
        <w:tc>
          <w:tcPr>
            <w:tcW w:type="dxa" w:w="5858"/>
            <w:shd w:fill="FFF1E8" w:color="auto" w:val="clear"/>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Three mission hypotheses shown for ambition</w:t>
            </w:r>
          </w:p>
          <w:p>
            <w:pPr>
              <w:spacing w:after="0" w:line="264"/>
            </w:pPr>
            <w:r>
              <w:rPr>
                <w:rFonts w:ascii="Calibri" w:cs="Calibri" w:eastAsia="Calibri" w:hAnsi="Calibri"/>
                <w:i/>
                <w:iCs/>
                <w:color w:val="5D6E85"/>
                <w:sz w:val="17"/>
                <w:szCs w:val="17"/>
              </w:rPr>
              <w:t xml:space="preserve">Why: Same three-versus-four inconsistency as the Overview tile and Strategy link.</w:t>
            </w:r>
          </w:p>
        </w:tc>
      </w:tr>
      <w:tr>
        <w:trPr>
          <w:cantSplit w:val="false"/>
        </w:trPr>
        <w:tc>
          <w:tcPr>
            <w:tcW w:type="dxa" w:w="2350"/>
            <w:shd w:fill="F7F6F3" w:color="auto" w:val="clear"/>
            <w:tcMar>
              <w:top w:type="dxa" w:w="120"/>
              <w:left w:type="dxa" w:w="140"/>
              <w:bottom w:type="dxa" w:w="120"/>
              <w:right w:type="dxa" w:w="140"/>
            </w:tcMar>
          </w:tcPr>
          <w:p>
            <w:pPr>
              <w:spacing w:after="0" w:line="264"/>
            </w:pPr>
            <w:r>
              <w:rPr>
                <w:rFonts w:ascii="Calibri" w:cs="Calibri" w:eastAsia="Calibri" w:hAnsi="Calibri"/>
                <w:b/>
                <w:bCs/>
                <w:color w:val="053B4A"/>
                <w:sz w:val="19"/>
                <w:szCs w:val="19"/>
              </w:rPr>
              <w:t xml:space="preserve">Glossary and Missions — page foot</w:t>
            </w:r>
          </w:p>
        </w:tc>
        <w:tc>
          <w:tcPr>
            <w:tcW w:type="dxa" w:w="5750"/>
            <w:shd w:fill="F7F6F3" w:color="auto" w:val="clear"/>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Back to overview</w:t>
            </w:r>
          </w:p>
        </w:tc>
        <w:tc>
          <w:tcPr>
            <w:tcW w:type="dxa" w:w="5858"/>
            <w:shd w:fill="F7F6F3" w:color="auto" w:val="clear"/>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Remove, for consistency.</w:t>
            </w:r>
          </w:p>
          <w:p>
            <w:pPr>
              <w:spacing w:after="0" w:line="264"/>
            </w:pPr>
            <w:r>
              <w:rPr>
                <w:rFonts w:ascii="Calibri" w:cs="Calibri" w:eastAsia="Calibri" w:hAnsi="Calibri"/>
                <w:i/>
                <w:iCs/>
                <w:color w:val="5D6E85"/>
                <w:sz w:val="17"/>
                <w:szCs w:val="17"/>
              </w:rPr>
              <w:t xml:space="preserve">Why: This button was removed from Vision, What can NZIAT Achieve and First 100 Days, but still appears on Missions and Glossary. Left as is, it looks like an oversight rather than a choice.</w:t>
            </w:r>
          </w:p>
        </w:tc>
      </w:tr>
      <w:tr>
        <w:trPr>
          <w:cantSplit w:val="false"/>
        </w:trPr>
        <w:tc>
          <w:tcPr>
            <w:tcW w:type="dxa" w:w="2350"/>
            <w:tcMar>
              <w:top w:type="dxa" w:w="120"/>
              <w:left w:type="dxa" w:w="140"/>
              <w:bottom w:type="dxa" w:w="120"/>
              <w:right w:type="dxa" w:w="140"/>
            </w:tcMar>
          </w:tcPr>
          <w:p>
            <w:pPr>
              <w:spacing w:after="0" w:line="264"/>
            </w:pPr>
            <w:r>
              <w:rPr>
                <w:rFonts w:ascii="Calibri" w:cs="Calibri" w:eastAsia="Calibri" w:hAnsi="Calibri"/>
                <w:b/>
                <w:bCs/>
                <w:color w:val="053B4A"/>
                <w:sz w:val="19"/>
                <w:szCs w:val="19"/>
              </w:rPr>
              <w:t xml:space="preserve">Component pages — date stamp</w:t>
            </w:r>
          </w:p>
        </w:tc>
        <w:tc>
          <w:tcPr>
            <w:tcW w:type="dxa" w:w="5750"/>
            <w:tcMar>
              <w:top w:type="dxa" w:w="120"/>
              <w:left w:type="dxa" w:w="140"/>
              <w:bottom w:type="dxa" w:w="120"/>
              <w:right w:type="dxa" w:w="140"/>
            </w:tcMar>
          </w:tcPr>
          <w:p>
            <w:pPr>
              <w:spacing w:after="0" w:line="264"/>
            </w:pPr>
            <w:r>
              <w:rPr>
                <w:rFonts w:ascii="Calibri" w:cs="Calibri" w:eastAsia="Calibri" w:hAnsi="Calibri"/>
                <w:color w:val="444444"/>
                <w:sz w:val="19"/>
                <w:szCs w:val="19"/>
              </w:rPr>
              <w:t xml:space="preserve">Working draft updated 6 August 2026</w:t>
            </w:r>
          </w:p>
        </w:tc>
        <w:tc>
          <w:tcPr>
            <w:tcW w:type="dxa" w:w="5858"/>
            <w:tcMar>
              <w:top w:type="dxa" w:w="120"/>
              <w:left w:type="dxa" w:w="140"/>
              <w:bottom w:type="dxa" w:w="120"/>
              <w:right w:type="dxa" w:w="140"/>
            </w:tcMar>
          </w:tcPr>
          <w:p>
            <w:pPr>
              <w:spacing w:after="80" w:line="264"/>
            </w:pPr>
            <w:r>
              <w:rPr>
                <w:rFonts w:ascii="Calibri" w:cs="Calibri" w:eastAsia="Calibri" w:hAnsi="Calibri"/>
                <w:color w:val="053B4A"/>
                <w:sz w:val="19"/>
                <w:szCs w:val="19"/>
              </w:rPr>
              <w:t xml:space="preserve">Confirm the date before presenting, and apply the same date to every component page.</w:t>
            </w:r>
          </w:p>
          <w:p>
            <w:pPr>
              <w:spacing w:after="0" w:line="264"/>
            </w:pPr>
            <w:r>
              <w:rPr>
                <w:rFonts w:ascii="Calibri" w:cs="Calibri" w:eastAsia="Calibri" w:hAnsi="Calibri"/>
                <w:i/>
                <w:iCs/>
                <w:color w:val="5D6E85"/>
                <w:sz w:val="17"/>
                <w:szCs w:val="17"/>
              </w:rPr>
              <w:t xml:space="preserve">Why: A stale or inconsistent date on a document dated the month of the interview is exactly the detail a Board notices.</w:t>
            </w:r>
          </w:p>
        </w:tc>
      </w:tr>
    </w:tbl>
    <w:p>
      <w:pPr>
        <w:pBdr>
          <w:top w:val="single" w:color="D8D6D1" w:sz="8" w:space="8"/>
        </w:pBdr>
        <w:spacing w:before="400"/>
      </w:pPr>
      <w:r>
        <w:rPr>
          <w:i/>
          <w:iCs/>
          <w:color w:val="5D6E85"/>
          <w:sz w:val="17"/>
          <w:szCs w:val="17"/>
        </w:rPr>
        <w:t xml:space="preserve">Wording suggestions only. Design and layout recommendations for the Vision, What can NZIAT Achieve and First 100 Days pages are provided separately.</w:t>
      </w:r>
    </w:p>
    <w:sectPr>
      <w:pgSz w:w="16838" w:h="11906"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NZIAT Supporting Information: proposed wording changes</dc:title>
  <dc:creator>NZIAT operating model</dc:creator>
  <cp:lastModifiedBy>Un-named</cp:lastModifiedBy>
  <cp:revision>1</cp:revision>
  <dcterms:created xsi:type="dcterms:W3CDTF">2026-08-10T22:20:20.501Z</dcterms:created>
  <dcterms:modified xsi:type="dcterms:W3CDTF">2026-08-10T22:20:20.502Z</dcterms:modified>
</cp:coreProperties>
</file>

<file path=docProps/custom.xml><?xml version="1.0" encoding="utf-8"?>
<Properties xmlns="http://schemas.openxmlformats.org/officeDocument/2006/custom-properties" xmlns:vt="http://schemas.openxmlformats.org/officeDocument/2006/docPropsVTypes"/>
</file>