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2057"/>
          <w:sz w:val="28"/>
          <w:szCs w:val="28"/>
        </w:rPr>
        <w:t xml:space="preserve">BCIM Engineering Private Limited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A2057"/>
          <w:sz w:val="40"/>
          <w:szCs w:val="40"/>
        </w:rPr>
        <w:t xml:space="preserve">ERP Pending &amp; Completed Task List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Construct ERP  |  As of 26 June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Modules: LANCO Hills LH10 + General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1700"/>
        <w:gridCol w:w="1100"/>
        <w:gridCol w:w="12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Print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duplicate project name in LANCO delivery 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 Print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duplicate project name in LANCO delivery 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Print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amendment subtitle line from amendment PO header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/ WO Print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Force LANCO delivery address on print regardless of stored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Drill-down PO list when clicking cost head in commitment 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Approvals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Restrict hr_admin to HR-only approvals (leave &amp; expense claims)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 Order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item serial numbers changing after save (missing item IDs)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DQS Tower MR numbering reset to 001, renumber existing 2 MRs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Units / Stores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Pcs as a distinct unit of measure in stores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26-Jun-26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 / RA Bill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Invoice for RA Bill needs update for GST compliance — CGST/SGST/IGST fields, HSN 9954, Works Contract tax structure to be added to invoice print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 Page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invoices for LH10 not yet raised (GSTR-3B page is empty)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Pcs unit appears in Raise MR dropdown after deploy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480"/>
      </w:pPr>
      <w:r>
        <w:rPr>
          <w:rFonts w:ascii="Arial" w:cs="Arial" w:eastAsia="Arial" w:hAnsi="Arial"/>
          <w:b/>
          <w:bCs/>
          <w:color w:val="0A2057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1.  All Completed items are committed and live on Railway (main branch).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2.  DQS Tower MR renumbering takes effect on next Railway server restart.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3.  Pcs unit will appear in MRS dropdowns after next Railway deploy.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4.  GST / RA Bill Tax Invoice: needs CGST/SGST/IGST breakdown, HSN 9954 (Works Contract), and GST compliance fields on the invoice print template.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2026-06-26T06:27:11.940Z</dcterms:created>
  <dcterms:modified xsi:type="dcterms:W3CDTF">2026-06-26T06:27:11.942Z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