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Cs/>
          <w:b/>
        </w:rPr>
        <w:t xml:space="preserve">Short title</w:t>
      </w:r>
      <w:r>
        <w:t xml:space="preserve">: Cardiovascular risk for US adults</w:t>
      </w:r>
    </w:p>
    <w:p>
      <w:pPr>
        <w:pStyle w:val="BodyText"/>
      </w:pPr>
      <w:r>
        <w:rPr>
          <w:bCs/>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Cs/>
          <w:b/>
        </w:rPr>
        <w:t xml:space="preserve">Word count (including references, but not tables and legends)</w:t>
      </w:r>
      <w:r>
        <w:t xml:space="preserve">: 4117</w:t>
      </w:r>
    </w:p>
    <w:p>
      <w:pPr>
        <w:pStyle w:val="BodyText"/>
      </w:pPr>
      <w:r>
        <w:rPr>
          <w:bCs/>
          <w:b/>
        </w:rPr>
        <w:t xml:space="preserve">number of tables</w:t>
      </w:r>
      <w:r>
        <w:t xml:space="preserve">: 4 (3 main tables; 1 supplemental table)</w:t>
      </w:r>
    </w:p>
    <w:p>
      <w:pPr>
        <w:pStyle w:val="BodyText"/>
      </w:pPr>
      <w:r>
        <w:rPr>
          <w:bCs/>
          <w:b/>
        </w:rPr>
        <w:t xml:space="preserve">number of figures</w:t>
      </w:r>
      <w:r>
        <w:t xml:space="preserve">: 5 (2 main figures, 3, supplemental figures)</w:t>
      </w:r>
    </w:p>
    <w:p>
      <w:pPr>
        <w:pStyle w:val="BodyText"/>
      </w:pPr>
      <w:r>
        <w:rPr>
          <w:bCs/>
          <w:b/>
        </w:rPr>
        <w:t xml:space="preserve">number of supplementary digital content files</w:t>
      </w:r>
      <w:r>
        <w:t xml:space="preserve">: 0</w:t>
      </w:r>
    </w:p>
    <w:p>
      <w:r>
        <w:br w:type="page"/>
      </w:r>
    </w:p>
    <w:p>
      <w:pPr>
        <w:pStyle w:val="BodyText"/>
      </w:pPr>
      <w:r>
        <w:rPr>
          <w:bCs/>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Cs/>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w:t>
      </w:r>
    </w:p>
    <w:p>
      <w:pPr>
        <w:pStyle w:val="BodyText"/>
      </w:pPr>
      <w:r>
        <w:rPr>
          <w:bCs/>
          <w:b/>
        </w:rPr>
        <w:t xml:space="preserve">Methods:</w:t>
      </w:r>
      <w:r>
        <w:t xml:space="preserve"> </w:t>
      </w:r>
      <w:r>
        <w:t xml:space="preserve">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Cs/>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Cs/>
          <w:b/>
        </w:rPr>
        <w:t xml:space="preserve">Conclusions:</w:t>
      </w:r>
      <w:r>
        <w:t xml:space="preserve"> </w:t>
      </w:r>
      <w:r>
        <w:t xml:space="preserve">Most US adults with diabetes, CKD, or age ≥65 years had high ASCVD risk. However, many with stage 1 hypertension did not.</w:t>
      </w:r>
    </w:p>
    <w:p>
      <w:pPr>
        <w:pStyle w:val="BodyText"/>
      </w:pPr>
      <w:r>
        <w:rPr>
          <w:bCs/>
          <w:b/>
        </w:rPr>
        <w:t xml:space="preserve">Key words</w:t>
      </w:r>
      <w:r>
        <w:t xml:space="preserve">: Atherosclerotic cardiovascular disease, blood pressure, diabetes, chronic kidney disease, risk prediction</w:t>
      </w:r>
      <w:r>
        <w:t xml:space="preserve"> </w:t>
      </w:r>
    </w:p>
    <w:bookmarkEnd w:id="20"/>
    <w:bookmarkStart w:id="21" w:name="condensed-abstract"/>
    <w:p>
      <w:pPr>
        <w:pStyle w:val="Heading1"/>
      </w:pPr>
      <w:r>
        <w:t xml:space="preserve">CONDENSED ABSTRACT</w:t>
      </w:r>
    </w:p>
    <w:p>
      <w:pPr>
        <w:pStyle w:val="FirstParagraph"/>
      </w:pPr>
      <w:r>
        <w:t xml:space="preserve">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
        <w:br w:type="page"/>
      </w:r>
    </w:p>
    <w:bookmarkEnd w:id="21"/>
    <w:bookmarkStart w:id="22"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2"/>
    <w:bookmarkStart w:id="23"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bookmarkEnd w:id="23"/>
    <w:bookmarkStart w:id="29"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bookmarkStart w:id="24"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w:t>
      </w:r>
      <w:r>
        <w:t xml:space="preserve"> </w:t>
      </w:r>
      <w:r>
        <w:rPr>
          <w:rFonts w:ascii="Times New Roman" w:hAnsi="Times New Roman" w:eastAsia="Times New Roman" w:cs="Times New Roman"/>
          <w:i w:val="false"/>
          <w:b w:val="false"/>
          <w:u w:val="none"/>
          <w:sz w:val="24"/>
          <w:szCs w:val="24"/>
          <w:color w:val="FF0000"/>
        </w:rPr>
        <w:t xml:space="preserve">and a medication inventory was conducted</w:t>
      </w:r>
      <w:r>
        <w:t xml:space="preserve"> </w:t>
      </w:r>
      <w:r>
        <w:t xml:space="preserve">during the medical examination.</w:t>
      </w:r>
      <w:r>
        <w:t xml:space="preserve"> </w:t>
      </w:r>
      <w:r>
        <w:rPr>
          <w:rFonts w:ascii="Times New Roman" w:hAnsi="Times New Roman" w:eastAsia="Times New Roman" w:cs="Times New Roman"/>
          <w:i w:val="false"/>
          <w:b w:val="false"/>
          <w:u w:val="none"/>
          <w:sz w:val="24"/>
          <w:szCs w:val="24"/>
          <w:color w:val="FF0000"/>
        </w:rPr>
        <w:t xml:space="preserve"> Antihypertensive medication classes were defined according to the 2017 ACC/AHA BP guideline</w:t>
      </w:r>
      <w:r>
        <w:t xml:space="preserve"> </w:t>
      </w:r>
      <w:r>
        <w:t xml:space="preserve">[1]</w:t>
      </w:r>
      <w:r>
        <w:t xml:space="preserve">.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[2,8]</w:t>
      </w:r>
      <w:r>
        <w:t xml:space="preserve">. High ASCVD risk was defined as having a 10-year predicted ASCVD risk ≥ 10% or clinical CVD.</w:t>
      </w:r>
    </w:p>
    <w:p>
      <w:pPr>
        <w:pStyle w:val="BodyText"/>
      </w:pPr>
    </w:p>
    <w:bookmarkEnd w:id="24"/>
    <w:bookmarkStart w:id="25"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5"/>
    <w:bookmarkStart w:id="26"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6"/>
    <w:bookmarkStart w:id="28" w:name="statistical-analysis"/>
    <w:p>
      <w:pPr>
        <w:pStyle w:val="Heading2"/>
      </w:pPr>
      <w:r>
        <w:t xml:space="preserve">Statistical analysis</w:t>
      </w:r>
    </w:p>
    <w:p>
      <w:pPr>
        <w:pStyle w:val="FirstParagraph"/>
      </w:pPr>
      <w:r>
        <w:t xml:space="preserve">Analyses were conducted for the overall population and among</w:t>
      </w:r>
      <w:r>
        <w:t xml:space="preserve"> </w:t>
      </w:r>
      <w:r>
        <w:rPr>
          <w:rFonts w:ascii="Times New Roman" w:hAnsi="Times New Roman" w:eastAsia="Times New Roman" w:cs="Times New Roman"/>
          <w:i w:val="false"/>
          <w:b w:val="false"/>
          <w:u w:val="none"/>
          <w:sz w:val="24"/>
          <w:szCs w:val="24"/>
          <w:color w:val="FF0000"/>
        </w:rPr>
        <w:t xml:space="preserve">non-exclusive subgroups of</w:t>
      </w:r>
      <w:r>
        <w:t xml:space="preserve"> </w:t>
      </w:r>
      <w:r>
        <w:t xml:space="preserve">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w:t>
      </w:r>
      <w:r>
        <w:t xml:space="preserve"> </w:t>
      </w:r>
      <w:r>
        <w:rPr>
          <w:rFonts w:ascii="Times New Roman" w:hAnsi="Times New Roman" w:eastAsia="Times New Roman" w:cs="Times New Roman"/>
          <w:i w:val="false"/>
          <w:b w:val="false"/>
          <w:u w:val="none"/>
          <w:sz w:val="24"/>
          <w:szCs w:val="24"/>
          <w:color w:val="FF0000"/>
        </w:rPr>
        <w:t xml:space="preserve">Among participants who reported taking antihypertensive medication and had at least 1 antihypertensive medication class in their medication inventory, the mean, median, and distribution of the number of classes of antihypertensive medication being used was estimated.</w:t>
      </w:r>
      <w:r>
        <w:t xml:space="preserve"> </w:t>
      </w:r>
      <w:r>
        <w:rPr>
          <w:rFonts w:ascii="Times New Roman" w:hAnsi="Times New Roman" w:eastAsia="Times New Roman" w:cs="Times New Roman"/>
          <w:i w:val="false"/>
          <w:b w:val="false"/>
          <w:u w:val="none"/>
          <w:sz w:val="24"/>
          <w:szCs w:val="24"/>
          <w:color w:val="FF0000"/>
        </w:rPr>
        <w:t xml:space="preserve">The percentage of US adults with stage 1 hypertension and 10-year predicted ASCVD risk &lt; 10% assumed to have high ASCVD risk by the ACC/AHA guideline due to diabetes, CKD, or age was also estimated.</w:t>
      </w:r>
      <w:r>
        <w:t xml:space="preserve"> </w:t>
      </w:r>
      <w:r>
        <w:t xml:space="preserve">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4.1.1 (released August 10, 2021) along with a collection of open-source software packages</w:t>
      </w:r>
      <w:r>
        <w:t xml:space="preserve"> </w:t>
      </w:r>
      <w:r>
        <w:t xml:space="preserve">[9–12]</w:t>
      </w:r>
      <w:r>
        <w:t xml:space="preserve">. The datasets generated during and/or analyzed during the current study are publicly available. The first author’s GitHub repository (</w:t>
      </w:r>
      <w:hyperlink r:id="rId27">
        <w:r>
          <w:rPr>
            <w:rStyle w:val="Hyperlink"/>
          </w:rPr>
          <w:t xml:space="preserve">https://github.com/bcjaeger/ACC-AHA-BP-guideline-groups</w:t>
        </w:r>
      </w:hyperlink>
      <w:r>
        <w:t xml:space="preserve">) provides code to reproduce the current study.</w:t>
      </w:r>
    </w:p>
    <w:p>
      <w:pPr>
        <w:pStyle w:val="BodyText"/>
      </w:pPr>
    </w:p>
    <w:bookmarkEnd w:id="28"/>
    <w:bookmarkEnd w:id="29"/>
    <w:bookmarkStart w:id="32" w:name="results"/>
    <w:p>
      <w:pPr>
        <w:pStyle w:val="Heading1"/>
      </w:pPr>
      <w:r>
        <w:t xml:space="preserve">RESULTS</w:t>
      </w:r>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w:t>
      </w:r>
      <w:r>
        <w:t xml:space="preserve"> </w:t>
      </w:r>
      <w:r>
        <w:rPr>
          <w:rFonts w:ascii="Times New Roman" w:hAnsi="Times New Roman" w:eastAsia="Times New Roman" w:cs="Times New Roman"/>
          <w:i w:val="false"/>
          <w:b w:val="false"/>
          <w:u w:val="none"/>
          <w:sz w:val="24"/>
          <w:szCs w:val="24"/>
          <w:color w:val="FF0000"/>
        </w:rPr>
        <w:t xml:space="preserve">Among US adults who reported using antihypertensive medication and had at least 1 antihypertensive medication class in their medication inventory, the median number of classes was 2 and 23.4% were taking 3 or more classes (Table S1)</w:t>
      </w:r>
      <w:r>
        <w:t xml:space="preserve">. Characteristics of US adults 40 to 79 years of age with stage 1 hypertension are presented in Table S2.</w:t>
      </w:r>
      <w:r>
        <w:t xml:space="preserve"> </w:t>
      </w:r>
      <w:r>
        <w:rPr>
          <w:rFonts w:ascii="Times New Roman" w:hAnsi="Times New Roman" w:eastAsia="Times New Roman" w:cs="Times New Roman"/>
          <w:i w:val="false"/>
          <w:b w:val="false"/>
          <w:u w:val="none"/>
          <w:sz w:val="24"/>
          <w:szCs w:val="24"/>
          <w:color w:val="FF0000"/>
        </w:rPr>
        <w:t xml:space="preserve">Among US adults with stage 1 hypertension and 10-year predicted ASCVD risk &lt; 10%, 17.8% were assumed to have high ASCVD risk by the ACC/AHA BP guideline due to diabetes, CKD, or ≥ 65 years of age. Among those with predicted ASCVD risk &lt; 10% and assumed to have high ASCVD risk by the guideline, 69.6% were women (Table S3).</w:t>
      </w:r>
    </w:p>
    <w:p>
      <w:pPr>
        <w:pStyle w:val="BodyText"/>
      </w:pPr>
    </w:p>
    <w:bookmarkStart w:id="30"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8.6%) in the overall population and 8.9% (4.8%, 19.8%), 7.4% (2.8%, 12.4%), 13.8% (8.6%, 22.3%), and 9.8% (5.3%, 16.6%)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bookmarkEnd w:id="30"/>
    <w:bookmarkStart w:id="31"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1"/>
    <w:bookmarkEnd w:id="32"/>
    <w:bookmarkStart w:id="33"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[15]</w:t>
      </w:r>
      <w:r>
        <w:t xml:space="preserve">. For example, in an analysis of the Reasons for Geographic and Racial Differences in Stroke study, those with stage 1 hypertension for whom initiation of antihypertensive medication</w:t>
      </w:r>
      <w:r>
        <w:t xml:space="preserve"> </w:t>
      </w:r>
      <w:r>
        <w:rPr>
          <w:bCs/>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2017 ACC/AHA BP guideline’s definition of hypertension and recommendations for initiating antihypertensive medication differ from other guidelines published between 2015 and 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Pr>
          <w:vertAlign w:val="superscript"/>
        </w:rPr>
        <w:t xml:space="preserve">2</w:t>
      </w:r>
      <w:r>
        <w:t xml:space="preserve">), or diabetes with target organ damage are included in the very high CVD risk group. The current study found that many US adults with CKD (eGFR &lt;60 mL/min/1.73 m</w:t>
      </w:r>
      <w:r>
        <w:rPr>
          <w:vertAlign w:val="superscript"/>
        </w:rPr>
        <w:t xml:space="preserve">2</w:t>
      </w:r>
      <w:r>
        <w:t xml:space="preserve"> </w:t>
      </w:r>
      <w:r>
        <w:t xml:space="preserve">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w:t>
      </w:r>
      <w:r>
        <w:t xml:space="preserve"> </w:t>
      </w:r>
      <w:r>
        <w:rPr>
          <w:rFonts w:ascii="Times New Roman" w:hAnsi="Times New Roman" w:eastAsia="Times New Roman" w:cs="Times New Roman"/>
          <w:i w:val="false"/>
          <w:b w:val="false"/>
          <w:u w:val="none"/>
          <w:sz w:val="24"/>
          <w:szCs w:val="24"/>
          <w:color w:val="FF0000"/>
        </w:rPr>
        <w:t xml:space="preserve">Clinical CVD status may also have been mis-classified as it was determined by self-report rather than diagnostic imaging. The current analysis also did not account for target organ damage, e.g. left-ventricular hypertrophy, that predict CVD risk.</w:t>
      </w:r>
      <w:r>
        <w:t xml:space="preserve"> </w:t>
      </w:r>
      <w:r>
        <w:t xml:space="preserve">A total of 1,271 participants had stage 1 hypertension, and some subgroups of this population based on diabetes, CKD, and ≥ 65 years of age were small.</w:t>
      </w:r>
    </w:p>
    <w:p>
      <w:pPr>
        <w:pStyle w:val="BodyText"/>
      </w:pPr>
    </w:p>
    <w:bookmarkEnd w:id="33"/>
    <w:bookmarkStart w:id="34"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56.7 (0.2)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60.3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62.4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70.6 (0.1)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116.7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111.1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107.8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110.3 (1.3)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71.5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76"/>
        <w:gridCol w:w="1584"/>
        <w:gridCol w:w="1584"/>
        <w:gridCol w:w="1584"/>
        <w:gridCol w:w="1584"/>
        <w:gridCol w:w="1584"/>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w:t>
              <w:br/>
              <w:t xml:space="preserve">(2.9, 16.1)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br/>
              <w:t xml:space="preserve">(1.1, 9.0)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br/>
              <w:t xml:space="preserve">(3.2, 12.5)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(4.3, 17.4)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w:t>
              <w:br/>
              <w:t xml:space="preserve">(1.6, 17.1)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w:t>
              <w:br/>
              <w:t xml:space="preserve">(1.9, 8.6)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br/>
              <w:t xml:space="preserve">(4.8, 19.8)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br/>
              <w:t xml:space="preserve">(2.8, 12.4)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19.0</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(6.6, 21.9)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br/>
              <w:t xml:space="preserve">(8.4, 28.7)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72.3</w:t>
              <w:br/>
              <w:t xml:space="preserve">(69.3, 75.4)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69.0</w:t>
              <w:br/>
              <w:t xml:space="preserve">(66.9, 71.2)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(11.1, 15.8)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61.9</w:t>
              <w:br/>
              <w:t xml:space="preserve">(59.5, 64.3)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81.3</w:t>
              <w:br/>
              <w:t xml:space="preserve">(77.8, 84.9)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xmlns:r="http://schemas.openxmlformats.org/officeDocument/2006/relationships">
          <wp:inline distT="0" distB="0" distL="0" distR="0">
            <wp:extent cx="54864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2"/>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xmlns:r="http://schemas.openxmlformats.org/officeDocument/2006/relationships">
          <wp:inline distT="0" distB="0" distL="0" distR="0">
            <wp:extent cx="54864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Estimated mean, median, and distribution of the number of antihypertensive medication classes used by US adults 40-79 years of age who reported using medication to lower blood pressure,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Number of antihypertensive</w:t>
              <w:br/>
              <w:t xml:space="preserve">medication classes</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2,144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742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646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1,477</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Mean (standard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 (0.03)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2.17 (0.05)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2.21 (0.06)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2.08 (0.04)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2.06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Median (25th, 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 are presented for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who reported taking antihypertensive medication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and had at least one class of antihypertensive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medication in their medication inventory</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460</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56.8 (1.2)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 (1.1)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69.7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125.2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120.0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117.1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114.1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119.3 (2.5)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70.4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 was defined as having untreated systolic blood pressure between 130 and 139 mm Hg with diastolic blood pressure &lt; 90 mm Hg or diastolic blood pressure between 80 and 89 mm Hg with systolic blood pressure &lt; 90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Characteristics of US adults with stage 1 hypertension and 10-year predicted atherosclerotic cardiovascular disease risk &lt; 10%,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97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192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51.1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49.5 (1.0)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(1.4)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66.9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55.4 (1.1)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203.7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184.0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184.9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189.8 (4.6)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59.2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53.9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126.0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118.1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115.3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109.0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116.5 (6.1)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73.2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73.1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128.8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130.4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130.8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79.2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74.7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77.6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xmlns:r="http://schemas.openxmlformats.org/officeDocument/2006/relationships">
          <wp:inline distT="0" distB="0" distL="0" distR="0">
            <wp:extent cx="54864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xmlns:r="http://schemas.openxmlformats.org/officeDocument/2006/relationships">
          <wp:inline distT="0" distB="0" distL="0" distR="0">
            <wp:extent cx="54864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Acknowledgments:</w:t>
      </w:r>
      <w:r>
        <w:t xml:space="preserve"> </w:t>
      </w:r>
      <w:r>
        <w:t xml:space="preserve">None.</w:t>
      </w:r>
    </w:p>
    <w:p>
      <w:r>
        <w:br w:type="page"/>
      </w:r>
    </w:p>
    <w:bookmarkEnd w:id="34"/>
    <w:bookmarkStart w:id="70" w:name="references"/>
    <w:p>
      <w:pPr>
        <w:pStyle w:val="Heading1"/>
      </w:pPr>
      <w:r>
        <w:t xml:space="preserve">REFERENCES</w:t>
      </w:r>
    </w:p>
    <w:bookmarkStart w:id="69" w:name="refs"/>
    <w:bookmarkStart w:id="35" w:name="ref-whelton20182017"/>
    <w:p>
      <w:pPr>
        <w:pStyle w:val="Bibliography"/>
      </w:pPr>
      <w:r>
        <w:t xml:space="preserve">1</w:t>
      </w:r>
      <w:r>
        <w:t xml:space="preserve"> </w:t>
      </w:r>
      <w:r>
        <w:t xml:space="preserve">	</w:t>
      </w:r>
      <w:r>
        <w:t xml:space="preserve">Whelton PK, Carey RM, Aronow WS, Casey DE, Collins KJ, Himmelfarb CD,</w:t>
      </w:r>
      <w:r>
        <w:t xml:space="preserve"> </w:t>
      </w:r>
      <w:r>
        <w:rPr>
          <w:iCs/>
          <w:i/>
        </w:rPr>
        <w:t xml:space="preserve">et al.</w:t>
      </w:r>
      <w:r>
        <w:t xml:space="preserv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71:e127–e248.</w:t>
      </w:r>
    </w:p>
    <w:bookmarkEnd w:id="35"/>
    <w:bookmarkStart w:id="36" w:name="ref-goff20142013"/>
    <w:p>
      <w:pPr>
        <w:pStyle w:val="Bibliography"/>
      </w:pPr>
      <w:r>
        <w:t xml:space="preserve">2</w:t>
      </w:r>
      <w:r>
        <w:t xml:space="preserve"> </w:t>
      </w:r>
      <w:r>
        <w:t xml:space="preserve">	</w:t>
      </w:r>
      <w:r>
        <w:t xml:space="preserve">Goff DC, Lloyd-Jones DM, Bennett G, Coady S, D’agostino RB, Gibbons R,</w:t>
      </w:r>
      <w:r>
        <w:t xml:space="preserve"> </w:t>
      </w:r>
      <w:r>
        <w:rPr>
          <w:iCs/>
          <w:i/>
        </w:rPr>
        <w:t xml:space="preserve">et al.</w:t>
      </w:r>
      <w:r>
        <w:t xml:space="preserve">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2014; 63:2935–2959.</w:t>
      </w:r>
    </w:p>
    <w:bookmarkEnd w:id="36"/>
    <w:bookmarkStart w:id="37" w:name="ref-shillinglaw2012use"/>
    <w:p>
      <w:pPr>
        <w:pStyle w:val="Bibliography"/>
      </w:pPr>
      <w:r>
        <w:t xml:space="preserve">3</w:t>
      </w:r>
      <w:r>
        <w:t xml:space="preserve"> </w:t>
      </w:r>
      <w:r>
        <w:t xml:space="preserve">	</w:t>
      </w:r>
      <w:r>
        <w:t xml:space="preserve">Shillinglaw B, Viera AJ, Edwards T, Simpson R, Sheridan SL. Use of global coronary heart disease risk assessment in practice: A cross-sectional survey of a sample of US physicians.</w:t>
      </w:r>
      <w:r>
        <w:t xml:space="preserve"> </w:t>
      </w:r>
      <w:r>
        <w:rPr>
          <w:iCs/>
          <w:i/>
        </w:rPr>
        <w:t xml:space="preserve">BMC health services research</w:t>
      </w:r>
      <w:r>
        <w:t xml:space="preserve"> </w:t>
      </w:r>
      <w:r>
        <w:t xml:space="preserve">2012; 12:20.</w:t>
      </w:r>
    </w:p>
    <w:bookmarkEnd w:id="37"/>
    <w:bookmarkStart w:id="39"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8">
        <w:r>
          <w:rPr>
            <w:rStyle w:val="Hyperlink"/>
          </w:rPr>
          <w:t xml:space="preserve">https://www.cdc.gov/nchs/nhanes/index.htm</w:t>
        </w:r>
      </w:hyperlink>
      <w:r>
        <w:t xml:space="preserve">. Accessed on 09/07/2020.</w:t>
      </w:r>
      <w:r>
        <w:t xml:space="preserve"> </w:t>
      </w:r>
    </w:p>
    <w:bookmarkEnd w:id="39"/>
    <w:bookmarkStart w:id="41" w:name="ref-nhanes_tutorial_weights"/>
    <w:p>
      <w:pPr>
        <w:pStyle w:val="Bibliography"/>
      </w:pPr>
      <w:r>
        <w:t xml:space="preserve">5</w:t>
      </w:r>
      <w:r>
        <w:t xml:space="preserve"> </w:t>
      </w:r>
      <w:r>
        <w:t xml:space="preserve">	</w:t>
      </w:r>
      <w:r>
        <w:t xml:space="preserve">NHANES. Tutorials - module 3 - weighting, available at</w:t>
      </w:r>
      <w:r>
        <w:t xml:space="preserve"> </w:t>
      </w:r>
      <w:hyperlink r:id="rId40">
        <w:r>
          <w:rPr>
            <w:rStyle w:val="Hyperlink"/>
          </w:rPr>
          <w:t xml:space="preserve">https://wwwn.cdc.gov/nchs/nhanes/tutorials/module3.aspx</w:t>
        </w:r>
      </w:hyperlink>
      <w:r>
        <w:t xml:space="preserve">. Accessed on 09/07/2020.</w:t>
      </w:r>
      <w:r>
        <w:t xml:space="preserve"> </w:t>
      </w:r>
    </w:p>
    <w:bookmarkEnd w:id="41"/>
    <w:bookmarkStart w:id="42" w:name="ref-levey2009new"/>
    <w:p>
      <w:pPr>
        <w:pStyle w:val="Bibliography"/>
      </w:pPr>
      <w:r>
        <w:t xml:space="preserve">6</w:t>
      </w:r>
      <w:r>
        <w:t xml:space="preserve"> </w:t>
      </w:r>
      <w:r>
        <w:t xml:space="preserve">	</w:t>
      </w:r>
      <w:r>
        <w:t xml:space="preserve">Levey AS, Stevens LA, Schmid CH, Zhang Y, Castro III AF, Feldman HI,</w:t>
      </w:r>
      <w:r>
        <w:t xml:space="preserve"> </w:t>
      </w:r>
      <w:r>
        <w:rPr>
          <w:iCs/>
          <w:i/>
        </w:rPr>
        <w:t xml:space="preserve">et al.</w:t>
      </w:r>
      <w:r>
        <w:t xml:space="preserve"> A new equation to estimate glomerular filtration rate.</w:t>
      </w:r>
      <w:r>
        <w:t xml:space="preserve"> </w:t>
      </w:r>
      <w:r>
        <w:rPr>
          <w:iCs/>
          <w:i/>
        </w:rPr>
        <w:t xml:space="preserve">Annals of internal medicine</w:t>
      </w:r>
      <w:r>
        <w:t xml:space="preserve"> </w:t>
      </w:r>
      <w:r>
        <w:t xml:space="preserve">2009; 150:604–612.</w:t>
      </w:r>
    </w:p>
    <w:bookmarkEnd w:id="42"/>
    <w:bookmarkStart w:id="44" w:name="ref-cite_nephro"/>
    <w:p>
      <w:pPr>
        <w:pStyle w:val="Bibliography"/>
      </w:pPr>
      <w:r>
        <w:t xml:space="preserve">7</w:t>
      </w:r>
      <w:r>
        <w:t xml:space="preserve"> </w:t>
      </w:r>
      <w:r>
        <w:t xml:space="preserve">	</w:t>
      </w:r>
      <w:r>
        <w:t xml:space="preserve">Pattaro C.</w:t>
      </w:r>
      <w:r>
        <w:t xml:space="preserve"> </w:t>
      </w:r>
      <w:r>
        <w:rPr>
          <w:iCs/>
          <w:i/>
        </w:rPr>
        <w:t xml:space="preserve">Nephro: Utilities for nephrology</w:t>
      </w:r>
      <w:r>
        <w:t xml:space="preserve">. ; 2017.</w:t>
      </w:r>
      <w:r>
        <w:t xml:space="preserve"> </w:t>
      </w:r>
      <w:hyperlink r:id="rId43">
        <w:r>
          <w:rPr>
            <w:rStyle w:val="Hyperlink"/>
          </w:rPr>
          <w:t xml:space="preserve">https://CRAN.R-project.org/package=nephro</w:t>
        </w:r>
      </w:hyperlink>
    </w:p>
    <w:bookmarkEnd w:id="44"/>
    <w:bookmarkStart w:id="45" w:name="ref-lloyd2019use"/>
    <w:p>
      <w:pPr>
        <w:pStyle w:val="Bibliography"/>
      </w:pPr>
      <w:r>
        <w:t xml:space="preserve">8</w:t>
      </w:r>
      <w:r>
        <w:t xml:space="preserve"> </w:t>
      </w:r>
      <w:r>
        <w:t xml:space="preserve">	</w:t>
      </w:r>
      <w:r>
        <w:t xml:space="preserve">Lloyd-Jones DM, Braun LT, Ndumele CE, Smith SC, Sperling LS, Virani SS,</w:t>
      </w:r>
      <w:r>
        <w:t xml:space="preserve"> </w:t>
      </w:r>
      <w:r>
        <w:rPr>
          <w:iCs/>
          <w:i/>
        </w:rPr>
        <w:t xml:space="preserve">et al.</w:t>
      </w:r>
      <w:r>
        <w:t xml:space="preserve"> Use of risk assessment tools to guide decision-making in the primary prevention of atherosclerotic cardiovascular disease: A special report from the american heart association and american college of cardiology.</w:t>
      </w:r>
      <w:r>
        <w:t xml:space="preserve"> </w:t>
      </w:r>
      <w:r>
        <w:rPr>
          <w:iCs/>
          <w:i/>
        </w:rPr>
        <w:t xml:space="preserve">Journal of the American College of Cardiology</w:t>
      </w:r>
      <w:r>
        <w:t xml:space="preserve"> </w:t>
      </w:r>
      <w:r>
        <w:t xml:space="preserve">2019; 73:3153–3167.</w:t>
      </w:r>
    </w:p>
    <w:bookmarkEnd w:id="45"/>
    <w:bookmarkStart w:id="47" w:name="ref-cite_R"/>
    <w:p>
      <w:pPr>
        <w:pStyle w:val="Bibliography"/>
      </w:pPr>
      <w:r>
        <w:t xml:space="preserve">9</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 2020.</w:t>
      </w:r>
      <w:r>
        <w:t xml:space="preserve"> </w:t>
      </w:r>
      <w:hyperlink r:id="rId46">
        <w:r>
          <w:rPr>
            <w:rStyle w:val="Hyperlink"/>
          </w:rPr>
          <w:t xml:space="preserve">https://www.R-project.org/</w:t>
        </w:r>
      </w:hyperlink>
    </w:p>
    <w:bookmarkEnd w:id="47"/>
    <w:bookmarkStart w:id="49" w:name="ref-cite_drake"/>
    <w:p>
      <w:pPr>
        <w:pStyle w:val="Bibliography"/>
      </w:pPr>
      <w:r>
        <w:t xml:space="preserve">10</w:t>
      </w:r>
      <w:r>
        <w:t xml:space="preserve"> </w:t>
      </w:r>
      <w:r>
        <w:t xml:space="preserve">	</w:t>
      </w:r>
      <w:r>
        <w:t xml:space="preserve">Landau WM. The drake</w:t>
      </w:r>
      <w:r>
        <w:t xml:space="preserve"> </w:t>
      </w:r>
      <w:r>
        <w:t xml:space="preserve">R</w:t>
      </w:r>
      <w:r>
        <w:t xml:space="preserve"> </w:t>
      </w:r>
      <w:r>
        <w:t xml:space="preserve">package: A pipeline toolkit for reproducibility and high-performance computing.</w:t>
      </w:r>
      <w:r>
        <w:t xml:space="preserve"> </w:t>
      </w:r>
      <w:r>
        <w:rPr>
          <w:iCs/>
          <w:i/>
        </w:rPr>
        <w:t xml:space="preserve">Journal of Open Source Software</w:t>
      </w:r>
      <w:r>
        <w:t xml:space="preserve"> </w:t>
      </w:r>
      <w:r>
        <w:t xml:space="preserve">2018; 3.</w:t>
      </w:r>
      <w:hyperlink r:id="rId48">
        <w:r>
          <w:rPr>
            <w:rStyle w:val="Hyperlink"/>
          </w:rPr>
          <w:t xml:space="preserve">https://doi.org/10.21105/joss.00550</w:t>
        </w:r>
      </w:hyperlink>
    </w:p>
    <w:bookmarkEnd w:id="49"/>
    <w:bookmarkStart w:id="50" w:name="ref-cite_tidyverse"/>
    <w:p>
      <w:pPr>
        <w:pStyle w:val="Bibliography"/>
      </w:pPr>
      <w:r>
        <w:t xml:space="preserve">11</w:t>
      </w:r>
      <w:r>
        <w:t xml:space="preserve"> </w:t>
      </w:r>
      <w:r>
        <w:t xml:space="preserve">	</w:t>
      </w:r>
      <w:r>
        <w:t xml:space="preserve">Wickham H, Averick M, Bryan J, Chang W, McGowan LD, François R,</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t xml:space="preserve">2019; 4:1686.</w:t>
      </w:r>
    </w:p>
    <w:bookmarkEnd w:id="50"/>
    <w:bookmarkStart w:id="52" w:name="ref-cite_table.glue"/>
    <w:p>
      <w:pPr>
        <w:pStyle w:val="Bibliography"/>
      </w:pPr>
      <w:r>
        <w:t xml:space="preserve">12</w:t>
      </w:r>
      <w:r>
        <w:t xml:space="preserve"> </w:t>
      </w:r>
      <w:r>
        <w:t xml:space="preserve">	</w:t>
      </w:r>
      <w:r>
        <w:t xml:space="preserve">Jaeger B.</w:t>
      </w:r>
      <w:r>
        <w:t xml:space="preserve"> </w:t>
      </w:r>
      <w:r>
        <w:rPr>
          <w:iCs/>
          <w:i/>
        </w:rPr>
        <w:t xml:space="preserve">table.glue</w:t>
      </w:r>
      <w:r>
        <w:rPr>
          <w:iCs/>
          <w:i/>
        </w:rPr>
        <w:t xml:space="preserve">: Make and apply customized rounding specifications for tables</w:t>
      </w:r>
      <w:r>
        <w:t xml:space="preserve">. ; 2020. doi:</w:t>
      </w:r>
      <w:hyperlink r:id="rId51">
        <w:r>
          <w:rPr>
            <w:rStyle w:val="Hyperlink"/>
          </w:rPr>
          <w:t xml:space="preserve">10.5281/zenodo.4107159</w:t>
        </w:r>
      </w:hyperlink>
    </w:p>
    <w:bookmarkEnd w:id="52"/>
    <w:bookmarkStart w:id="53" w:name="ref-colantonio20182017"/>
    <w:p>
      <w:pPr>
        <w:pStyle w:val="Bibliography"/>
      </w:pPr>
      <w:r>
        <w:t xml:space="preserve">13</w:t>
      </w:r>
      <w:r>
        <w:t xml:space="preserve"> </w:t>
      </w:r>
      <w:r>
        <w:t xml:space="preserve">	</w:t>
      </w:r>
      <w:r>
        <w:t xml:space="preserve">Colantonio LD, Booth JN, Bress AP, Whelton PK, Shimbo D, Levitan EB,</w:t>
      </w:r>
      <w:r>
        <w:t xml:space="preserve"> </w:t>
      </w:r>
      <w:r>
        <w:rPr>
          <w:iCs/>
          <w:i/>
        </w:rPr>
        <w:t xml:space="preserve">et al.</w:t>
      </w:r>
      <w:r>
        <w:t xml:space="preserve">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72:1187–1197.</w:t>
      </w:r>
    </w:p>
    <w:bookmarkEnd w:id="53"/>
    <w:bookmarkStart w:id="54" w:name="ref-jaeger2019cardiovascular"/>
    <w:p>
      <w:pPr>
        <w:pStyle w:val="Bibliography"/>
      </w:pPr>
      <w:r>
        <w:t xml:space="preserve">14</w:t>
      </w:r>
      <w:r>
        <w:t xml:space="preserve"> </w:t>
      </w:r>
      <w:r>
        <w:t xml:space="preserve">	</w:t>
      </w:r>
      <w:r>
        <w:t xml:space="preserve">Jaeger BC, Anstey DE, Bress AP, Booth III JN, Butler M, Clark III D,</w:t>
      </w:r>
      <w:r>
        <w:t xml:space="preserve"> </w:t>
      </w:r>
      <w:r>
        <w:rPr>
          <w:iCs/>
          <w:i/>
        </w:rPr>
        <w:t xml:space="preserve">et al.</w:t>
      </w:r>
      <w:r>
        <w:t xml:space="preserve">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w:t>
      </w:r>
      <w:r>
        <w:t xml:space="preserve"> </w:t>
      </w:r>
      <w:r>
        <w:rPr>
          <w:iCs/>
          <w:i/>
        </w:rPr>
        <w:t xml:space="preserve">Hypertension</w:t>
      </w:r>
      <w:r>
        <w:t xml:space="preserve"> </w:t>
      </w:r>
      <w:r>
        <w:t xml:space="preserve">2019; 73:327–334.</w:t>
      </w:r>
    </w:p>
    <w:bookmarkEnd w:id="54"/>
    <w:bookmarkStart w:id="55" w:name="ref-herrett2019eligibility"/>
    <w:p>
      <w:pPr>
        <w:pStyle w:val="Bibliography"/>
      </w:pPr>
      <w:r>
        <w:t xml:space="preserve">15</w:t>
      </w:r>
      <w:r>
        <w:t xml:space="preserve"> </w:t>
      </w:r>
      <w:r>
        <w:t xml:space="preserve">	</w:t>
      </w:r>
      <w:r>
        <w:t xml:space="preserve">Herrett E, Gadd S, Jackson R, Bhaskaran K, Williamson E, Staa T van,</w:t>
      </w:r>
      <w:r>
        <w:t xml:space="preserve"> </w:t>
      </w:r>
      <w:r>
        <w:rPr>
          <w:iCs/>
          <w:i/>
        </w:rPr>
        <w:t xml:space="preserve">et al.</w:t>
      </w:r>
      <w:r>
        <w:t xml:space="preserve"> Eligibility and subsequent burden of cardiovascular disease of four strategies for blood pressure-lowering treatment: A retrospective cohort study.</w:t>
      </w:r>
      <w:r>
        <w:t xml:space="preserve"> </w:t>
      </w:r>
      <w:r>
        <w:rPr>
          <w:iCs/>
          <w:i/>
        </w:rPr>
        <w:t xml:space="preserve">The Lancet</w:t>
      </w:r>
      <w:r>
        <w:t xml:space="preserve"> </w:t>
      </w:r>
      <w:r>
        <w:t xml:space="preserve">2019; 394:663–671.</w:t>
      </w:r>
    </w:p>
    <w:bookmarkEnd w:id="55"/>
    <w:bookmarkStart w:id="56" w:name="ref-schrier2002effects"/>
    <w:p>
      <w:pPr>
        <w:pStyle w:val="Bibliography"/>
      </w:pPr>
      <w:r>
        <w:t xml:space="preserve">16</w:t>
      </w:r>
      <w:r>
        <w:t xml:space="preserve"> </w:t>
      </w:r>
      <w:r>
        <w:t xml:space="preserve">	</w:t>
      </w:r>
      <w:r>
        <w:t xml:space="preserve">Schrier RW, Estacio RO, Esler A, Mehler P. Effects of aggressive blood pressure control in normotensive type 2 diabetic patients on albuminuria, retinopathy and strokes.</w:t>
      </w:r>
      <w:r>
        <w:t xml:space="preserve"> </w:t>
      </w:r>
      <w:r>
        <w:rPr>
          <w:iCs/>
          <w:i/>
        </w:rPr>
        <w:t xml:space="preserve">Kidney international</w:t>
      </w:r>
      <w:r>
        <w:t xml:space="preserve"> </w:t>
      </w:r>
      <w:r>
        <w:t xml:space="preserve">2002; 61:1086–1097.</w:t>
      </w:r>
    </w:p>
    <w:bookmarkEnd w:id="56"/>
    <w:bookmarkStart w:id="57" w:name="ref-cheung2017effects"/>
    <w:p>
      <w:pPr>
        <w:pStyle w:val="Bibliography"/>
      </w:pPr>
      <w:r>
        <w:t xml:space="preserve">17</w:t>
      </w:r>
      <w:r>
        <w:t xml:space="preserve"> </w:t>
      </w:r>
      <w:r>
        <w:t xml:space="preserve">	</w:t>
      </w:r>
      <w:r>
        <w:t xml:space="preserve">Cheung AK, Rahman M, Reboussin DM, Craven TE, Greene T, Kimmel PL,</w:t>
      </w:r>
      <w:r>
        <w:t xml:space="preserve"> </w:t>
      </w:r>
      <w:r>
        <w:rPr>
          <w:iCs/>
          <w:i/>
        </w:rPr>
        <w:t xml:space="preserve">et al.</w:t>
      </w:r>
      <w:r>
        <w:t xml:space="preserve"> Effects of intensive blood pressure control in chronic kidney disease.</w:t>
      </w:r>
      <w:r>
        <w:t xml:space="preserve"> </w:t>
      </w:r>
      <w:r>
        <w:rPr>
          <w:iCs/>
          <w:i/>
        </w:rPr>
        <w:t xml:space="preserve">Journal of the American Society of Nephrology</w:t>
      </w:r>
      <w:r>
        <w:t xml:space="preserve"> </w:t>
      </w:r>
      <w:r>
        <w:t xml:space="preserve">2017; 28:2812–2823.</w:t>
      </w:r>
    </w:p>
    <w:bookmarkEnd w:id="57"/>
    <w:bookmarkStart w:id="58" w:name="ref-sprint2015randomized"/>
    <w:p>
      <w:pPr>
        <w:pStyle w:val="Bibliography"/>
      </w:pPr>
      <w:r>
        <w:t xml:space="preserve">18</w:t>
      </w:r>
      <w:r>
        <w:t xml:space="preserve"> </w:t>
      </w:r>
      <w:r>
        <w:t xml:space="preserve">	</w:t>
      </w:r>
      <w:r>
        <w:t xml:space="preserve">SPRINT Research Group. A randomized trial of intensive versus standard blood-pressure control.</w:t>
      </w:r>
      <w:r>
        <w:t xml:space="preserve"> </w:t>
      </w:r>
      <w:r>
        <w:rPr>
          <w:iCs/>
          <w:i/>
        </w:rPr>
        <w:t xml:space="preserve">New England Journal of Medicine</w:t>
      </w:r>
      <w:r>
        <w:t xml:space="preserve"> </w:t>
      </w:r>
      <w:r>
        <w:t xml:space="preserve">2015; 373:2103–2116.</w:t>
      </w:r>
    </w:p>
    <w:bookmarkEnd w:id="58"/>
    <w:bookmarkStart w:id="59" w:name="ref-ettehad2016blood"/>
    <w:p>
      <w:pPr>
        <w:pStyle w:val="Bibliography"/>
      </w:pPr>
      <w:r>
        <w:t xml:space="preserve">19</w:t>
      </w:r>
      <w:r>
        <w:t xml:space="preserve"> </w:t>
      </w:r>
      <w:r>
        <w:t xml:space="preserve">	</w:t>
      </w:r>
      <w:r>
        <w:t xml:space="preserve">Ettehad D, Emdin CA, Kiran A, Anderson SG, Callender T, Emberson J,</w:t>
      </w:r>
      <w:r>
        <w:t xml:space="preserve"> </w:t>
      </w:r>
      <w:r>
        <w:rPr>
          <w:iCs/>
          <w:i/>
        </w:rPr>
        <w:t xml:space="preserve">et al.</w:t>
      </w:r>
      <w:r>
        <w:t xml:space="preserve"> Blood pressure lowering for prevention of cardiovascular disease and death: A systematic review and meta-analysis.</w:t>
      </w:r>
      <w:r>
        <w:t xml:space="preserve"> </w:t>
      </w:r>
      <w:r>
        <w:rPr>
          <w:iCs/>
          <w:i/>
        </w:rPr>
        <w:t xml:space="preserve">The Lancet</w:t>
      </w:r>
      <w:r>
        <w:t xml:space="preserve"> </w:t>
      </w:r>
      <w:r>
        <w:t xml:space="preserve">2016; 387:957–967.</w:t>
      </w:r>
    </w:p>
    <w:bookmarkEnd w:id="59"/>
    <w:bookmarkStart w:id="60" w:name="ref-bundy2017systolic"/>
    <w:p>
      <w:pPr>
        <w:pStyle w:val="Bibliography"/>
      </w:pPr>
      <w:r>
        <w:t xml:space="preserve">20</w:t>
      </w:r>
      <w:r>
        <w:t xml:space="preserve"> </w:t>
      </w:r>
      <w:r>
        <w:t xml:space="preserve">	</w:t>
      </w:r>
      <w:r>
        <w:t xml:space="preserve">Bundy JD, Li C, Stuchlik P, Bu X, Kelly TN, Mills KT,</w:t>
      </w:r>
      <w:r>
        <w:t xml:space="preserve"> </w:t>
      </w:r>
      <w:r>
        <w:rPr>
          <w:iCs/>
          <w:i/>
        </w:rPr>
        <w:t xml:space="preserve">et al.</w:t>
      </w:r>
      <w:r>
        <w:t xml:space="preserve"> Systolic blood pressure reduction and risk of cardiovascular disease and mortality: A systematic review and network meta-analysis.</w:t>
      </w:r>
      <w:r>
        <w:t xml:space="preserve"> </w:t>
      </w:r>
      <w:r>
        <w:rPr>
          <w:iCs/>
          <w:i/>
        </w:rPr>
        <w:t xml:space="preserve">JAMA cardiology</w:t>
      </w:r>
      <w:r>
        <w:t xml:space="preserve"> </w:t>
      </w:r>
      <w:r>
        <w:t xml:space="preserve">2017; 2:775–781.</w:t>
      </w:r>
    </w:p>
    <w:bookmarkEnd w:id="60"/>
    <w:bookmarkStart w:id="61" w:name="ref-reboussin2018systematic"/>
    <w:p>
      <w:pPr>
        <w:pStyle w:val="Bibliography"/>
      </w:pPr>
      <w:r>
        <w:t xml:space="preserve">21</w:t>
      </w:r>
      <w:r>
        <w:t xml:space="preserve"> </w:t>
      </w:r>
      <w:r>
        <w:t xml:space="preserve">	</w:t>
      </w:r>
      <w:r>
        <w:t xml:space="preserve">Reboussin DM, Allen NB, Griswold ME, Guallar E, Hong Y, Lackland DT,</w:t>
      </w:r>
      <w:r>
        <w:t xml:space="preserve"> </w:t>
      </w:r>
      <w:r>
        <w:rPr>
          <w:iCs/>
          <w:i/>
        </w:rPr>
        <w:t xml:space="preserve">et al.</w:t>
      </w:r>
      <w:r>
        <w:t xml:space="preserve">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71:2176–2198.</w:t>
      </w:r>
    </w:p>
    <w:bookmarkEnd w:id="61"/>
    <w:bookmarkStart w:id="62" w:name="ref-coresh2004evidence"/>
    <w:p>
      <w:pPr>
        <w:pStyle w:val="Bibliography"/>
      </w:pPr>
      <w:r>
        <w:t xml:space="preserve">22</w:t>
      </w:r>
      <w:r>
        <w:t xml:space="preserve"> </w:t>
      </w:r>
      <w:r>
        <w:t xml:space="preserve">	</w:t>
      </w:r>
      <w:r>
        <w:t xml:space="preserve">Coresh J, Astor B, Sarnak MJ. Evidence for increased cardiovascular disease risk in patients with chronic kidney disease.</w:t>
      </w:r>
      <w:r>
        <w:t xml:space="preserve"> </w:t>
      </w:r>
      <w:r>
        <w:rPr>
          <w:iCs/>
          <w:i/>
        </w:rPr>
        <w:t xml:space="preserve">Current opinion in nephrology and hypertension</w:t>
      </w:r>
      <w:r>
        <w:t xml:space="preserve"> </w:t>
      </w:r>
      <w:r>
        <w:t xml:space="preserve">2004; 13:73–81.</w:t>
      </w:r>
    </w:p>
    <w:bookmarkEnd w:id="62"/>
    <w:bookmarkStart w:id="63" w:name="ref-chronic2010association"/>
    <w:p>
      <w:pPr>
        <w:pStyle w:val="Bibliography"/>
      </w:pPr>
      <w:r>
        <w:t xml:space="preserve">23</w:t>
      </w:r>
      <w:r>
        <w:t xml:space="preserve"> </w:t>
      </w:r>
      <w:r>
        <w:t xml:space="preserve">	</w:t>
      </w:r>
      <w:r>
        <w:t xml:space="preserve">Chronic Kidney Disease Prognosis Consortium and others. Association of estimated glomerular filtration rate and albuminuria with all-cause and cardiovascular mortality in general population cohorts: A collaborative meta-analysis.</w:t>
      </w:r>
      <w:r>
        <w:t xml:space="preserve"> </w:t>
      </w:r>
      <w:r>
        <w:rPr>
          <w:iCs/>
          <w:i/>
        </w:rPr>
        <w:t xml:space="preserve">The Lancet</w:t>
      </w:r>
      <w:r>
        <w:t xml:space="preserve"> </w:t>
      </w:r>
      <w:r>
        <w:t xml:space="preserve">2010; 375:2073–2081.</w:t>
      </w:r>
    </w:p>
    <w:bookmarkEnd w:id="63"/>
    <w:bookmarkStart w:id="64" w:name="ref-grundy1999diabetes"/>
    <w:p>
      <w:pPr>
        <w:pStyle w:val="Bibliography"/>
      </w:pPr>
      <w:r>
        <w:t xml:space="preserve">24</w:t>
      </w:r>
      <w:r>
        <w:t xml:space="preserve"> </w:t>
      </w:r>
      <w:r>
        <w:t xml:space="preserve">	</w:t>
      </w:r>
      <w:r>
        <w:t xml:space="preserve">Grundy SM, Benjamin IJ, Burke GL, Chait A, Eckel RH, Howard BV,</w:t>
      </w:r>
      <w:r>
        <w:t xml:space="preserve"> </w:t>
      </w:r>
      <w:r>
        <w:rPr>
          <w:iCs/>
          <w:i/>
        </w:rPr>
        <w:t xml:space="preserve">et al.</w:t>
      </w:r>
      <w:r>
        <w:t xml:space="preserve"> Diabetes and cardiovascular disease: A statement for healthcare professionals from the</w:t>
      </w:r>
      <w:r>
        <w:t xml:space="preserve"> </w:t>
      </w:r>
      <w:r>
        <w:t xml:space="preserve">American</w:t>
      </w:r>
      <w:r>
        <w:t xml:space="preserve"> </w:t>
      </w:r>
      <w:r>
        <w:t xml:space="preserve">heart association.</w:t>
      </w:r>
      <w:r>
        <w:t xml:space="preserve"> </w:t>
      </w:r>
      <w:r>
        <w:rPr>
          <w:iCs/>
          <w:i/>
        </w:rPr>
        <w:t xml:space="preserve">Circulation</w:t>
      </w:r>
      <w:r>
        <w:t xml:space="preserve"> </w:t>
      </w:r>
      <w:r>
        <w:t xml:space="preserve">1999; 100:1134–1146.</w:t>
      </w:r>
    </w:p>
    <w:bookmarkEnd w:id="64"/>
    <w:bookmarkStart w:id="65" w:name="ref-lakatta2002age"/>
    <w:p>
      <w:pPr>
        <w:pStyle w:val="Bibliography"/>
      </w:pPr>
      <w:r>
        <w:t xml:space="preserve">25</w:t>
      </w:r>
      <w:r>
        <w:t xml:space="preserve"> </w:t>
      </w:r>
      <w:r>
        <w:t xml:space="preserve">	</w:t>
      </w:r>
      <w:r>
        <w:t xml:space="preserve">Lakatta EG. Age-associated cardiovascular changes in health: Impact on cardiovascular disease in older persons.</w:t>
      </w:r>
      <w:r>
        <w:t xml:space="preserve"> </w:t>
      </w:r>
      <w:r>
        <w:rPr>
          <w:iCs/>
          <w:i/>
        </w:rPr>
        <w:t xml:space="preserve">Heart failure reviews</w:t>
      </w:r>
      <w:r>
        <w:t xml:space="preserve"> </w:t>
      </w:r>
      <w:r>
        <w:t xml:space="preserve">2002; 7:29–49.</w:t>
      </w:r>
    </w:p>
    <w:bookmarkEnd w:id="65"/>
    <w:bookmarkStart w:id="66" w:name="ref-lloyd2006prediction"/>
    <w:p>
      <w:pPr>
        <w:pStyle w:val="Bibliography"/>
      </w:pPr>
      <w:r>
        <w:t xml:space="preserve">26</w:t>
      </w:r>
      <w:r>
        <w:t xml:space="preserve"> </w:t>
      </w:r>
      <w:r>
        <w:t xml:space="preserve">	</w:t>
      </w:r>
      <w:r>
        <w:t xml:space="preserve">Lloyd-Jones DM, Leip EP, Larson MG, d’Agostino RB, Beiser A, Wilson P,</w:t>
      </w:r>
      <w:r>
        <w:t xml:space="preserve"> </w:t>
      </w:r>
      <w:r>
        <w:rPr>
          <w:iCs/>
          <w:i/>
        </w:rPr>
        <w:t xml:space="preserve">et al.</w:t>
      </w:r>
      <w:r>
        <w:t xml:space="preserve"> Prediction of lifetime risk for cardiovascular disease by risk factor burden at 50 years of age.</w:t>
      </w:r>
      <w:r>
        <w:t xml:space="preserve"> </w:t>
      </w:r>
      <w:r>
        <w:rPr>
          <w:iCs/>
          <w:i/>
        </w:rPr>
        <w:t xml:space="preserve">Circulation</w:t>
      </w:r>
      <w:r>
        <w:t xml:space="preserve"> </w:t>
      </w:r>
      <w:r>
        <w:t xml:space="preserve">2006; 113:791–798.</w:t>
      </w:r>
    </w:p>
    <w:bookmarkEnd w:id="66"/>
    <w:bookmarkStart w:id="67" w:name="ref-hippisley2010derivation"/>
    <w:p>
      <w:pPr>
        <w:pStyle w:val="Bibliography"/>
      </w:pPr>
      <w:r>
        <w:t xml:space="preserve">27</w:t>
      </w:r>
      <w:r>
        <w:t xml:space="preserve"> </w:t>
      </w:r>
      <w:r>
        <w:t xml:space="preserve">	</w:t>
      </w:r>
      <w:r>
        <w:t xml:space="preserve">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w:t>
      </w:r>
      <w:r>
        <w:t xml:space="preserve"> </w:t>
      </w:r>
      <w:r>
        <w:rPr>
          <w:iCs/>
          <w:i/>
        </w:rPr>
        <w:t xml:space="preserve">BMJ</w:t>
      </w:r>
      <w:r>
        <w:t xml:space="preserve"> </w:t>
      </w:r>
      <w:r>
        <w:t xml:space="preserve">2010; 341.</w:t>
      </w:r>
    </w:p>
    <w:bookmarkEnd w:id="67"/>
    <w:bookmarkStart w:id="68" w:name="ref-allen2014blood"/>
    <w:p>
      <w:pPr>
        <w:pStyle w:val="Bibliography"/>
      </w:pPr>
      <w:r>
        <w:t xml:space="preserve">28</w:t>
      </w:r>
      <w:r>
        <w:t xml:space="preserve"> </w:t>
      </w:r>
      <w:r>
        <w:t xml:space="preserve">	</w:t>
      </w:r>
      <w:r>
        <w:t xml:space="preserve">Allen NB, Siddique J, Wilkins JT, Shay C, Lewis CE, Goff DC,</w:t>
      </w:r>
      <w:r>
        <w:t xml:space="preserve"> </w:t>
      </w:r>
      <w:r>
        <w:rPr>
          <w:iCs/>
          <w:i/>
        </w:rPr>
        <w:t xml:space="preserve">et al.</w:t>
      </w:r>
      <w:r>
        <w:t xml:space="preserve"> Blood pressure trajectories in early adulthood and subclinical atherosclerosis in middle age.</w:t>
      </w:r>
      <w:r>
        <w:t xml:space="preserve"> </w:t>
      </w:r>
      <w:r>
        <w:rPr>
          <w:iCs/>
          <w:i/>
        </w:rPr>
        <w:t xml:space="preserve">Jama</w:t>
      </w:r>
      <w:r>
        <w:t xml:space="preserve"> </w:t>
      </w:r>
      <w:r>
        <w:t xml:space="preserve">2014; 311:490–497.</w:t>
      </w:r>
    </w:p>
    <w:bookmarkEnd w:id="68"/>
    <w:bookmarkEnd w:id="69"/>
    <w:bookmarkEnd w:id="7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3"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doi.org/10.5281/zenodo.4107159" TargetMode="External"/>
<Relationship Id="rId27" Type="http://schemas.openxmlformats.org/officeDocument/2006/relationships/hyperlink" Target="https://github.com/bcjaeger/ACC-AHA-BP-guideline-groups"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 Id="rId52" Type="http://schemas.openxmlformats.org/officeDocument/2006/relationships/image" Target="media/file1b946faf3cd8.png"/>
<Relationship Id="rId53" Type="http://schemas.openxmlformats.org/officeDocument/2006/relationships/image" Target="media/file1b941d2e2d37.png"/>
<Relationship Id="rId54" Type="http://schemas.openxmlformats.org/officeDocument/2006/relationships/image" Target="media/file1b945ddd138a.png"/>
<Relationship Id="rId55" Type="http://schemas.openxmlformats.org/officeDocument/2006/relationships/image" Target="media/file1b949783619.png"/>
<Relationship Id="rId56" Type="http://schemas.openxmlformats.org/officeDocument/2006/relationships/image" Target="media/file1b944b433614.png"/>
</Relationships>

</file>

<file path=word/_rels/footnotes.xml.rels><?xml version="1.0" encoding="UTF-8" standalone="yes"?>

<Relationships  xmlns="http://schemas.openxmlformats.org/package/2006/relationships">
<Relationship Id="rId43"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doi.org/10.5281/zenodo.4107159" TargetMode="External"/>
<Relationship Id="rId27" Type="http://schemas.openxmlformats.org/officeDocument/2006/relationships/hyperlink" Target="https://github.com/bcjaeger/ACC-AHA-BP-guideline-groups"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2021-09-27T00:37:32Z</dcterms:created>
  <dcterms:modified xsi:type="dcterms:W3CDTF">2021-09-26T20:37:33Z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