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p>
    <w:p>
      <w:pPr>
        <w:pStyle w:val="BodyText"/>
      </w:pPr>
      <w:r>
        <w:t xml:space="preserve">Total word count: ~3,700 / 5,000</w:t>
      </w:r>
    </w:p>
    <w:p>
      <w:pPr>
        <w:pStyle w:val="BodyText"/>
      </w:pPr>
      <w:r>
        <w:t xml:space="preserve">Byron C. Jaeger, PhD</w:t>
      </w:r>
      <w:r>
        <w:rPr>
          <w:vertAlign w:val="superscript"/>
        </w:rPr>
        <w:t xml:space="preserve">1</w:t>
      </w:r>
      <w:r>
        <w:t xml:space="preserve">, Swati Sakhuja, MS?</w:t>
      </w:r>
      <w:r>
        <w:rPr>
          <w:vertAlign w:val="superscript"/>
        </w:rPr>
        <w:t xml:space="preserve">2</w:t>
      </w:r>
      <w:r>
        <w:t xml:space="preserve">, Shakia T. Hardy, PhD</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pPr>
        <w:pStyle w:val="FirstParagraph"/>
      </w:pPr>
      <w:r>
        <w:rPr>
          <w:b/>
        </w:rPr>
        <w:t xml:space="preserve">Funding:</w:t>
      </w:r>
      <w:r>
        <w:t xml:space="preserve"> </w:t>
      </w:r>
      <w:r>
        <w:t xml:space="preserve">Information on grants, contracts, and other forms of financial support.</w:t>
      </w:r>
      <w:r>
        <w:t xml:space="preserve"> </w:t>
      </w:r>
      <w:r>
        <w:rPr>
          <w:i/>
        </w:rPr>
        <w:t xml:space="preserve">Please add your data if needed</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Whelton was supported by a Centers for Research Excellence grant from the National Institute of General Medical Sciences (P20GM109036)</w:t>
      </w:r>
    </w:p>
    <w:p>
      <w:pPr>
        <w:pStyle w:val="BodyText"/>
      </w:pPr>
      <w:r>
        <w:rPr>
          <w:b/>
        </w:rPr>
        <w:t xml:space="preserve">Disclosures:</w:t>
      </w:r>
      <w:r>
        <w:t xml:space="preserve"> </w:t>
      </w:r>
      <w:r>
        <w:t xml:space="preserve">State each author’s disclosures (or lack thereof). This must include the full disclosure of any relationship with industry.</w:t>
      </w:r>
      <w:r>
        <w:t xml:space="preserve"> </w:t>
      </w:r>
      <w:r>
        <w:rPr>
          <w:i/>
        </w:rPr>
        <w:t xml:space="preserve">Please add your statement below</w:t>
      </w:r>
    </w:p>
    <w:p>
      <w:pPr>
        <w:pStyle w:val="BodyText"/>
      </w:pPr>
      <w:r>
        <w:t xml:space="preserve">BCJ has nothing to disclose.</w:t>
      </w:r>
      <w:r>
        <w:t xml:space="preserve"> </w:t>
      </w:r>
      <w:r>
        <w:t xml:space="preserve">OPA has nothing to disclose.</w:t>
      </w:r>
      <w:r>
        <w:t xml:space="preserve"> </w:t>
      </w:r>
      <w:r>
        <w:t xml:space="preserve">JDB has nothing to disclose.</w:t>
      </w:r>
      <w:r>
        <w:t xml:space="preserve"> </w:t>
      </w:r>
      <w:r>
        <w:t xml:space="preserve">STH has nothing to disclose.</w:t>
      </w:r>
      <w:r>
        <w:t xml:space="preserve"> </w:t>
      </w:r>
      <w:r>
        <w:t xml:space="preserve">PKW has nothing to disclose.</w:t>
      </w:r>
    </w:p>
    <w:p>
      <w:pPr>
        <w:pStyle w:val="BodyText"/>
      </w:pPr>
      <w:r>
        <w:rPr>
          <w:b/>
        </w:rPr>
        <w:t xml:space="preserve">Address for correspondence:</w:t>
      </w:r>
      <w:r>
        <w:t xml:space="preserve"> </w:t>
      </w: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
        </w:rPr>
        <w:t xml:space="preserve">Acknowledgments:</w:t>
      </w:r>
      <w:r>
        <w:t xml:space="preserve"> </w:t>
      </w:r>
      <w:r>
        <w:t xml:space="preserve">None.</w:t>
      </w:r>
    </w:p>
    <w:p>
      <w:r>
        <w:br w:type="page"/>
      </w:r>
    </w:p>
    <w:p>
      <w:pPr>
        <w:pStyle w:val="Heading1"/>
      </w:pPr>
      <w:bookmarkStart w:id="20" w:name="abstract"/>
      <w:r>
        <w:t xml:space="preserve">ABSTRACT</w:t>
      </w:r>
      <w:bookmarkEnd w:id="20"/>
    </w:p>
    <w:p>
      <w:pPr>
        <w:pStyle w:val="FirstParagraph"/>
      </w:pPr>
      <w:r>
        <w:rPr>
          <w:i/>
        </w:rPr>
        <w:t xml:space="preserve">Note: Maximum word count is 250</w:t>
      </w:r>
    </w:p>
    <w:p>
      <w:pPr>
        <w:pStyle w:val="BodyText"/>
      </w:pPr>
      <w:r>
        <w:rPr>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w:t>
      </w:r>
    </w:p>
    <w:p>
      <w:pPr>
        <w:pStyle w:val="BodyText"/>
      </w:pPr>
      <w:r>
        <w:rPr>
          <w:b/>
        </w:rPr>
        <w:t xml:space="preserve">Objectives:</w:t>
      </w:r>
      <w:r>
        <w:t xml:space="preserve"> </w:t>
      </w:r>
      <w:r>
        <w:t xml:space="preserve">Determine if the majority of US adults in subgroups defined by diabetes, chronic kidney disease (CKD), and age ≥65 years have high ASCVD risk (i.e., 10-year predicted ASCVD risk ≥10% or clinical CVD), and estimate the age-adjusted probability of high ASCVD risk.</w:t>
      </w:r>
    </w:p>
    <w:p>
      <w:pPr>
        <w:pStyle w:val="BodyText"/>
      </w:pPr>
      <w:r>
        <w:rPr>
          <w:b/>
        </w:rPr>
        <w:t xml:space="preserve">Methods:</w:t>
      </w:r>
      <w:r>
        <w:t xml:space="preserve"> </w:t>
      </w:r>
      <w:r>
        <w:t xml:space="preserve">Adults aged 40-79 years from the National Health and Nutrition Examination Survey 2013-2018 were included (n=8,803). We predicted 10-year ASCVD risk using the Pooled Cohort risk equations and clinical CVD was self-reported. Analyses were conducted overall and among those with stage 1 hypertension, defined by systolic BP of 130-139 mmHg or diastolic BP of 80-89 mm Hg.</w:t>
      </w:r>
    </w:p>
    <w:p>
      <w:pPr>
        <w:pStyle w:val="BodyText"/>
      </w:pPr>
      <w:r>
        <w:rPr>
          <w:b/>
        </w:rPr>
        <w:t xml:space="preserve">Results:</w:t>
      </w:r>
      <w:r>
        <w:t xml:space="preserve"> </w:t>
      </w:r>
      <w:r>
        <w:t xml:space="preserve">Among US adults, an estimated 72.5%,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
        </w:rPr>
        <w:t xml:space="preserve">Conclusions:</w:t>
      </w:r>
      <w:r>
        <w:t xml:space="preserve"> </w:t>
      </w:r>
      <w:r>
        <w:t xml:space="preserve">Most US adults with diabetes, CKD, or age ≥65 years had high ASCVD risk. However, many with stage 1 hypertension did not.</w:t>
      </w:r>
    </w:p>
    <w:p>
      <w:pPr>
        <w:pStyle w:val="BodyText"/>
      </w:pPr>
      <w:r>
        <w:rPr>
          <w:b/>
        </w:rPr>
        <w:t xml:space="preserve">Key words</w:t>
      </w:r>
      <w:r>
        <w:t xml:space="preserve">: Atherosclerotic cardiovascular disease, blood pressure, diabetes, chronic kidney disease, risk prediction</w:t>
      </w:r>
    </w:p>
    <w:p>
      <w:r>
        <w:br w:type="page"/>
      </w:r>
    </w:p>
    <w:p>
      <w:pPr>
        <w:pStyle w:val="Heading1"/>
      </w:pPr>
      <w:bookmarkStart w:id="21" w:name="abbreviations"/>
      <w:r>
        <w:t xml:space="preserve">ABBREVIATIONS</w:t>
      </w:r>
      <w:bookmarkEnd w:id="21"/>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p>
      <w:pPr>
        <w:pStyle w:val="Heading1"/>
      </w:pPr>
      <w:bookmarkStart w:id="22" w:name="condensed-abstract"/>
      <w:r>
        <w:t xml:space="preserve">CONDENSED ABSTRACT</w:t>
      </w:r>
      <w:bookmarkEnd w:id="22"/>
    </w:p>
    <w:p>
      <w:pPr>
        <w:pStyle w:val="FirstParagraph"/>
      </w:pPr>
      <w:r>
        <w:rPr>
          <w:i/>
        </w:rPr>
        <w:t xml:space="preserve">Note: No more than 100 words, stressing clinical implications</w:t>
      </w:r>
    </w:p>
    <w:p>
      <w:pPr>
        <w:pStyle w:val="BodyText"/>
      </w:pPr>
      <w:r>
        <w:t xml:space="preserve">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
        <w:br w:type="page"/>
      </w:r>
    </w:p>
    <w:p>
      <w:pPr>
        <w:pStyle w:val="Heading1"/>
      </w:pPr>
      <w:bookmarkStart w:id="23" w:name="central-illustration"/>
      <w:r>
        <w:t xml:space="preserve">Central Illustration</w:t>
      </w:r>
      <w:bookmarkEnd w:id="23"/>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Distribution of US adults by blood pressure and antihypertensive medication use categories. In text, the proportion of adults with stage 1 hypertension at high atherosclerotic cardiovascular disease risk in subgroups defined by diabetes, chronic kidney disease and age ≥ 65 years.</w:t>
      </w:r>
      <w:r>
        <w:t xml:space="preserve"> </w:t>
      </w:r>
    </w:p>
    <w:p>
      <w:pPr>
        <w:pStyle w:val="BodyText"/>
      </w:pPr>
    </w:p>
    <w:p>
      <w:pPr>
        <w:jc w:val="center"/>
        <w:pStyle w:val="Figure"/>
      </w:pPr>
      <w:r>
        <w:rPr/>
        <w:drawing>
          <wp:inline distT="0" distB="0" distL="0" distR="0">
            <wp:extent cx="64008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2"/>
                    <a:srcRect/>
                    <a:stretch>
                      <a:fillRect/>
                    </a:stretch>
                  </pic:blipFill>
                  <pic:spPr bwMode="auto">
                    <a:xfrm>
                      <a:off x="0" y="0"/>
                      <a:ext cx="889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High atherosclerotic cardiovascular disease risk was defined by a 10-year predicted risk for atherosclerotic cardiovascular disease ≥ 10% or clinical cardiovascular disease.</w:t>
      </w:r>
      <w:r>
        <w:t xml:space="preserve"> </w:t>
      </w:r>
    </w:p>
    <w:p>
      <w:pPr>
        <w:pStyle w:val="BodyText"/>
      </w:pPr>
      <w:r>
        <w:t xml:space="preserve">ASCVD = atherosclerotic cardiovascular disease; CKD = chronic kidney disease</w:t>
      </w:r>
    </w:p>
    <w:p>
      <w:r>
        <w:br w:type="page"/>
      </w:r>
    </w:p>
    <w:p>
      <w:pPr>
        <w:pStyle w:val="Heading1"/>
      </w:pPr>
      <w:bookmarkStart w:id="24" w:name="clinical-perspectives"/>
      <w:r>
        <w:t xml:space="preserve">Clinical Perspectives:</w:t>
      </w:r>
      <w:bookmarkEnd w:id="24"/>
    </w:p>
    <w:p>
      <w:pPr>
        <w:pStyle w:val="FirstParagraph"/>
      </w:pPr>
      <w:r>
        <w:rPr>
          <w:b/>
        </w:rPr>
        <w:t xml:space="preserve">Competency in Medical Knowledge:</w:t>
      </w:r>
      <w:r>
        <w:t xml:space="preserve"> </w:t>
      </w:r>
      <w:r>
        <w:t xml:space="preserve">The 2017 American College of Cardiology/American Heart Association blood pressure guideline recommends using both blood pressure and atherosclerotic cardiovascular disease (ASCVD) risk to guide decisions to initiate antihypertensive medication.</w:t>
      </w:r>
    </w:p>
    <w:p>
      <w:pPr>
        <w:pStyle w:val="BodyText"/>
      </w:pPr>
      <w:r>
        <w:rPr>
          <w:b/>
        </w:rPr>
        <w:t xml:space="preserve">Competency in Patient Care:</w:t>
      </w:r>
      <w:r>
        <w:t xml:space="preserve"> </w:t>
      </w:r>
      <w:r>
        <w:t xml:space="preserve">The guideline recommends computing 10-year predicted ASCVD risk for all adults with hypertension who do not have clinical CVD.</w:t>
      </w:r>
    </w:p>
    <w:p>
      <w:pPr>
        <w:pStyle w:val="BodyText"/>
      </w:pPr>
      <w:r>
        <w:rPr>
          <w:b/>
        </w:rPr>
        <w:t xml:space="preserve">Translational Outlook:</w:t>
      </w:r>
      <w:r>
        <w:t xml:space="preserve"> </w:t>
      </w:r>
      <w:r>
        <w:t xml:space="preserve">Predicted 10-year ASCVD risk should be computed for all adults with stage 1 hypertension and without clinical CVD as many are not at high risk for ASCVD.</w:t>
      </w:r>
    </w:p>
    <w:p>
      <w:r>
        <w:br w:type="page"/>
      </w:r>
    </w:p>
    <w:p>
      <w:pPr>
        <w:pStyle w:val="Heading1"/>
      </w:pPr>
      <w:bookmarkStart w:id="25" w:name="introduction"/>
      <w:r>
        <w:t xml:space="preserve">INTRODUCTION</w:t>
      </w:r>
      <w:bookmarkEnd w:id="25"/>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 </w:t>
      </w:r>
      <w:r>
        <w:t xml:space="preserve">(1)</w:t>
      </w:r>
      <w:r>
        <w:t xml:space="preserve">. This guideline recommends using both BP levels and predicted risk for cardiovascular disease (CVD) to guide the initiation of antihypertensive medication in addition to nonpharmacological therapy. All adults with an average systolic BP (SBP) ≥ 140 mm Hg or diastolic BP (DBP) ≥ 90 mm Hg, stage 2 hypertension in the guideline, are recommended to initiate antihypertensive medication. Adults with SBP between 130 and 139 mm Hg and/or DBP between 80 and 89 mm Hg, stage 1 hypertension in the guideline, with high CVD risk are recommended to initiate antihypertensive medication. High CVD risk was defined by the presence of clinical CVD or a 10-year predicted risk for atherosclerotic CVD (ASCVD) ≥ 10%</w:t>
      </w:r>
      <w:r>
        <w:t xml:space="preserve"> </w:t>
      </w:r>
      <w:r>
        <w:t xml:space="preserve">(2)</w:t>
      </w:r>
      <w:r>
        <w:t xml:space="preserve">. Additionally, adults with with stage 1 hypertension and diabetes mellitus, chronic kidney disease (CKD), or ≥ 65 years of age are considered to have high CVD risk by the guideline and are recommended to initiate antihypertensive medication. This recommendation, written in Sections 9.3, 9.6, and 10.3 of the guideline, was based on the assumption that the vast majority of adults with diabetes, CKD, or ≥ 65 years of age are likely to have a 10-year predicted ASCVD risk ≥ 10%</w:t>
      </w:r>
      <w:r>
        <w:t xml:space="preserve"> </w:t>
      </w:r>
      <w:r>
        <w:t xml:space="preserve">(1)</w:t>
      </w:r>
      <w:r>
        <w:t xml:space="preserve">.</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National Health and Nutrition Examination Survey (NHANES).</w:t>
      </w:r>
    </w:p>
    <w:p>
      <w:pPr>
        <w:pStyle w:val="BodyText"/>
      </w:pPr>
    </w:p>
    <w:p>
      <w:pPr>
        <w:pStyle w:val="Heading1"/>
      </w:pPr>
      <w:bookmarkStart w:id="26" w:name="methods"/>
      <w:r>
        <w:t xml:space="preserve">METHODS</w:t>
      </w:r>
      <w:bookmarkEnd w:id="26"/>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 </w:t>
      </w:r>
      <w:r>
        <w:t xml:space="preserve">(3)</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t xml:space="preserve"> </w:t>
      </w:r>
      <w:r>
        <w:t xml:space="preserve">(4)</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to be used in these age ranges</w:t>
      </w:r>
      <w:r>
        <w:t xml:space="preserve"> </w:t>
      </w:r>
      <w:r>
        <w:t xml:space="preserve">(2)</w:t>
      </w:r>
      <w:r>
        <w:t xml:space="preserve">. Participants who did not have three SBP and DBP measurements (n = 565) and those who were missing information on age, race, sex, total and high-density lipoprotein cholesterol, smoking status, diabetes, or CKD status (n = 569) were excluded. After these exclusions, a total of 8,803 participants were included in the analysis (Figure S1).</w:t>
      </w:r>
    </w:p>
    <w:p>
      <w:pPr>
        <w:pStyle w:val="BodyText"/>
      </w:pPr>
    </w:p>
    <w:p>
      <w:pPr>
        <w:pStyle w:val="Heading2"/>
      </w:pPr>
      <w:bookmarkStart w:id="27" w:name="data-collection"/>
      <w:r>
        <w:t xml:space="preserve">Data collection</w:t>
      </w:r>
      <w:bookmarkEnd w:id="27"/>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t xml:space="preserve"> </w:t>
      </w:r>
      <w:r>
        <w:t xml:space="preserve">(5, 6)</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t xml:space="preserve"> </w:t>
      </w:r>
      <w:r>
        <w:t xml:space="preserve">(2)</w:t>
      </w:r>
      <w:r>
        <w:t xml:space="preserve">. High ASCVD risk was defined as clinical CVD or a 10-year predicted ASCVD risk ≥ 10%.</w:t>
      </w:r>
    </w:p>
    <w:p>
      <w:pPr>
        <w:pStyle w:val="BodyText"/>
      </w:pPr>
    </w:p>
    <w:p>
      <w:pPr>
        <w:pStyle w:val="Heading2"/>
      </w:pPr>
      <w:bookmarkStart w:id="28" w:name="blood-pressure-measurements"/>
      <w:r>
        <w:t xml:space="preserve">Blood pressure measurements</w:t>
      </w:r>
      <w:bookmarkEnd w:id="28"/>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9" w:name="X424b0c13c393e019e8f72e8c08ad4cfe054fcde"/>
      <w:r>
        <w:t xml:space="preserve">Blood pressure and antihypertensive medication use categories</w:t>
      </w:r>
      <w:bookmarkEnd w:id="29"/>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p>
      <w:pPr>
        <w:pStyle w:val="Heading2"/>
      </w:pPr>
      <w:bookmarkStart w:id="30" w:name="statistical-analysis"/>
      <w:r>
        <w:t xml:space="preserve">Statistical analysis</w:t>
      </w:r>
      <w:bookmarkEnd w:id="30"/>
    </w:p>
    <w:p>
      <w:pPr>
        <w:pStyle w:val="FirstParagraph"/>
      </w:pPr>
      <w:r>
        <w:t xml:space="preserve">Analyses were conducted for the overall population and among participants with diabetes, CKD, ≥ 65 years of age, and for those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proportion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4.0.2 (released June 22, 2020) along with a collection of open-source software packages</w:t>
      </w:r>
      <w:r>
        <w:t xml:space="preserve"> </w:t>
      </w:r>
      <w:r>
        <w:t xml:space="preserve">(7–10)</w:t>
      </w:r>
      <w:r>
        <w:t xml:space="preserve">. The first author’s GitHub repository (&lt;</w:t>
      </w:r>
      <w:r>
        <w:t xml:space="preserve"> </w:t>
      </w:r>
      <w:r>
        <w:rPr>
          <w:i/>
        </w:rPr>
        <w:t xml:space="preserve">Link not yet active so we won’t be scooped</w:t>
      </w:r>
      <w:r>
        <w:t xml:space="preserve"> </w:t>
      </w:r>
      <w:r>
        <w:t xml:space="preserve">&gt;) provides code to reproduce the current study.</w:t>
      </w:r>
    </w:p>
    <w:p>
      <w:pPr>
        <w:pStyle w:val="BodyText"/>
      </w:pPr>
    </w:p>
    <w:p>
      <w:pPr>
        <w:pStyle w:val="Heading1"/>
      </w:pPr>
      <w:bookmarkStart w:id="31" w:name="results"/>
      <w:r>
        <w:t xml:space="preserve">RESULTS</w:t>
      </w:r>
      <w:bookmarkEnd w:id="31"/>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Characteristics of US adults 40 to 79 years of age with stage 1 hypertension, overall and for subgroups defined by diabetes, CKD and age ≥ 65 years, are presented in Table S1.</w:t>
      </w:r>
    </w:p>
    <w:p>
      <w:pPr>
        <w:pStyle w:val="BodyText"/>
      </w:pPr>
    </w:p>
    <w:p>
      <w:pPr>
        <w:pStyle w:val="Heading2"/>
      </w:pPr>
      <w:bookmarkStart w:id="32" w:name="X37af8906aa566b6e38c336c4ef6cce19cf4b8bd"/>
      <w:r>
        <w:t xml:space="preserve">Predicted 10-year atherosclerotic cardiovascular disease risk</w:t>
      </w:r>
      <w:bookmarkEnd w:id="32"/>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27.4%), 11.4% (4.8%, 22.3%), 17.9% (11.2%, 27.4%),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4.2% (1.9%, 8.5%) in the overall population and 8.9% (4.5%, 19.3%), 7.4% (2.8%, 12.2%), 13.8%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36.7% (34.8%, 38.6%) (Table 3; bottom panel). Among sub-groups with diabetes, CKD, age ≥ 65 years, or any of these conditions, 72.5% (69.4%, 75.6%), 64.5% (61.4%, 67.7%), 83.9% (81.7%, 86.1%), and 69.1% (66.9%, 71.3%) had high ASCVD risk, respectively .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43.7% (95% CI: 41.5%, 45.9%) had 10-year predicted ASCVD risk &lt; 2.5% (Figure 1). Among subgroups with diabetes, CKD, age ≥ 65 years, and any of these conditions, an estimated 19.1% (95% CI: 14.0%, 25.6%), 32.7% (95% CI: 27.2%, 38.7%), 0.0% (95% CI: 0.0%, 0.0%), and 21.3% (95% CI: 17.5%, 25.6%) had a 10-year predicted ASCVD risk &lt; 2.5%, respectively. Among those with stage 1 hypertension, an estimated 37.6% (95% CI: 32.9%, 42.6%) had a 10-year predicted ASCVD risk &lt; 2.5% (Figure S2). Also, 19.6% (95% CI: 9.5%, 36.0%), 30.5% (95% CI: 21.0%, 42.0%), and 0.0% (95% CI: 0.0%, 0.0%) of those with diabetes, CKD, and ≥ 65 years of age had a 10-year predicted ASCVD risk &lt; 2.5%, respectively.</w:t>
      </w:r>
    </w:p>
    <w:p>
      <w:pPr>
        <w:pStyle w:val="BodyText"/>
      </w:pPr>
    </w:p>
    <w:p>
      <w:pPr>
        <w:pStyle w:val="Heading2"/>
      </w:pPr>
      <w:bookmarkStart w:id="33" w:name="X5b471c136df8c72590431469a53ea5cb0ae834f"/>
      <w:r>
        <w:t xml:space="preserve">Age-specific probability of having high ASCVD risk</w:t>
      </w:r>
      <w:bookmarkEnd w:id="33"/>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p>
      <w:pPr>
        <w:pStyle w:val="Heading1"/>
      </w:pPr>
      <w:bookmarkStart w:id="34" w:name="discussion"/>
      <w:r>
        <w:t xml:space="preserve">DISCUSSION</w:t>
      </w:r>
      <w:bookmarkEnd w:id="34"/>
    </w:p>
    <w:p>
      <w:pPr>
        <w:pStyle w:val="FirstParagraph"/>
      </w:pPr>
      <w:r>
        <w:t xml:space="preserve">In the current study, a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t xml:space="preserve"> </w:t>
      </w:r>
      <w: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t xml:space="preserve"> </w:t>
      </w:r>
      <w:r>
        <w:t xml:space="preserve">(11, 12)</w:t>
      </w:r>
      <w:r>
        <w:t xml:space="preserve">. For example, in an analysis of the Reasons for Geographic and Racial Differences in Stroke study, those with stage 1 hypertension for whom initiation of antihypertensive medication was recommended versus not recommended by the 2017 ACC/AHA BP guideline were roughly 6 times more likely to experience a CVD event over 8 years of follow-up</w:t>
      </w:r>
      <w:r>
        <w:t xml:space="preserve"> </w:t>
      </w:r>
      <w:r>
        <w:t xml:space="preserve">(11)</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80 mm Hg found lower risk of stroke among participants with more intense BP treatment goals</w:t>
      </w:r>
      <w:r>
        <w:t xml:space="preserve"> </w:t>
      </w:r>
      <w:r>
        <w:t xml:space="preserve">(14)</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t xml:space="preserve"> </w:t>
      </w:r>
      <w:r>
        <w:t xml:space="preserve">(15)</w:t>
      </w:r>
      <w:r>
        <w:t xml:space="preserve">. In the overall population, those randomized to the lower SBP target experienced lower rates of incident fatal and nonfatal major CVD events as well as all-cause mortality</w:t>
      </w:r>
      <w:r>
        <w:t xml:space="preserve"> </w:t>
      </w:r>
      <w:r>
        <w:t xml:space="preserve">(16)</w:t>
      </w:r>
      <w:r>
        <w:t xml:space="preserve">. A systematic review and meta-analysis of 123 studies with 613,815 participants found strong support for lowering SBP to &lt; 130 mm Hg and providing antihypertensive medication to adults with diabetes, CKD, and various other comorbidities</w:t>
      </w:r>
      <w:r>
        <w:t xml:space="preserve"> </w:t>
      </w:r>
      <w:r>
        <w:t xml:space="preserve">(17)</w:t>
      </w:r>
      <w:r>
        <w:t xml:space="preserve">. Benefits associated with a SBP treatment goal of &lt; 130 mm Hg have also been identified in several other meta-analyses</w:t>
      </w:r>
      <w:r>
        <w:t xml:space="preserve"> </w:t>
      </w:r>
      <w:r>
        <w:t xml:space="preserve">(18, 19)</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the vast majority of adults with diabetes, CKD, or ≥ 65 years of age have a 10-year predicted ASCVD risk ≥ 10%</w:t>
      </w:r>
      <w:r>
        <w:t xml:space="preserve"> </w:t>
      </w:r>
      <w:r>
        <w:t xml:space="preserve">(1)</w:t>
      </w:r>
      <w:r>
        <w:t xml:space="preserve">. Previous research has shown that diabetes, CKD, and older age are each associated with an increased risk for ASCVD events</w:t>
      </w:r>
      <w:r>
        <w:t xml:space="preserve"> </w:t>
      </w:r>
      <w:r>
        <w:t xml:space="preserve">(20–23)</w:t>
      </w:r>
      <w:r>
        <w:t xml:space="preserve">. Although the current study suggests that a high proportion of US adults with stage 1 hypertension and diabetes or CKD do not have a 10-year predicted ASCVD risk ≥ 10%, diabetes and CKD are associated with a high lifetime CVD risk</w:t>
      </w:r>
      <w:r>
        <w:t xml:space="preserve"> </w:t>
      </w:r>
      <w:r>
        <w:t xml:space="preserve">(24, 25)</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t xml:space="preserve"> </w:t>
      </w:r>
      <w:r>
        <w:t xml:space="preserve">(26)</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p>
      <w:pPr>
        <w:pStyle w:val="Heading1"/>
      </w:pPr>
      <w:bookmarkStart w:id="35" w:name="conclusions"/>
      <w:r>
        <w:t xml:space="preserve">CONCLUSIONS</w:t>
      </w:r>
      <w:bookmarkEnd w:id="35"/>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14.4</w:t>
              <w:br/>
              <w:t xml:space="preserve">(7.0, 27.4)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17.9</w:t>
              <w:br/>
              <w:t xml:space="preserve">(11.2, 27.4)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11.3</w:t>
              <w:br/>
              <w:t xml:space="preserve">(5.6, 17.4)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17.4</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(8.4, 28.7)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21.4</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36.7</w:t>
              <w:br/>
              <w:t xml:space="preserve">(34.8, 38.6)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72.5</w:t>
              <w:br/>
              <w:t xml:space="preserve">(69.4, 75.6)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69.1</w:t>
              <w:br/>
              <w:t xml:space="preserve">(66.9, 71.3)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45.8</w:t>
              <w:br/>
              <w:t xml:space="preserve">(40.5, 51.1)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62.0</w:t>
              <w:br/>
              <w:t xml:space="preserve">(59.5, 64.5)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80.7</w:t>
              <w:br/>
              <w:t xml:space="preserve">(78.2, 83.1)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57.7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wp:inline distT="0" distB="0" distL="0" distR="0">
            <wp:extent cx="45720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wp:inline distT="0" distB="0" distL="0" distR="0">
            <wp:extent cx="5486400" cy="64008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Heading1"/>
      </w:pPr>
      <w:bookmarkStart w:id="36" w:name="references"/>
      <w:r>
        <w:t xml:space="preserve">REFERENCES</w:t>
      </w:r>
      <w:bookmarkEnd w:id="36"/>
    </w:p>
    <w:bookmarkStart w:id="69" w:name="refs"/>
    <w:bookmarkStart w:id="37" w:name="ref-whelton20182017"/>
    <w:p>
      <w:pPr>
        <w:pStyle w:val="Bibliography"/>
      </w:pPr>
      <w:r>
        <w:t xml:space="preserve">1. 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2018;71:e127–e248.</w:t>
      </w:r>
    </w:p>
    <w:bookmarkEnd w:id="37"/>
    <w:bookmarkStart w:id="38" w:name="ref-goff20142013"/>
    <w:p>
      <w:pPr>
        <w:pStyle w:val="Bibliography"/>
      </w:pPr>
      <w:r>
        <w:t xml:space="preserve">2.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38"/>
    <w:bookmarkStart w:id="40" w:name="ref-nhanes_home"/>
    <w:p>
      <w:pPr>
        <w:pStyle w:val="Bibliography"/>
      </w:pPr>
      <w:r>
        <w:t xml:space="preserve">3. NHANES. National health and nutrition examination survey homepage, available at</w:t>
      </w:r>
      <w:r>
        <w:t xml:space="preserve"> </w:t>
      </w:r>
      <w:hyperlink r:id="rId39">
        <w:r>
          <w:rPr>
            <w:rStyle w:val="Hyperlink"/>
          </w:rPr>
          <w:t xml:space="preserve">https://www.cdc.gov/nchs/nhanes/index.htm</w:t>
        </w:r>
      </w:hyperlink>
      <w:r>
        <w:t xml:space="preserve">. Accessed on 09/07/2020.</w:t>
      </w:r>
    </w:p>
    <w:bookmarkEnd w:id="40"/>
    <w:bookmarkStart w:id="42" w:name="ref-nhanes_tutorial_weights"/>
    <w:p>
      <w:pPr>
        <w:pStyle w:val="Bibliography"/>
      </w:pPr>
      <w:r>
        <w:t xml:space="preserve">4. NHANES. Tutorials - module 3 - weighting, available at</w:t>
      </w:r>
      <w:r>
        <w:t xml:space="preserve"> </w:t>
      </w:r>
      <w:hyperlink r:id="rId41">
        <w:r>
          <w:rPr>
            <w:rStyle w:val="Hyperlink"/>
          </w:rPr>
          <w:t xml:space="preserve">https://wwwn.cdc.gov/nchs/nhanes/tutorials/module3.aspx</w:t>
        </w:r>
      </w:hyperlink>
      <w:r>
        <w:t xml:space="preserve">. Accessed on 09/07/2020.</w:t>
      </w:r>
    </w:p>
    <w:bookmarkEnd w:id="42"/>
    <w:bookmarkStart w:id="43" w:name="ref-levey2009new"/>
    <w:p>
      <w:pPr>
        <w:pStyle w:val="Bibliography"/>
      </w:pPr>
      <w:r>
        <w:t xml:space="preserve">5. Levey AS, Stevens LA, Schmid CH, et al. A new equation to estimate glomerular filtration rate. Annals of internal medicine 2009;150:604–612.</w:t>
      </w:r>
    </w:p>
    <w:bookmarkEnd w:id="43"/>
    <w:bookmarkStart w:id="45" w:name="ref-cite_nephro"/>
    <w:p>
      <w:pPr>
        <w:pStyle w:val="Bibliography"/>
      </w:pPr>
      <w:r>
        <w:t xml:space="preserve">6. Pattaro C. Nephro: Utilities for nephrology.; 2017. Available at:</w:t>
      </w:r>
      <w:r>
        <w:t xml:space="preserve"> </w:t>
      </w:r>
      <w:hyperlink r:id="rId44">
        <w:r>
          <w:rPr>
            <w:rStyle w:val="Hyperlink"/>
          </w:rPr>
          <w:t xml:space="preserve">https://CRAN.R-project.org/package=nephro</w:t>
        </w:r>
      </w:hyperlink>
      <w:r>
        <w:t xml:space="preserve">.</w:t>
      </w:r>
    </w:p>
    <w:bookmarkEnd w:id="45"/>
    <w:bookmarkStart w:id="47" w:name="ref-cite_R"/>
    <w:p>
      <w:pPr>
        <w:pStyle w:val="Bibliography"/>
      </w:pPr>
      <w:r>
        <w:t xml:space="preserve">7. R Core Team. R: A language and environment for statistical computing. Vienna, Austria: R Foundation for Statistical Computing; 2020. Available at:</w:t>
      </w:r>
      <w:r>
        <w:t xml:space="preserve"> </w:t>
      </w:r>
      <w:hyperlink r:id="rId46">
        <w:r>
          <w:rPr>
            <w:rStyle w:val="Hyperlink"/>
          </w:rPr>
          <w:t xml:space="preserve">https://www.R-project.org/</w:t>
        </w:r>
      </w:hyperlink>
      <w:r>
        <w:t xml:space="preserve">.</w:t>
      </w:r>
    </w:p>
    <w:bookmarkEnd w:id="47"/>
    <w:bookmarkStart w:id="49" w:name="ref-cite_drake"/>
    <w:p>
      <w:pPr>
        <w:pStyle w:val="Bibliography"/>
      </w:pPr>
      <w:r>
        <w:t xml:space="preserve">8. Landau WM. The drake R package: A pipeline toolkit for reproducibility and high-performance computing. Journal of Open Source Software 2018;3. Available at:</w:t>
      </w:r>
      <w:r>
        <w:t xml:space="preserve"> </w:t>
      </w:r>
      <w:hyperlink r:id="rId48">
        <w:r>
          <w:rPr>
            <w:rStyle w:val="Hyperlink"/>
          </w:rPr>
          <w:t xml:space="preserve">https://doi.org/10.21105/joss.00550</w:t>
        </w:r>
      </w:hyperlink>
      <w:r>
        <w:t xml:space="preserve">.</w:t>
      </w:r>
    </w:p>
    <w:bookmarkEnd w:id="49"/>
    <w:bookmarkStart w:id="50" w:name="ref-cite_tidyverse"/>
    <w:p>
      <w:pPr>
        <w:pStyle w:val="Bibliography"/>
      </w:pPr>
      <w:r>
        <w:t xml:space="preserve">9. Wickham H, Averick M, Bryan J, et al. Welcome to the tidyverse. Journal of Open Source Software 2019;4:1686.</w:t>
      </w:r>
    </w:p>
    <w:bookmarkEnd w:id="50"/>
    <w:bookmarkStart w:id="52" w:name="ref-cite_table.glue"/>
    <w:p>
      <w:pPr>
        <w:pStyle w:val="Bibliography"/>
      </w:pPr>
      <w:r>
        <w:t xml:space="preserve">10. Jaeger B. table.glue: Make and apply customized rounding specifications for tables.; 2020. Available at:</w:t>
      </w:r>
      <w:r>
        <w:t xml:space="preserve"> </w:t>
      </w:r>
      <w:hyperlink r:id="rId51">
        <w:r>
          <w:rPr>
            <w:rStyle w:val="Hyperlink"/>
          </w:rPr>
          <w:t xml:space="preserve">https://github.com/bcjaeger/table.glue</w:t>
        </w:r>
      </w:hyperlink>
      <w:r>
        <w:t xml:space="preserve">.</w:t>
      </w:r>
    </w:p>
    <w:bookmarkEnd w:id="52"/>
    <w:bookmarkStart w:id="53" w:name="ref-colantonio20182017"/>
    <w:p>
      <w:pPr>
        <w:pStyle w:val="Bibliography"/>
      </w:pPr>
      <w:r>
        <w:t xml:space="preserve">11. Colantonio LD, Booth JN, Bress AP, et al. 2017 American college of cardiology/American heart association blood pressure treatment guideline recommendations and cardiovascular risk. Journal of the American College of Cardiology 2018;72:1187–1197.</w:t>
      </w:r>
    </w:p>
    <w:bookmarkEnd w:id="53"/>
    <w:bookmarkStart w:id="54" w:name="ref-jaeger2019cardiovascular"/>
    <w:p>
      <w:pPr>
        <w:pStyle w:val="Bibliography"/>
      </w:pPr>
      <w:r>
        <w:t xml:space="preserve">12. Jaeger BC, Anstey DE, Bress AP, et al. Cardiovascular disease and mortality in adults aged ≥60 years according to recommendations by the American college of cardiology/American heart association and American college of physicians/American academy of family physicians. Hypertension 2019;73:327–334.</w:t>
      </w:r>
    </w:p>
    <w:bookmarkEnd w:id="54"/>
    <w:bookmarkStart w:id="55" w:name="ref-herrett2019eligibility"/>
    <w:p>
      <w:pPr>
        <w:pStyle w:val="Bibliography"/>
      </w:pPr>
      <w:r>
        <w:t xml:space="preserve">13. Herrett E, Gadd S, Jackson R, et al. Eligibility and subsequent burden of cardiovascular disease of four strategies for blood pressure-lowering treatment: A retrospective cohort study. The Lancet 2019;394:663–671.</w:t>
      </w:r>
    </w:p>
    <w:bookmarkEnd w:id="55"/>
    <w:bookmarkStart w:id="56" w:name="ref-schrier2002effects"/>
    <w:p>
      <w:pPr>
        <w:pStyle w:val="Bibliography"/>
      </w:pPr>
      <w:r>
        <w:t xml:space="preserve">14. Schrier RW, Estacio RO, Esler A, Mehler P. Effects of aggressive blood pressure control in normotensive type 2 diabetic patients on albuminuria, retinopathy and strokes. Kidney international 2002;61:1086–1097.</w:t>
      </w:r>
    </w:p>
    <w:bookmarkEnd w:id="56"/>
    <w:bookmarkStart w:id="57" w:name="ref-cheung2017effects"/>
    <w:p>
      <w:pPr>
        <w:pStyle w:val="Bibliography"/>
      </w:pPr>
      <w:r>
        <w:t xml:space="preserve">15. Cheung AK, Rahman M, Reboussin DM, et al. Effects of intensive blood pressure control in chronic kidney disease. Journal of the American Society of Nephrology 2017;28:2812–2823.</w:t>
      </w:r>
    </w:p>
    <w:bookmarkEnd w:id="57"/>
    <w:bookmarkStart w:id="58" w:name="ref-sprint2015randomized"/>
    <w:p>
      <w:pPr>
        <w:pStyle w:val="Bibliography"/>
      </w:pPr>
      <w:r>
        <w:t xml:space="preserve">16. SPRINT Research Group. A randomized trial of intensive versus standard blood-pressure control. New England Journal of Medicine 2015;373:2103–2116.</w:t>
      </w:r>
    </w:p>
    <w:bookmarkEnd w:id="58"/>
    <w:bookmarkStart w:id="59" w:name="ref-ettehad2016blood"/>
    <w:p>
      <w:pPr>
        <w:pStyle w:val="Bibliography"/>
      </w:pPr>
      <w:r>
        <w:t xml:space="preserve">17. Ettehad D, Emdin CA, Kiran A, et al. Blood pressure lowering for prevention of cardiovascular disease and death: A systematic review and meta-analysis. The Lancet 2016;387:957–967.</w:t>
      </w:r>
    </w:p>
    <w:bookmarkEnd w:id="59"/>
    <w:bookmarkStart w:id="60" w:name="ref-bundy2017systolic"/>
    <w:p>
      <w:pPr>
        <w:pStyle w:val="Bibliography"/>
      </w:pPr>
      <w:r>
        <w:t xml:space="preserve">18. Bundy JD, Li C, Stuchlik P, et al. Systolic blood pressure reduction and risk of cardiovascular disease and mortality: A systematic review and network meta-analysis. JAMA cardiology 2017;2:775–781.</w:t>
      </w:r>
    </w:p>
    <w:bookmarkEnd w:id="60"/>
    <w:bookmarkStart w:id="61" w:name="ref-reboussin2018systematic"/>
    <w:p>
      <w:pPr>
        <w:pStyle w:val="Bibliography"/>
      </w:pPr>
      <w:r>
        <w:t xml:space="preserve">19. Reboussin DM, Allen NB, Griswold ME, et al. Systematic review for the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2018;71:2176–2198.</w:t>
      </w:r>
    </w:p>
    <w:bookmarkEnd w:id="61"/>
    <w:bookmarkStart w:id="62" w:name="ref-coresh2004evidence"/>
    <w:p>
      <w:pPr>
        <w:pStyle w:val="Bibliography"/>
      </w:pPr>
      <w:r>
        <w:t xml:space="preserve">20. Coresh J, Astor B, Sarnak MJ. Evidence for increased cardiovascular disease risk in patients with chronic kidney disease. Current opinion in nephrology and hypertension 2004;13:73–81.</w:t>
      </w:r>
    </w:p>
    <w:bookmarkEnd w:id="62"/>
    <w:bookmarkStart w:id="63" w:name="ref-chronic2010association"/>
    <w:p>
      <w:pPr>
        <w:pStyle w:val="Bibliography"/>
      </w:pPr>
      <w:r>
        <w:t xml:space="preserve">21. Chronic Kidney Disease Prognosis Consortium and others. Association of estimated glomerular filtration rate and albuminuria with all-cause and cardiovascular mortality in general population cohorts: A collaborative meta-analysis. The Lancet 2010;375:2073–2081.</w:t>
      </w:r>
    </w:p>
    <w:bookmarkEnd w:id="63"/>
    <w:bookmarkStart w:id="64" w:name="ref-grundy1999diabetes"/>
    <w:p>
      <w:pPr>
        <w:pStyle w:val="Bibliography"/>
      </w:pPr>
      <w:r>
        <w:t xml:space="preserve">22. Grundy SM, Benjamin IJ, Burke GL, et al. Diabetes and cardiovascular disease: A statement for healthcare professionals from the American heart association. Circulation 1999;100:1134–1146.</w:t>
      </w:r>
    </w:p>
    <w:bookmarkEnd w:id="64"/>
    <w:bookmarkStart w:id="65" w:name="ref-lakatta2002age"/>
    <w:p>
      <w:pPr>
        <w:pStyle w:val="Bibliography"/>
      </w:pPr>
      <w:r>
        <w:t xml:space="preserve">23. Lakatta EG. Age-associated cardiovascular changes in health: Impact on cardiovascular disease in older persons. Heart failure reviews 2002;7:29–49.</w:t>
      </w:r>
    </w:p>
    <w:bookmarkEnd w:id="65"/>
    <w:bookmarkStart w:id="66" w:name="ref-lloyd2006prediction"/>
    <w:p>
      <w:pPr>
        <w:pStyle w:val="Bibliography"/>
      </w:pPr>
      <w:r>
        <w:t xml:space="preserve">24. Lloyd-Jones DM, Leip EP, Larson MG, et al. Prediction of lifetime risk for cardiovascular disease by risk factor burden at 50 years of age. Circulation 2006;113:791–798.</w:t>
      </w:r>
    </w:p>
    <w:bookmarkEnd w:id="66"/>
    <w:bookmarkStart w:id="67" w:name="ref-hippisley2010derivation"/>
    <w:p>
      <w:pPr>
        <w:pStyle w:val="Bibliography"/>
      </w:pPr>
      <w:r>
        <w:t xml:space="preserve">25. Hippisley-Cox J, Coupland C, Robson J, Brindle P. Derivation, validation, and evaluation of a new QRISK model to estimate lifetime risk of cardiovascular disease: Cohort study using QResearch database. BMJ 2010;341.</w:t>
      </w:r>
    </w:p>
    <w:bookmarkEnd w:id="67"/>
    <w:bookmarkStart w:id="68" w:name="ref-allen2014blood"/>
    <w:p>
      <w:pPr>
        <w:pStyle w:val="Bibliography"/>
      </w:pPr>
      <w:r>
        <w:t xml:space="preserve">26. Allen NB, Siddique J, Wilkins JT, et al. Blood pressure trajectories in early adulthood and subclinical atherosclerosis in middle age. Jama 2014;311:490–497.</w:t>
      </w:r>
    </w:p>
    <w:bookmarkEnd w:id="68"/>
    <w:bookmarkEnd w:id="69"/>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4"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github.com/bcjaeger/table.glue" TargetMode="External"/>
<Relationship Id="rId46" Type="http://schemas.openxmlformats.org/officeDocument/2006/relationships/hyperlink" Target="https://www.R-project.org/" TargetMode="External"/>
<Relationship Id="rId39" Type="http://schemas.openxmlformats.org/officeDocument/2006/relationships/hyperlink" Target="https://www.cdc.gov/nchs/nhanes/index.htm" TargetMode="External"/>
<Relationship Id="rId41" Type="http://schemas.openxmlformats.org/officeDocument/2006/relationships/hyperlink" Target="https://wwwn.cdc.gov/nchs/nhanes/tutorials/module3.aspx" TargetMode="External"/>
<Relationship Id="rId52" Type="http://schemas.openxmlformats.org/officeDocument/2006/relationships/image" Target="media/file1842c5dc01cac.png"/>
<Relationship Id="rId53" Type="http://schemas.openxmlformats.org/officeDocument/2006/relationships/image" Target="media/file1842c66ab3b5c.png"/>
<Relationship Id="rId54" Type="http://schemas.openxmlformats.org/officeDocument/2006/relationships/image" Target="media/file1842c49066448.png"/>
<Relationship Id="rId55" Type="http://schemas.openxmlformats.org/officeDocument/2006/relationships/image" Target="media/file1842c5a72d80.png"/>
<Relationship Id="rId56" Type="http://schemas.openxmlformats.org/officeDocument/2006/relationships/image" Target="media/file1842c72cb7363.png"/>
<Relationship Id="rId57" Type="http://schemas.openxmlformats.org/officeDocument/2006/relationships/image" Target="media/file1842c7ce9592d.png"/>
</Relationships>

</file>

<file path=word/_rels/footnotes.xml.rels><?xml version="1.0" encoding="UTF-8" standalone="yes"?>

<Relationships  xmlns="http://schemas.openxmlformats.org/package/2006/relationships">
<Relationship Id="rId44"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github.com/bcjaeger/table.glue" TargetMode="External"/>
<Relationship Id="rId46" Type="http://schemas.openxmlformats.org/officeDocument/2006/relationships/hyperlink" Target="https://www.R-project.org/" TargetMode="External"/>
<Relationship Id="rId39" Type="http://schemas.openxmlformats.org/officeDocument/2006/relationships/hyperlink" Target="https://www.cdc.gov/nchs/nhanes/index.htm" TargetMode="External"/>
<Relationship Id="rId41"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 65 years of age</dc:title>
  <dc:creator/>
  <cp:keywords/>
  <dcterms:created xsi:type="dcterms:W3CDTF">2020-10-19T21:43:35Z</dcterms:created>
  <dcterms:modified xsi:type="dcterms:W3CDTF">2020-10-19T16:43:37Z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