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Total word count:</w:t>
      </w:r>
      <w:r>
        <w:t xml:space="preserve"> </w:t>
      </w:r>
      <w:r>
        <w:rPr>
          <w:b/>
        </w:rPr>
        <w:t xml:space="preserve">FILL THIS IN</w:t>
      </w:r>
    </w:p>
    <w:p>
      <w:pPr>
        <w:pStyle w:val="BodyText"/>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Philip Akinyelure</w:t>
      </w:r>
      <w:r>
        <w:rPr>
          <w:vertAlign w:val="superscript"/>
        </w:rPr>
        <w:t xml:space="preserve">2</w:t>
      </w:r>
      <w:r>
        <w:t xml:space="preserve">, Josh Bundy</w:t>
      </w:r>
      <w:r>
        <w:rPr>
          <w:vertAlign w:val="superscript"/>
        </w:rPr>
        <w:t xml:space="preserve">3</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pPr>
        <w:pStyle w:val="FirstParagraph"/>
      </w:pPr>
      <w:r>
        <w:rPr>
          <w:b/>
        </w:rPr>
        <w:t xml:space="preserve">Funding:</w:t>
      </w:r>
      <w:r>
        <w:t xml:space="preserve"> </w:t>
      </w:r>
      <w:r>
        <w:t xml:space="preserve">Information on grants, contracts, and other forms of financial support.</w:t>
      </w:r>
      <w:r>
        <w:t xml:space="preserve"> </w:t>
      </w:r>
      <w:r>
        <w:rPr>
          <w:i/>
        </w:rPr>
        <w:t xml:space="preserve">Please add your data if needed</w:t>
      </w:r>
    </w:p>
    <w:p>
      <w:pPr>
        <w:pStyle w:val="BodyText"/>
      </w:pPr>
      <w:r>
        <w:rPr>
          <w:b/>
        </w:rPr>
        <w:t xml:space="preserve">Disclosures:</w:t>
      </w:r>
      <w:r>
        <w:t xml:space="preserve"> </w:t>
      </w:r>
      <w:r>
        <w:t xml:space="preserve">State each author’s disclosures (or lack thereof). This must include the full disclosure of any relationship with industry.</w:t>
      </w:r>
      <w:r>
        <w:t xml:space="preserve"> </w:t>
      </w:r>
      <w:r>
        <w:rPr>
          <w:i/>
        </w:rPr>
        <w:t xml:space="preserve">Please add your statement below</w:t>
      </w:r>
    </w:p>
    <w:p>
      <w:pPr>
        <w:pStyle w:val="BodyText"/>
      </w:pPr>
      <w:r>
        <w:t xml:space="preserve">BCJ has nothing to disclose.</w:t>
      </w:r>
    </w:p>
    <w:p>
      <w:pPr>
        <w:pStyle w:val="BodyText"/>
      </w:pPr>
      <w:r>
        <w:rPr>
          <w:b/>
        </w:rPr>
        <w:t xml:space="preserve">Address for correspondence:</w:t>
      </w:r>
      <w:r>
        <w:t xml:space="preserve"> </w:t>
      </w: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Acknowledgments:</w:t>
      </w:r>
      <w:r>
        <w:t xml:space="preserve"> </w:t>
      </w:r>
      <w:r>
        <w:t xml:space="preserve">to be drafted in next version.</w:t>
      </w:r>
    </w:p>
    <w:p>
      <w:r>
        <w:br w:type="page"/>
      </w:r>
    </w:p>
    <w:p>
      <w:pPr>
        <w:pStyle w:val="Heading1"/>
      </w:pPr>
      <w:bookmarkStart w:id="20" w:name="abstract"/>
      <w:r>
        <w:t xml:space="preserve">ABSTRACT</w:t>
      </w:r>
      <w:bookmarkEnd w:id="20"/>
    </w:p>
    <w:p>
      <w:pPr>
        <w:pStyle w:val="FirstParagraph"/>
      </w:pPr>
      <w:r>
        <w:rPr>
          <w:i/>
        </w:rPr>
        <w:t xml:space="preserve">Note: Maximum word count is 250</w:t>
      </w:r>
    </w:p>
    <w:p>
      <w:pPr>
        <w:pStyle w:val="BodyText"/>
      </w:pPr>
      <w:r>
        <w:rPr>
          <w:b/>
        </w:rPr>
        <w:t xml:space="preserve">Background:</w:t>
      </w:r>
      <w:r>
        <w:t xml:space="preserve"> </w:t>
      </w:r>
      <w:r>
        <w:t xml:space="preserve">The 2017 American College of Cardiology/American Heart Association blood pressure (BP) guideline recommends predicting 10-year atherosclerotic cardiovascular disease (ASCVD) risk for adults with hypertension to establish a BP treatment threshold. However, it has been suggested that most adults with diabetes, chronic kidney disease (CKD), and age≥65 years have 10-year predicted ASCVD risk≥10%.</w:t>
      </w:r>
    </w:p>
    <w:p>
      <w:pPr>
        <w:pStyle w:val="BodyText"/>
      </w:pPr>
      <w:r>
        <w:rPr>
          <w:b/>
        </w:rPr>
        <w:t xml:space="preserve">Objectives:</w:t>
      </w:r>
      <w:r>
        <w:t xml:space="preserve"> </w:t>
      </w:r>
      <w:r>
        <w:t xml:space="preserve">In subgroups of US adults defined by diabetes, CKD, and age≥65 years, determine whether the majority have high ASCVD risk (i.e., 10-year predicted ASCVD risk≥10% or prevalent CVD), and estimate age-adjusted probability of high ASCVD risk.</w:t>
      </w:r>
    </w:p>
    <w:p>
      <w:pPr>
        <w:pStyle w:val="BodyText"/>
      </w:pPr>
      <w:r>
        <w:rPr>
          <w:b/>
        </w:rPr>
        <w:t xml:space="preserve">Methods:</w:t>
      </w:r>
      <w:r>
        <w:t xml:space="preserve"> </w:t>
      </w:r>
      <w:r>
        <w:t xml:space="preserve">Adults aged 40-79 years from the 2013-2018 National Health and Nutrition Examination Survey were included. Age-adjusted probability of high ASCVD risk was estimated using logistic regression. Analyses were conducted overall and among those with stage 1 hypertension.</w:t>
      </w:r>
    </w:p>
    <w:p>
      <w:pPr>
        <w:pStyle w:val="BodyText"/>
      </w:pPr>
      <w:r>
        <w:rPr>
          <w:b/>
        </w:rPr>
        <w:t xml:space="preserve">Results:</w:t>
      </w:r>
      <w:r>
        <w:t xml:space="preserve"> </w:t>
      </w:r>
      <w:r>
        <w:t xml:space="preserve">Among US adults overall (with stage 1 hypertension), an estimated 72.5% (55.0%), 64.5% (36.7%), 83.9% (72.6%), and 69.1% (54.4%) had high ASCVD risk in subgroups with diabetes, CKD, age≥65 years, and any of these conditions, respectively. Probability of high ASCVD risk exceeded 50% in subgroups with diabetes, CKD, and neither diabetes nor CKD at age 54 (55), 59 (65), and 65 (65) years, respectively.</w:t>
      </w:r>
    </w:p>
    <w:p>
      <w:pPr>
        <w:pStyle w:val="BodyText"/>
      </w:pPr>
      <w:r>
        <w:rPr>
          <w:b/>
        </w:rPr>
        <w:t xml:space="preserve">Conclusions:</w:t>
      </w:r>
      <w:r>
        <w:t xml:space="preserve"> </w:t>
      </w:r>
      <w:r>
        <w:t xml:space="preserve">While the majority of US adults with diabetes, CKD, or age≥65 years had high ASCVD risk, many with stage 1 hypertension did not. Predicted 10-year ASCVD risk is heterogeneous among adults with stage 1 hypertension and diabetes or CKD, and should be computed for all adults with hypertension to establish appropriate BP treatment thresholds.</w:t>
      </w:r>
    </w:p>
    <w:p>
      <w:pPr>
        <w:pStyle w:val="BodyText"/>
      </w:pPr>
      <w:r>
        <w:rPr>
          <w:b/>
        </w:rPr>
        <w:t xml:space="preserve">Key words</w:t>
      </w:r>
      <w:r>
        <w:t xml:space="preserve">: Atherosclerotic cardiovascular disease, blood pressure, diabetes, chronic kidney disease, risk prediction</w:t>
      </w:r>
    </w:p>
    <w:p>
      <w:r>
        <w:br w:type="page"/>
      </w:r>
    </w:p>
    <w:p>
      <w:pPr>
        <w:pStyle w:val="Heading1"/>
      </w:pPr>
      <w:bookmarkStart w:id="21" w:name="abbreviations"/>
      <w:r>
        <w:t xml:space="preserve">ABBREVIATIONS</w:t>
      </w:r>
      <w:bookmarkEnd w:id="21"/>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p>
      <w:pPr>
        <w:pStyle w:val="Heading1"/>
      </w:pPr>
      <w:bookmarkStart w:id="22" w:name="condensed-abstract"/>
      <w:r>
        <w:t xml:space="preserve">CONDENSED ABSTRACT</w:t>
      </w:r>
      <w:bookmarkEnd w:id="22"/>
    </w:p>
    <w:p>
      <w:pPr>
        <w:pStyle w:val="FirstParagraph"/>
      </w:pPr>
      <w:r>
        <w:rPr>
          <w:i/>
        </w:rPr>
        <w:t xml:space="preserve">Note: No more than 100 words, stressing clinical implications</w:t>
      </w:r>
    </w:p>
    <w:p>
      <w:pPr>
        <w:pStyle w:val="BodyText"/>
      </w:pPr>
      <w:r>
        <w:t xml:space="preserve">The 2017 American College of Cardiology/American Heart Association blood pressure (BP) guideline recommends predicting 10-year atherosclerotic cardiovascular disease (ASCVD) risk for adults with hypertension to establish BP treatment thresholds. However, it has been suggested that most adults with diabetes, chronic kidney disease, and age≥65 years have 10-year predicted ASCVD risk≥10%. Nationally representative data show many US adults with stage 1 hypertension and diabetes or chronic kidney disease do not have 10-year predicted ASCVD risk≥10% or prevalent CVD. Predicted 10-year ASCVD risk is heterogeneous among adults with stage 1 hypertension and should be computed to establish appropriate BP treatment thresholds.</w:t>
      </w:r>
    </w:p>
    <w:p>
      <w:pPr>
        <w:pStyle w:val="Heading1"/>
      </w:pPr>
      <w:bookmarkStart w:id="23" w:name="central-illustration"/>
      <w:r>
        <w:t xml:space="preserve">Central Illustration:</w:t>
      </w:r>
      <w:bookmarkEnd w:id="23"/>
    </w:p>
    <w:p>
      <w:pPr>
        <w:pStyle w:val="FirstParagraph"/>
      </w:pPr>
      <w:r>
        <w:rPr>
          <w:i/>
        </w:rPr>
        <w:t xml:space="preserve">To be determined</w:t>
      </w:r>
    </w:p>
    <w:p>
      <w:pPr>
        <w:pStyle w:val="Heading1"/>
      </w:pPr>
      <w:bookmarkStart w:id="24" w:name="clinical-perspectives"/>
      <w:r>
        <w:t xml:space="preserve">Clinical Perspectives:</w:t>
      </w:r>
      <w:bookmarkEnd w:id="24"/>
    </w:p>
    <w:p>
      <w:pPr>
        <w:pStyle w:val="FirstParagraph"/>
      </w:pPr>
      <w:r>
        <w:rPr>
          <w:i/>
        </w:rPr>
        <w:t xml:space="preserve">To be drafted in next version</w:t>
      </w:r>
    </w:p>
    <w:p>
      <w:r>
        <w:br w:type="page"/>
      </w:r>
    </w:p>
    <w:p>
      <w:pPr>
        <w:pStyle w:val="Heading1"/>
      </w:pPr>
      <w:bookmarkStart w:id="25" w:name="introduction"/>
      <w:r>
        <w:t xml:space="preserve">INTRODUCTION</w:t>
      </w:r>
      <w:bookmarkEnd w:id="25"/>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risk for cardiovascular disease (CVD) and BP levels to guide the initiation of antihypertensive medication. All adults with systolic BP (SBP) ≥ 140 mm Hg or diastolic BP (DBP) ≥ 90 mm Hg, stage 2 hypertension in the guideline, are recommended to initiate antihypertensive medication. Additionally, adults with SBP between 130 and 139 mm Hg and/or DBP between 80 and 89 mm Hg, stage 1 hypertension in the guideline, who have prevalent diabetes mellitus, prevalent chronic kidney disease (CKD), age ≥ 65 years, or high atherosclerotic CVD (ASCVD) risk are recommended to initiate antihypertensive medication. High ASCVD risk is defined as prevalent CVD or a 10-year predicted risk for ASCVD ≥ 10%</w:t>
      </w:r>
    </w:p>
    <w:p>
      <w:pPr>
        <w:pStyle w:val="BodyText"/>
      </w:pPr>
    </w:p>
    <w:p>
      <w:pPr>
        <w:pStyle w:val="BodyText"/>
      </w:pPr>
      <w:r>
        <w:t xml:space="preserve">The 2017 ACC/AHA guideline recommends computing 10-year predicted risk for ASCVD in all adults with hypertension to establish a BP threshold for treatment.</w:t>
      </w:r>
      <w:r>
        <w:t xml:space="preserve">(1)</w:t>
      </w:r>
      <w:r>
        <w:t xml:space="preserve"> </w:t>
      </w:r>
      <w:r>
        <w:t xml:space="preserve">However, it has been suggested that the vast majority of adults with diabetes, CKD, or ≥ 65 years of age are likely to have a 10-year predicted risk for ASCVD ≥ 10%. The purpose of the current analysis was to estimate the proportion of US adults with diabetes, CKD, or ≥ 65 years of age that have high ASCVD risk (i.e., a 10-year predicted risk for ASCVD ≥ 10% or prevalent CVD) and estimate the age-adjusted probability of high ASCVD risk in these groups. Analyses were replicated among adults with stage 1 hypertension since the 2017 ACC/AHA BP guideline recommends initiation of antihypertensive medication for adults with stage 1 hypertension and diabetes, CKD, or age ≥ 65 years, and initiation may involve determining a BP treatment threshold. To accomplish these goals, we analyzed data from 3 cycles of the US National Health and Nutrition Examination Survey (NHANES).</w:t>
      </w:r>
    </w:p>
    <w:p>
      <w:pPr>
        <w:pStyle w:val="BodyText"/>
      </w:pPr>
    </w:p>
    <w:p>
      <w:pPr>
        <w:pStyle w:val="Heading1"/>
      </w:pPr>
      <w:bookmarkStart w:id="26" w:name="methods"/>
      <w:r>
        <w:t xml:space="preserve">METHODS</w:t>
      </w:r>
      <w:bookmarkEnd w:id="26"/>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participants were included in the analysis (Figure S1).</w:t>
      </w:r>
    </w:p>
    <w:p>
      <w:pPr>
        <w:pStyle w:val="BodyText"/>
      </w:pPr>
    </w:p>
    <w:p>
      <w:pPr>
        <w:pStyle w:val="Heading2"/>
      </w:pPr>
      <w:bookmarkStart w:id="27" w:name="data-collection"/>
      <w:r>
        <w:t xml:space="preserve">Data collection</w:t>
      </w:r>
      <w:bookmarkEnd w:id="27"/>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Prevalent CVD was defined as answering</w:t>
      </w:r>
      <w:r>
        <w:t xml:space="preserve"> </w:t>
      </w:r>
      <w:r>
        <w:t xml:space="preserve">‘</w:t>
      </w:r>
      <w:r>
        <w:t xml:space="preserve">yes</w:t>
      </w:r>
      <w:r>
        <w:t xml:space="preserve">’</w:t>
      </w:r>
      <w:r>
        <w:t xml:space="preserve"> </w:t>
      </w:r>
      <w:r>
        <w:t xml:space="preserve">to at least one of these questions.</w:t>
      </w:r>
    </w:p>
    <w:p>
      <w:pPr>
        <w:pStyle w:val="BodyText"/>
      </w:pPr>
    </w:p>
    <w:p>
      <w:pPr>
        <w:pStyle w:val="BodyText"/>
      </w:pPr>
      <w:r>
        <w:t xml:space="preserve">Blood and urine samples were collected during the medical examination. Of relevance to the current analysis, serum creatinine, serum glucose and glycated hemoglobin were measured. Diabetes was defined by fasting serum glucose ≥ 126 mg/dL, non-fasting glucose ≥ 200 mg/dL, glycated hemoglobin ≥ 6.5%, or self-reported use of insulin or oral glucose lowering medication. Estimated glomerular filtration rate was calculated using the Chronic Kidney Disease Epidemiology Collaboration equation.</w:t>
      </w:r>
      <w:r>
        <w:t xml:space="preserve">(5, 6)</w:t>
      </w:r>
      <w:r>
        <w:t xml:space="preserve"> </w:t>
      </w:r>
      <w:r>
        <w:t xml:space="preserve">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mg/dL. Predicted 10-year risk for ASCVD was calculated using the Pooled Cohort risk equations for participants without prevalent CVD.</w:t>
      </w:r>
      <w:r>
        <w:t xml:space="preserve">(4)</w:t>
      </w:r>
      <w:r>
        <w:t xml:space="preserve"> </w:t>
      </w:r>
      <w:r>
        <w:t xml:space="preserve">High ASCVD risk was defined as prevalent CVD or a 10-year predicted ASCVD risk ≥ 10%.</w:t>
      </w:r>
    </w:p>
    <w:p>
      <w:pPr>
        <w:pStyle w:val="BodyText"/>
      </w:pPr>
    </w:p>
    <w:p>
      <w:pPr>
        <w:pStyle w:val="Heading2"/>
      </w:pPr>
      <w:bookmarkStart w:id="28" w:name="blood-pressure-measurements"/>
      <w:r>
        <w:t xml:space="preserve">Blood pressure measurements</w:t>
      </w:r>
      <w:bookmarkEnd w:id="28"/>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9" w:name="blood-pressure-categories"/>
      <w:r>
        <w:t xml:space="preserve">Blood pressure categories</w:t>
      </w:r>
      <w:bookmarkEnd w:id="29"/>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and/or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30" w:name="statistical-analysis"/>
      <w:r>
        <w:t xml:space="preserve">Statistical analysis</w:t>
      </w:r>
      <w:bookmarkEnd w:id="30"/>
    </w:p>
    <w:p>
      <w:pPr>
        <w:pStyle w:val="FirstParagraph"/>
      </w:pPr>
      <w:r>
        <w:t xml:space="preserve">Analyses were conducted for the overall population and among participants with diabetes, CKD, ≥ 65 years of age, and for those with at least one of these three conditions. Participant characteristics were summarized as mean with their standard error and percentage for continuous and categorical variables, respectively. The percentage of US adults in each of the five BP categories (defined in the preceding paragraph)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risk for ASCVD and the proportion of participants with high ASCVD risk were estimated overall and within each BP category. To assess the extent to which participants with a 10-year predicted risk for ASCVD &lt; 10% were close to the 10% threshold, the proportion of participants in this subgroup with 10-year predicted risk for ASCVD from &lt; 2.5%, 2.5% to &lt; 5.0%, 5.0% to &lt; 7.5%, and 7.5% to &lt; 10% was estimated. The probability of having high ASCVD risk was estimated for each year of age from 40 to 79 years using logistic regression. Analyses of participant characteristics, distribution of 10-year predicted risk for ASCVD, and probability of having high ASCVD risk were replicated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The survey design of NHANES was also taken into account in all calculations. P-values were two-sided. Data analysis was conducted using R version 4.0.2 (released June 22, 2020) along with a collection of open-source software packages.</w:t>
      </w:r>
      <w:r>
        <w:t xml:space="preserve">(7–10)</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study, allowing for different initial parameters.</w:t>
      </w:r>
    </w:p>
    <w:p>
      <w:pPr>
        <w:pStyle w:val="BodyText"/>
      </w:pPr>
    </w:p>
    <w:p>
      <w:pPr>
        <w:pStyle w:val="Heading1"/>
      </w:pPr>
      <w:bookmarkStart w:id="31" w:name="results"/>
      <w:r>
        <w:t xml:space="preserve">RESULTS</w:t>
      </w:r>
      <w:bookmarkEnd w:id="31"/>
    </w:p>
    <w:p>
      <w:pPr>
        <w:pStyle w:val="FirstParagraph"/>
      </w:pPr>
      <w:r>
        <w:t xml:space="preserve">Among US adults aged 40 to 79 years in 2013-2018, the estimated prevalence (95% confidence interval [CI]) of diabetes and CKD was 17.2% (16.0%, 18.5%) and 17.2% (15.9%, 18.5%), respectively, 25.4% (23.7%, 27.2%) were estimated to have ≥ 65 years of age, and 42.1% (40.2%, 43.9%) had at least one of these conditions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p>
      <w:pPr>
        <w:pStyle w:val="Heading2"/>
      </w:pPr>
      <w:bookmarkStart w:id="32" w:name="Xa090d714d1caf599210ee0f0743a4961163a618"/>
      <w:r>
        <w:t xml:space="preserve">Predicted 10-year risk for atherosclerotic cardiovascular disease</w:t>
      </w:r>
      <w:bookmarkEnd w:id="32"/>
    </w:p>
    <w:p>
      <w:pPr>
        <w:pStyle w:val="FirstParagraph"/>
      </w:pPr>
      <w:r>
        <w:t xml:space="preserve">Among US adults aged 40 to 79 years without prevalent CVD,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5.1% (1.9%, 11.4%) overall and 14.4% (7.0%, 27.4%), 11.4% (4.8%, 22.3%), 17.9% (11.2%, 27.4%),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4.2% (1.9%, 8.5%) overall and 8.9% (4.5%, 19.3%), 7.4% (2.8%, 12.2%), 13.8% (8.6%, 22.3%), 9.8% (5.3%, 16.5%) for those with diabetes, CKD, age ≥ 65 years, and any of these conditions, respectively.</w:t>
      </w:r>
    </w:p>
    <w:p>
      <w:pPr>
        <w:pStyle w:val="BodyText"/>
      </w:pPr>
    </w:p>
    <w:p>
      <w:pPr>
        <w:pStyle w:val="BodyText"/>
      </w:pPr>
      <w:r>
        <w:t xml:space="preserve">Among US adults aged 40 to 79 years, the estimated percentage (95% CI) at high ASCVD risk was 36.7% (34.8%, 38.6%) overall and 72.5% (69.4%, 75.6%), 64.5% (61.4%, 67.7%), 83.9% (81.7%, 86.1%), and 69.1% (66.9%, 71.3%) for those with diabetes, CKD, age ≥ 65 years, or any of these conditions, respectively (Table 3; bottom panel). Among those with stage 1 hypertension, the estimated percentage (95% CI) at high ASCVD risk was 24.3% (20.7%, 27.9%) overall and 55.0% (43.7%, 66.4%), 36.7% (26.2%, 47.2%), 72.6% (63.2%, 81.9%), and 54.4% (46.7%, 62.1%) for those with diabetes, CKD, age ≥ 65 years, or any of these conditions, respectively.</w:t>
      </w:r>
    </w:p>
    <w:p>
      <w:pPr>
        <w:pStyle w:val="BodyText"/>
      </w:pPr>
    </w:p>
    <w:p>
      <w:pPr>
        <w:pStyle w:val="BodyText"/>
      </w:pPr>
      <w:r>
        <w:t xml:space="preserve">Among US adults aged 40 to 79 years who were not at high risk for ASCVD, an estimated 69.4% (95% CI: 67.5%, 71.3%) had 10-year predicted ASCVD risk &lt; 5% (Figure 1). Among those not at high risk for ASCVD with diabetes, CKD, age ≥ 65 years, and any of these conditions, an estimated 47.7% (95% CI: 41.0%, 54.5%), 55.9% (95% CI: 50.3%, 61.3%), 13.2% (95% CI: 8.4%, 20.1%), and 42.7% (95% CI: 38.1%, 47.4%) had a 10-year predicted ASCVD risk &lt; 5%, respectively. Among those not at high risk for ASCVD and with stage 1 hypertension, an estimated 68.9% (95% CI: 64.3%, 73.1%) overall and 53.6% (95% CI: 35.6%, 70.6%), 52.2% (95% CI: 35.5%, 68.5%), and 7.4% (95% CI: 1.1%, 35.8%) of those with diabetes, CKD, and ≥ 65 years of age had a 10-year predicted ASCVD risk &lt; 5%, respectively (Figure S2).</w:t>
      </w:r>
    </w:p>
    <w:p>
      <w:pPr>
        <w:pStyle w:val="BodyText"/>
      </w:pPr>
    </w:p>
    <w:p>
      <w:pPr>
        <w:pStyle w:val="Heading2"/>
      </w:pPr>
      <w:bookmarkStart w:id="33" w:name="age-specific-analysis-of-high-ascvd-risk"/>
      <w:r>
        <w:t xml:space="preserve">Age-specific analysis of high ASCVD risk</w:t>
      </w:r>
      <w:bookmarkEnd w:id="33"/>
    </w:p>
    <w:p>
      <w:pPr>
        <w:pStyle w:val="FirstParagraph"/>
      </w:pPr>
      <w:r>
        <w:t xml:space="preserve">The estimated probability of having high ASCVD risk increased with older age and exceeded 50% at 65 years for US adults without diabetes or CKD, compared with 54 years for US adults with diabetes and 59 years for US adults with CKD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 65 years of age as the probability exceeded 50% at all ages above 65 years.</w:t>
      </w:r>
    </w:p>
    <w:p>
      <w:pPr>
        <w:pStyle w:val="BodyText"/>
      </w:pPr>
    </w:p>
    <w:p>
      <w:pPr>
        <w:pStyle w:val="Heading1"/>
      </w:pPr>
      <w:bookmarkStart w:id="34" w:name="discussion"/>
      <w:r>
        <w:t xml:space="preserve">DISCUSSION</w:t>
      </w:r>
      <w:bookmarkEnd w:id="34"/>
    </w:p>
    <w:p>
      <w:pPr>
        <w:pStyle w:val="FirstParagraph"/>
      </w:pPr>
      <w:r>
        <w:t xml:space="preserve">In the current study, a majority of US adults aged 40 to 79 years with diabetes, CKD, age ≥ 65 years, and any of these conditions had a high risk for ASCVD, defined by a 10-year predicted ASCVD risk ≥ 10% or prevalent CVD. Among those with stage 1 hypertension and ≥ 65 years of age, a substantial proportion were at high ASCVD risk. However, a substantial proportion of US adults with stage 1 hypertension and diabetes or CKD did not have high ASCVD risk. Among US adults with diabetes or CKD who were not at high ASCVD risk, approximately half had a 10-year predicted ASCVD risk &lt; 5%. In contrast, over 80% of US adults aged ≥ 65 years not at high ASCVD risk had 10-year predicted risk for ASCVD between 5% and 10%. The probability of having high ASCVD risk was age-dependent with over 50% of those with diabetes, CKD, and with neither of these conditions expected to have high ASCVD risk at ≥ 54, ≥ 59, and ≥ 65 years of age, respectively.</w:t>
      </w:r>
    </w:p>
    <w:p>
      <w:pPr>
        <w:pStyle w:val="BodyText"/>
      </w:pPr>
    </w:p>
    <w:p>
      <w:pPr>
        <w:pStyle w:val="BodyText"/>
      </w:pPr>
      <w:r>
        <w:t xml:space="preserve">The current study estimates that roughly one third of US adults aged 40 to 79 years take antihypertensive medication, including one half of those with diabetes, CKD, or ≥ 65 years of age. Among those with diabetes, CKD, or age ≥ 65 years, about 10% had stage 1 hypertension. The heterogeneous distribution of 10-year predicted ASCVD among those with stage 1 hypertension and diabetes, CKD, or age ≥ 65 years emphasizes the importance of the 2017 ACC/AHA BP guideline’s recommendation to compute 10-year predicted ASCVD risk for all adults with hypertension.</w:t>
      </w:r>
      <w:r>
        <w:t xml:space="preserve">(1)</w:t>
      </w:r>
      <w:r>
        <w:t xml:space="preserve"> </w:t>
      </w:r>
      <w:r>
        <w:t xml:space="preserve">Computing 10-year predicted ASCVD risk can inform patients recommended to initiate antihypertensive medication and later facilitate patient provider discussions on a BP threshold for treatment.</w:t>
      </w:r>
    </w:p>
    <w:p>
      <w:pPr>
        <w:pStyle w:val="BodyText"/>
      </w:pPr>
    </w:p>
    <w:p>
      <w:pPr>
        <w:pStyle w:val="BodyText"/>
      </w:pPr>
      <w:r>
        <w:t xml:space="preserve">Previous studies have shown that the use of predicted ASCVD risk in addition to BP, as recommended by the 2017 ACC/AHA BP guideline, can direct antihypertensive medication to adults likely to receive the largest risk reduction benefit with treatment.</w:t>
      </w:r>
      <w:r>
        <w:t xml:space="preserve">(11, 12)</w:t>
      </w:r>
      <w:r>
        <w:t xml:space="preserve"> </w:t>
      </w:r>
      <w:r>
        <w:t xml:space="preserve">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 65 years of age did not have a high ASCVD risk in the current study, they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treatment goals reduce incident CVD risk in patients with diabetes, CKD, or ≥ 65 years of age. the Systolic Blood Pressure Intervention Trial, which compared the SBP treatment target of &lt; 120 mm Hg to &lt; 140 mm Hg among older (mean age of 68 years) adults without diabetes, found lower rates of incident fatal and nonfatal major CVD events among those with the lower SBP target.</w:t>
      </w:r>
      <w:r>
        <w:t xml:space="preserve">(13)</w:t>
      </w:r>
      <w:r>
        <w:t xml:space="preserve"> </w:t>
      </w:r>
      <w:r>
        <w:t xml:space="preserve">A randomized trial of patients with diabetes and baseline SBP &lt; 140 mm hg and DBP &lt; 80 mm Hg found lower risk of stroke among participants with more intense BP treatment goals.</w:t>
      </w:r>
      <w:r>
        <w:t xml:space="preserve">(14)</w:t>
      </w:r>
      <w:r>
        <w:t xml:space="preserve"> </w:t>
      </w:r>
      <w:r>
        <w:t xml:space="preserve">A systematic review and meta-analysis of 123 studies with 613,815 participants found strong support for lowering SBP to less than 130 mm Hg and providing antihypertensive medication to adults with diabetes, CKD, and various other comorbidities.</w:t>
      </w:r>
      <w:r>
        <w:t xml:space="preserve">(15)</w:t>
      </w:r>
      <w:r>
        <w:t xml:space="preserve"> </w:t>
      </w:r>
      <w:r>
        <w:t xml:space="preserve">This suggests adults with stage 1 hypertension and diabetes, CKD or ≥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 65 years of age have a 10-year predicted risk for ASCVD ≥ 10%.</w:t>
      </w:r>
      <w:r>
        <w:t xml:space="preserve">(1)</w:t>
      </w:r>
      <w:r>
        <w:t xml:space="preserve"> </w:t>
      </w:r>
      <w:r>
        <w:t xml:space="preserve">Previous research has shown that diabetes, CKD, and advanced age are each associated with an increased risk for ASCVD events.</w:t>
      </w:r>
      <w:r>
        <w:t xml:space="preserve">(16–19)</w:t>
      </w:r>
      <w:r>
        <w:t xml:space="preserve">. Although the current study suggests that a high proportion of US adults with stage 1 hypertension and diabetes or CKD do not have 10-year predicted risk for ASCVD ≥ 10%, others have previously shown that adults with diabetes or CKD have a high lifetime CVD risk.</w:t>
      </w:r>
      <w:r>
        <w:t xml:space="preserve">(20, 21)</w:t>
      </w:r>
      <w:r>
        <w:t xml:space="preserve"> </w:t>
      </w:r>
      <w:r>
        <w:t xml:space="preserve">Age-adjusted estimates for the probability of high ASCVD risk from the current study echo these findings and suggests that adults with diabetes or CKD develop high ASCVD risk at a younger age than adults without these conditions. Prior studies have also found that cumulative exposure to high BP is associated with increased CVD risk.</w:t>
      </w:r>
      <w:r>
        <w:t xml:space="preserve">(22)</w:t>
      </w:r>
      <w:r>
        <w:t xml:space="preserve"> </w:t>
      </w:r>
      <w:r>
        <w:t xml:space="preserve">Therefore, for younger adults with diabetes or CKD, early initiation of antihypertensive medication may be an important step towards lowering lifetime CVD risk. Predicted 10-year risk for ASCVD should be computed for all adults with hypertension, as the 2017 ACC/AHA BP guideline recommends, and lifetime CVD risk should also be taken into account for younger adults with diabetes or CKD. Taken together, these risk assessment techniques can inform patients and help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p>
      <w:pPr>
        <w:pStyle w:val="Heading1"/>
      </w:pPr>
      <w:bookmarkStart w:id="35" w:name="conclusions"/>
      <w:r>
        <w:t xml:space="preserve">CONCLUSIONS</w:t>
      </w:r>
      <w:bookmarkEnd w:id="35"/>
    </w:p>
    <w:p>
      <w:pPr>
        <w:pStyle w:val="FirstParagraph"/>
      </w:pPr>
      <w:r>
        <w:t xml:space="preserve">While the majority of US adults with diabetes, CKD, or age≥65 years had high ASCVD risk, many with stage 1 hypertension did not. Most older US adults with diabetes or CKD had high ASCVD risk, but a substantial proportion of younger adults with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 predicted risk for ASCVD among those without 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High atherosclerotic cardiovascular disease risk was defined by a 10-year predicted risk for atherosclerotic cardiovascular disease ≥ 10% or prevalent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NHANES interview and exam cells include number with the response rate in parentheses.</w:t>
      </w:r>
      <w:r>
        <w:t xml:space="preserve"> </w:t>
      </w:r>
      <w:r>
        <w:t xml:space="preserve">BP = blood pressure;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Heading1"/>
      </w:pPr>
      <w:bookmarkStart w:id="36" w:name="references"/>
      <w:r>
        <w:t xml:space="preserve">REFERENCES</w:t>
      </w:r>
      <w:bookmarkEnd w:id="36"/>
    </w:p>
    <w:bookmarkStart w:id="65" w:name="refs"/>
    <w:bookmarkStart w:id="37"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7"/>
    <w:bookmarkStart w:id="39" w:name="ref-nhanes_home"/>
    <w:p>
      <w:pPr>
        <w:pStyle w:val="Bibliography"/>
      </w:pPr>
      <w:r>
        <w:t xml:space="preserve">2. Anon. NHANES - national health and nutrition examination survey homepage, available at</w:t>
      </w:r>
      <w:r>
        <w:t xml:space="preserve"> </w:t>
      </w:r>
      <w:hyperlink r:id="rId38">
        <w:r>
          <w:rPr>
            <w:rStyle w:val="Hyperlink"/>
          </w:rPr>
          <w:t xml:space="preserve">https://www.cdc.gov/nchs/nhanes/index.htm</w:t>
        </w:r>
      </w:hyperlink>
      <w:r>
        <w:t xml:space="preserve">.</w:t>
      </w:r>
    </w:p>
    <w:bookmarkEnd w:id="39"/>
    <w:bookmarkStart w:id="41" w:name="ref-nhanes_tutorial_weights"/>
    <w:p>
      <w:pPr>
        <w:pStyle w:val="Bibliography"/>
      </w:pPr>
      <w:r>
        <w:t xml:space="preserve">3. Anon. NHANES tutorials - module 3 - weighting, available at</w:t>
      </w:r>
      <w:r>
        <w:t xml:space="preserve"> </w:t>
      </w:r>
      <w:hyperlink r:id="rId40">
        <w:r>
          <w:rPr>
            <w:rStyle w:val="Hyperlink"/>
          </w:rPr>
          <w:t xml:space="preserve">https://wwwn.cdc.gov/nchs/nhanes/tutorials/module3.aspx</w:t>
        </w:r>
      </w:hyperlink>
      <w:r>
        <w:t xml:space="preserve">.</w:t>
      </w:r>
    </w:p>
    <w:bookmarkEnd w:id="41"/>
    <w:bookmarkStart w:id="42"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42"/>
    <w:bookmarkStart w:id="43" w:name="ref-levey2009new"/>
    <w:p>
      <w:pPr>
        <w:pStyle w:val="Bibliography"/>
      </w:pPr>
      <w:r>
        <w:t xml:space="preserve">5. Levey AS, Stevens LA, Schmid CH, et al. A new equation to estimate glomerular filtration rate. Annals of internal medicine 2009;150:604–612.</w:t>
      </w:r>
    </w:p>
    <w:bookmarkEnd w:id="43"/>
    <w:bookmarkStart w:id="45" w:name="ref-cite_nephro"/>
    <w:p>
      <w:pPr>
        <w:pStyle w:val="Bibliography"/>
      </w:pPr>
      <w:r>
        <w:t xml:space="preserve">6. Pattaro C. Nephro: Utilities for nephrology.; 2017. Available at:</w:t>
      </w:r>
      <w:r>
        <w:t xml:space="preserve"> </w:t>
      </w:r>
      <w:hyperlink r:id="rId44">
        <w:r>
          <w:rPr>
            <w:rStyle w:val="Hyperlink"/>
          </w:rPr>
          <w:t xml:space="preserve">https://CRAN.R-project.org/package=nephro</w:t>
        </w:r>
      </w:hyperlink>
      <w:r>
        <w:t xml:space="preserve">.</w:t>
      </w:r>
    </w:p>
    <w:bookmarkEnd w:id="45"/>
    <w:bookmarkStart w:id="47" w:name="ref-cite_R"/>
    <w:p>
      <w:pPr>
        <w:pStyle w:val="Bibliography"/>
      </w:pPr>
      <w:r>
        <w:t xml:space="preserve">7. R Core Team. R: A language and environment for statistical computing. Vienna, Austria: R Foundation for Statistical Computing; 2020. Available at:</w:t>
      </w:r>
      <w:r>
        <w:t xml:space="preserve"> </w:t>
      </w:r>
      <w:hyperlink r:id="rId46">
        <w:r>
          <w:rPr>
            <w:rStyle w:val="Hyperlink"/>
          </w:rPr>
          <w:t xml:space="preserve">https://www.R-project.org/</w:t>
        </w:r>
      </w:hyperlink>
      <w:r>
        <w:t xml:space="preserve">.</w:t>
      </w:r>
    </w:p>
    <w:bookmarkEnd w:id="47"/>
    <w:bookmarkStart w:id="49" w:name="ref-cite_drake"/>
    <w:p>
      <w:pPr>
        <w:pStyle w:val="Bibliography"/>
      </w:pPr>
      <w:r>
        <w:t xml:space="preserve">8. Landau WM. The drake r package: A pipeline toolkit for reproducibility and high-performance computing. Journal of Open Source Software 2018;3. Available at:</w:t>
      </w:r>
      <w:r>
        <w:t xml:space="preserve"> </w:t>
      </w:r>
      <w:hyperlink r:id="rId48">
        <w:r>
          <w:rPr>
            <w:rStyle w:val="Hyperlink"/>
          </w:rPr>
          <w:t xml:space="preserve">https://doi.org/10.21105/joss.00550</w:t>
        </w:r>
      </w:hyperlink>
      <w:r>
        <w:t xml:space="preserve">.</w:t>
      </w:r>
    </w:p>
    <w:bookmarkEnd w:id="49"/>
    <w:bookmarkStart w:id="50" w:name="ref-cite_tidyverse"/>
    <w:p>
      <w:pPr>
        <w:pStyle w:val="Bibliography"/>
      </w:pPr>
      <w:r>
        <w:t xml:space="preserve">9. Wickham H, Averick M, Bryan J, et al. Welcome to the tidyverse. Journal of Open Source Software 2019;4:1686.</w:t>
      </w:r>
    </w:p>
    <w:bookmarkEnd w:id="50"/>
    <w:bookmarkStart w:id="52" w:name="ref-cite_table.glue"/>
    <w:p>
      <w:pPr>
        <w:pStyle w:val="Bibliography"/>
      </w:pPr>
      <w:r>
        <w:t xml:space="preserve">10. Jaeger B. Table.glue: Make and apply customized rounding specifications for tables.; 2020. Available at:</w:t>
      </w:r>
      <w:r>
        <w:t xml:space="preserve"> </w:t>
      </w:r>
      <w:hyperlink r:id="rId51">
        <w:r>
          <w:rPr>
            <w:rStyle w:val="Hyperlink"/>
          </w:rPr>
          <w:t xml:space="preserve">https://github.com/bcjaeger/table.glue</w:t>
        </w:r>
      </w:hyperlink>
      <w:r>
        <w:t xml:space="preserve">.</w:t>
      </w:r>
    </w:p>
    <w:bookmarkEnd w:id="52"/>
    <w:bookmarkStart w:id="53" w:name="ref-colantonio20182017"/>
    <w:p>
      <w:pPr>
        <w:pStyle w:val="Bibliography"/>
      </w:pPr>
      <w:r>
        <w:t xml:space="preserve">11. Colantonio LD, Booth JN, Bress AP, et al. 2017 american college of cardiology/american heart association blood pressure treatment guideline recommendations and cardiovascular risk. Journal of the American College of Cardiology 2018;72:1187–1197.</w:t>
      </w:r>
    </w:p>
    <w:bookmarkEnd w:id="53"/>
    <w:bookmarkStart w:id="54" w:name="ref-jaeger2019cardiovascular"/>
    <w:p>
      <w:pPr>
        <w:pStyle w:val="Bibliography"/>
      </w:pPr>
      <w:r>
        <w:t xml:space="preserve">12.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54"/>
    <w:bookmarkStart w:id="55" w:name="ref-sprint2015randomized"/>
    <w:p>
      <w:pPr>
        <w:pStyle w:val="Bibliography"/>
      </w:pPr>
      <w:r>
        <w:t xml:space="preserve">13. Group SR. A randomized trial of intensive versus standard blood-pressure control. New England Journal of Medicine 2015;373:2103–2116.</w:t>
      </w:r>
    </w:p>
    <w:bookmarkEnd w:id="55"/>
    <w:bookmarkStart w:id="56" w:name="ref-schrier2002effects"/>
    <w:p>
      <w:pPr>
        <w:pStyle w:val="Bibliography"/>
      </w:pPr>
      <w:r>
        <w:t xml:space="preserve">14. Schrier RW, Estacio RO, Esler A, Mehler P. Effects of aggressive blood pressure control in normotensive type 2 diabetic patients on albuminuria, retinopathy and strokes. Kidney international 2002;61:1086–1097.</w:t>
      </w:r>
    </w:p>
    <w:bookmarkEnd w:id="56"/>
    <w:bookmarkStart w:id="57" w:name="ref-ettehad2016blood"/>
    <w:p>
      <w:pPr>
        <w:pStyle w:val="Bibliography"/>
      </w:pPr>
      <w:r>
        <w:t xml:space="preserve">15. Ettehad D, Emdin CA, Kiran A, et al. Blood pressure lowering for prevention of cardiovascular disease and death: A systematic review and meta-analysis. The Lancet 2016;387:957–967.</w:t>
      </w:r>
    </w:p>
    <w:bookmarkEnd w:id="57"/>
    <w:bookmarkStart w:id="58" w:name="ref-coresh2004evidence"/>
    <w:p>
      <w:pPr>
        <w:pStyle w:val="Bibliography"/>
      </w:pPr>
      <w:r>
        <w:t xml:space="preserve">16. Coresh J, Astor B, Sarnak MJ. Evidence for increased cardiovascular disease risk in patients with chronic kidney disease. Current opinion in nephrology and hypertension 2004;13:73–81.</w:t>
      </w:r>
    </w:p>
    <w:bookmarkEnd w:id="58"/>
    <w:bookmarkStart w:id="59" w:name="ref-chronic2010association"/>
    <w:p>
      <w:pPr>
        <w:pStyle w:val="Bibliography"/>
      </w:pPr>
      <w:r>
        <w:t xml:space="preserve">17. Consortium CKDP, others. Association of estimated glomerular filtration rate and albuminuria with all-cause and cardiovascular mortality in general population cohorts: A collaborative meta-analysis. The Lancet 2010;375:2073–2081.</w:t>
      </w:r>
    </w:p>
    <w:bookmarkEnd w:id="59"/>
    <w:bookmarkStart w:id="60" w:name="ref-grundy1999diabetes"/>
    <w:p>
      <w:pPr>
        <w:pStyle w:val="Bibliography"/>
      </w:pPr>
      <w:r>
        <w:t xml:space="preserve">18. Grundy SM, Benjamin IJ, Burke GL, et al. Diabetes and cardiovascular disease: A statement for healthcare professionals from the american heart association. Circulation 1999;100:1134–1146.</w:t>
      </w:r>
    </w:p>
    <w:bookmarkEnd w:id="60"/>
    <w:bookmarkStart w:id="61" w:name="ref-lakatta2002age"/>
    <w:p>
      <w:pPr>
        <w:pStyle w:val="Bibliography"/>
      </w:pPr>
      <w:r>
        <w:t xml:space="preserve">19. Lakatta EG. Age-associated cardiovascular changes in health: Impact on cardiovascular disease in older persons. Heart failure reviews 2002;7:29–49.</w:t>
      </w:r>
    </w:p>
    <w:bookmarkEnd w:id="61"/>
    <w:bookmarkStart w:id="62" w:name="ref-lloyd2006prediction"/>
    <w:p>
      <w:pPr>
        <w:pStyle w:val="Bibliography"/>
      </w:pPr>
      <w:r>
        <w:t xml:space="preserve">20. Lloyd-Jones DM, Leip EP, Larson MG, et al. Prediction of lifetime risk for cardiovascular disease by risk factor burden at 50 years of age. Circulation 2006;113:791–798.</w:t>
      </w:r>
    </w:p>
    <w:bookmarkEnd w:id="62"/>
    <w:bookmarkStart w:id="63" w:name="ref-hippisley2010derivation"/>
    <w:p>
      <w:pPr>
        <w:pStyle w:val="Bibliography"/>
      </w:pPr>
      <w:r>
        <w:t xml:space="preserve">21. Hippisley-Cox J, Coupland C, Robson J, Brindle P. Derivation, validation, and evaluation of a new qrisk model to estimate lifetime risk of cardiovascular disease: Cohort study using qresearch database. Bmj 2010;341.</w:t>
      </w:r>
    </w:p>
    <w:bookmarkEnd w:id="63"/>
    <w:bookmarkStart w:id="64" w:name="ref-allen2014blood"/>
    <w:p>
      <w:pPr>
        <w:pStyle w:val="Bibliography"/>
      </w:pPr>
      <w:r>
        <w:t xml:space="preserve">22. Allen NB, Siddique J, Wilkins JT, et al. Blood pressure trajectories in early adulthood and subclinical atherosclerosis in middle age. Jama 2014;311:490–497.</w:t>
      </w:r>
    </w:p>
    <w:bookmarkEnd w:id="64"/>
    <w:bookmarkEnd w:id="65"/>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23695B">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4"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github.com/bcjaeger/table.glue"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 Id="rId52" Type="http://schemas.openxmlformats.org/officeDocument/2006/relationships/image" Target="media/file7fb070db4934.png"/>
<Relationship Id="rId53" Type="http://schemas.openxmlformats.org/officeDocument/2006/relationships/image" Target="media/file7fb06dfb2bf.png"/>
<Relationship Id="rId54" Type="http://schemas.openxmlformats.org/officeDocument/2006/relationships/image" Target="media/file7fb031765740.png"/>
<Relationship Id="rId55" Type="http://schemas.openxmlformats.org/officeDocument/2006/relationships/image" Target="media/file7fb07f8b5bf3.png"/>
<Relationship Id="rId56" Type="http://schemas.openxmlformats.org/officeDocument/2006/relationships/image" Target="media/file7fb07d604c.png"/>
</Relationships>

</file>

<file path=word/_rels/footnotes.xml.rels><?xml version="1.0" encoding="UTF-8" standalone="yes"?>

<Relationships  xmlns="http://schemas.openxmlformats.org/package/2006/relationships">
<Relationship Id="rId44"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github.com/bcjaeger/table.glue"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2020-09-24T19:41:06Z</dcterms:created>
  <dcterms:modified xsi:type="dcterms:W3CDTF">2020-09-24T14:41:08Z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