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w:t>
      </w:r>
      <w:r>
        <w:t xml:space="preserve"> </w:t>
      </w:r>
      <w:r>
        <w:t xml:space="preserve">65</w:t>
      </w:r>
      <w:r>
        <w:t xml:space="preserve"> </w:t>
      </w:r>
      <w:r>
        <w:t xml:space="preserve">years</w:t>
      </w:r>
      <w:r>
        <w:t xml:space="preserve"> </w:t>
      </w:r>
      <w:r>
        <w:t xml:space="preserve">of</w:t>
      </w:r>
      <w:r>
        <w:t xml:space="preserve"> </w:t>
      </w:r>
      <w:r>
        <w:t xml:space="preserve">age</w:t>
      </w:r>
      <w:r>
        <w:t xml:space="preserve"> </w:t>
      </w:r>
      <w:r>
        <w:t xml:space="preserve">overall</w:t>
      </w:r>
      <w:r>
        <w:t xml:space="preserve"> </w:t>
      </w:r>
      <w:r>
        <w:t xml:space="preserve">and</w:t>
      </w:r>
      <w:r>
        <w:t xml:space="preserve"> </w:t>
      </w:r>
      <w:r>
        <w:t xml:space="preserve">with</w:t>
      </w:r>
      <w:r>
        <w:t xml:space="preserve"> </w:t>
      </w:r>
      <w:r>
        <w:t xml:space="preserve">stage</w:t>
      </w:r>
      <w:r>
        <w:t xml:space="preserve"> </w:t>
      </w:r>
      <w:r>
        <w:t xml:space="preserve">1</w:t>
      </w:r>
      <w:r>
        <w:t xml:space="preserve"> </w:t>
      </w:r>
      <w:r>
        <w:t xml:space="preserve">hypertension</w:t>
      </w:r>
    </w:p>
    <w:p>
      <w:pPr>
        <w:pStyle w:val="FirstParagraph"/>
      </w:pP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numPr>
          <w:ilvl w:val="0"/>
          <w:numId w:val="1001"/>
        </w:numPr>
        <w:pStyle w:val="Compact"/>
      </w:pPr>
      <w:r>
        <w:t xml:space="preserve">Department of Biostatistics, University of Alabama at Birmingham</w:t>
      </w:r>
    </w:p>
    <w:p>
      <w:pPr>
        <w:numPr>
          <w:ilvl w:val="0"/>
          <w:numId w:val="1001"/>
        </w:numPr>
        <w:pStyle w:val="Compact"/>
      </w:pPr>
      <w:r>
        <w:t xml:space="preserve">Department of Epidemiology, University of Alabama at Birmingham</w:t>
      </w:r>
    </w:p>
    <w:p>
      <w:pPr>
        <w:numPr>
          <w:ilvl w:val="0"/>
          <w:numId w:val="1001"/>
        </w:numPr>
        <w:pStyle w:val="Compact"/>
      </w:pPr>
      <w:r>
        <w:t xml:space="preserve">Department of Epidemiology, Tulane University</w:t>
      </w:r>
    </w:p>
    <w:p>
      <w:pPr>
        <w:pStyle w:val="FirstParagraph"/>
      </w:pPr>
      <w:r>
        <w:rPr>
          <w:bCs/>
          <w:b/>
        </w:rPr>
        <w:t xml:space="preserve">Short title</w:t>
      </w:r>
      <w:r>
        <w:t xml:space="preserve">: Predicted cardiovascular risk for US adults</w:t>
      </w:r>
    </w:p>
    <w:p>
      <w:pPr>
        <w:pStyle w:val="BodyText"/>
      </w:pPr>
      <w:r>
        <w:rPr>
          <w:bCs/>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Cs/>
          <w:b/>
        </w:rPr>
        <w:t xml:space="preserve">Total word count including the title page, abstract, text, references, tables, and figures legends</w:t>
      </w:r>
      <w:r>
        <w:t xml:space="preserv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 Adults with stage 1 hypertension and diabetes mellitus, chronic kidney disease (CKD), or aged ≥65 years are considered to have high CVD risk by the guideline and initiation of antihypertensive medication is recommended. This recommendation assumes that most adults with diabetes, CKD, or aged ≥65 years have 10-year predicted ASCVD risk ≥10%.</w:t>
      </w:r>
    </w:p>
    <w:p>
      <w:pPr>
        <w:pStyle w:val="BodyText"/>
      </w:pPr>
      <w:r>
        <w:rPr>
          <w:bCs/>
          <w:b/>
        </w:rPr>
        <w:t xml:space="preserve">Methods:</w:t>
      </w:r>
      <w:r>
        <w:t xml:space="preserve"> </w:t>
      </w:r>
      <w:r>
        <w:t xml:space="preserve">We included adults aged 40-79 years from the National Health and Nutrition Examination Survey 2013-2018 (n=8,803). We computed 10-year predicted ASCVD risk using the Pooled Cohort risk equations and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Cs/>
          <w:b/>
        </w:rPr>
        <w:t xml:space="preserve">Results:</w:t>
      </w:r>
      <w:r>
        <w:t xml:space="preserve"> </w:t>
      </w:r>
      <w:r>
        <w:t xml:space="preserve">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Cs/>
          <w:b/>
        </w:rPr>
        <w:t xml:space="preserve">Conclusions:</w:t>
      </w:r>
      <w:r>
        <w:t xml:space="preserve"> </w:t>
      </w:r>
      <w:r>
        <w:t xml:space="preserve">Most US adults with diabetes, CKD, or age ≥65 years had high ASCVD risk. However, many with stage 1 hypertension did not.</w:t>
      </w:r>
    </w:p>
    <w:p>
      <w:pPr>
        <w:pStyle w:val="BodyText"/>
      </w:pPr>
      <w:r>
        <w:rPr>
          <w:bCs/>
          <w:b/>
        </w:rPr>
        <w:t xml:space="preserve">Key words</w:t>
      </w:r>
      <w:r>
        <w:t xml:space="preserve">: Atherosclerotic cardiovascular disease, blood pressure, diabetes, chronic kidney disease, risk prediction</w:t>
      </w:r>
    </w:p>
    <w:p>
      <w:r>
        <w:br w:type="page"/>
      </w:r>
    </w:p>
    <w:bookmarkEnd w:id="20"/>
    <w:bookmarkStart w:id="21" w:name="abbreviations"/>
    <w:p>
      <w:pPr>
        <w:pStyle w:val="Heading1"/>
      </w:pPr>
      <w:r>
        <w:t xml:space="preserve">ABBREVIATIONS</w:t>
      </w:r>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bookmarkEnd w:id="21"/>
    <w:bookmarkStart w:id="22" w:name="introduction"/>
    <w:p>
      <w:pPr>
        <w:pStyle w:val="Heading1"/>
      </w:pPr>
      <w:r>
        <w:t xml:space="preserve">INTRODUCTION</w:t>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rPr>
          <w:vertAlign w:val="superscript"/>
        </w:rP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rPr>
          <w:vertAlign w:val="superscript"/>
        </w:rP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written in Sections 9.3, 9.6, and 10.3 of the guideline,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rPr>
          <w:vertAlign w:val="superscript"/>
        </w:rPr>
        <w:t xml:space="preserve">1,3</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US National Health and Nutrition Examination Survey (NHANES).</w:t>
      </w:r>
    </w:p>
    <w:p>
      <w:pPr>
        <w:pStyle w:val="BodyText"/>
      </w:pPr>
    </w:p>
    <w:bookmarkEnd w:id="22"/>
    <w:bookmarkStart w:id="28" w:name="methods"/>
    <w:p>
      <w:pPr>
        <w:pStyle w:val="Heading1"/>
      </w:pPr>
      <w:r>
        <w:t xml:space="preserve">METHODS</w:t>
      </w:r>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rPr>
          <w:vertAlign w:val="superscript"/>
        </w:rPr>
        <w:t xml:space="preserve">4</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rPr>
          <w:vertAlign w:val="superscript"/>
        </w:rP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in these age ranges.</w:t>
      </w:r>
      <w:r>
        <w:rPr>
          <w:vertAlign w:val="superscript"/>
        </w:rPr>
        <w:t xml:space="preserve">2</w:t>
      </w:r>
      <w:r>
        <w:t xml:space="preserve">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pPr>
        <w:pStyle w:val="BodyText"/>
      </w:pPr>
    </w:p>
    <w:bookmarkStart w:id="23" w:name="data-collection"/>
    <w:p>
      <w:pPr>
        <w:pStyle w:val="Heading2"/>
      </w:pPr>
      <w:r>
        <w:t xml:space="preserve">Data collection</w:t>
      </w:r>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rPr>
          <w:vertAlign w:val="superscript"/>
        </w:rPr>
        <w:t xml:space="preserve">6,7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rPr>
          <w:vertAlign w:val="superscript"/>
        </w:rPr>
        <w:t xml:space="preserve">2,8</w:t>
      </w:r>
      <w:r>
        <w:t xml:space="preserve"> High ASCVD risk was defined as having a 10-year predicted ASCVD risk ≥ 10% or clinical CVD.</w:t>
      </w:r>
    </w:p>
    <w:p>
      <w:pPr>
        <w:pStyle w:val="BodyText"/>
      </w:pPr>
    </w:p>
    <w:bookmarkEnd w:id="23"/>
    <w:bookmarkStart w:id="24" w:name="blood-pressure-measurements"/>
    <w:p>
      <w:pPr>
        <w:pStyle w:val="Heading2"/>
      </w:pPr>
      <w:r>
        <w:t xml:space="preserve">Blood pressure measurements</w:t>
      </w:r>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bookmarkEnd w:id="24"/>
    <w:bookmarkStart w:id="25" w:name="X424b0c13c393e019e8f72e8c08ad4cfe054fcde"/>
    <w:p>
      <w:pPr>
        <w:pStyle w:val="Heading2"/>
      </w:pPr>
      <w:r>
        <w:t xml:space="preserve">Blood pressure and antihypertensive medication use categories</w:t>
      </w:r>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bookmarkEnd w:id="25"/>
    <w:bookmarkStart w:id="27" w:name="statistical-analysis"/>
    <w:p>
      <w:pPr>
        <w:pStyle w:val="Heading2"/>
      </w:pPr>
      <w:r>
        <w:t xml:space="preserve">Statistical analysis</w:t>
      </w:r>
    </w:p>
    <w:p>
      <w:pPr>
        <w:pStyle w:val="FirstParagraph"/>
      </w:pPr>
      <w:r>
        <w:t xml:space="preserve">Analyses were conducted for the overall population and among participants with diabetes, CKD, ≥ 65 years of age, and for those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proportion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4.0.4 (released February 15, 2021) along with a collection of open-source software packages.</w:t>
      </w:r>
      <w:r>
        <w:rPr>
          <w:vertAlign w:val="superscript"/>
        </w:rPr>
        <w:t xml:space="preserve">9–12</w:t>
      </w:r>
      <w:r>
        <w:t xml:space="preserve"> The first author’s GitHub repository (</w:t>
      </w:r>
      <w:hyperlink r:id="rId26">
        <w:r>
          <w:rPr>
            <w:rStyle w:val="Hyperlink"/>
          </w:rPr>
          <w:t xml:space="preserve">https://github.com/bcjaeger/ACC-AHA-BP-guideline-groups</w:t>
        </w:r>
      </w:hyperlink>
      <w:r>
        <w:t xml:space="preserve">) provides code to reproduce the current study.</w:t>
      </w:r>
    </w:p>
    <w:p>
      <w:pPr>
        <w:pStyle w:val="BodyText"/>
      </w:pPr>
    </w:p>
    <w:bookmarkEnd w:id="27"/>
    <w:bookmarkEnd w:id="28"/>
    <w:bookmarkStart w:id="31" w:name="results"/>
    <w:p>
      <w:pPr>
        <w:pStyle w:val="Heading1"/>
      </w:pPr>
      <w:r>
        <w:t xml:space="preserve">RESULTS</w:t>
      </w:r>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Characteristics of US adults 40 to 79 years of age with stage 1 hypertension, overall and for subgroups defined by diabetes, CKD and age ≥ 65 years, are presented in Table S1.</w:t>
      </w:r>
    </w:p>
    <w:p>
      <w:pPr>
        <w:pStyle w:val="BodyText"/>
      </w:pPr>
    </w:p>
    <w:bookmarkStart w:id="29" w:name="X37af8906aa566b6e38c336c4ef6cce19cf4b8bd"/>
    <w:p>
      <w:pPr>
        <w:pStyle w:val="Heading2"/>
      </w:pPr>
      <w:r>
        <w:t xml:space="preserve">Predicted 10-year atherosclerotic cardiovascular disease risk</w:t>
      </w:r>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4.3% (1.9%, 8.5%) in the overall population and 8.9% (4.5%, 19.3%), 7.4% (2.8%, 12.2%), 13.7% (8.6%, 22.3%), and 9.8% (5.3%, 16.5%) for those with diabetes, CKD, age ≥ 65 years, and any of these conditions, respectively.</w:t>
      </w:r>
    </w:p>
    <w:p>
      <w:pPr>
        <w:pStyle w:val="BodyText"/>
      </w:pPr>
    </w:p>
    <w:p>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pPr>
        <w:pStyle w:val="BodyText"/>
      </w:pPr>
    </w:p>
    <w:bookmarkEnd w:id="29"/>
    <w:bookmarkStart w:id="30" w:name="X5b471c136df8c72590431469a53ea5cb0ae834f"/>
    <w:p>
      <w:pPr>
        <w:pStyle w:val="Heading2"/>
      </w:pPr>
      <w:r>
        <w:t xml:space="preserve">Age-specific probability of having high ASCVD risk</w:t>
      </w:r>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bookmarkEnd w:id="30"/>
    <w:bookmarkEnd w:id="31"/>
    <w:bookmarkStart w:id="32" w:name="discussion"/>
    <w:p>
      <w:pPr>
        <w:pStyle w:val="Heading1"/>
      </w:pPr>
      <w:r>
        <w:t xml:space="preserve">DISCUSSION</w:t>
      </w:r>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rPr>
          <w:vertAlign w:val="superscript"/>
        </w:rP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rPr>
          <w:vertAlign w:val="superscript"/>
        </w:rPr>
        <w:t xml:space="preserve">15</w:t>
      </w:r>
      <w:r>
        <w:t xml:space="preserve"> For example, in an analysis of the Reasons for Geographic and Racial Differences in Stroke study, those with stage 1 hypertension for whom initiation of antihypertensive medication</w:t>
      </w:r>
      <w:r>
        <w:t xml:space="preserve"> </w:t>
      </w:r>
      <w:r>
        <w:rPr>
          <w:bCs/>
          <w:b/>
        </w:rPr>
        <w:t xml:space="preserve">would have been</w:t>
      </w:r>
      <w:r>
        <w:t xml:space="preserve"> </w:t>
      </w:r>
      <w:r>
        <w:t xml:space="preserve">recommended versus not recommended by the 2017 ACC/AHA BP guideline were roughly 6 times more likely to experience a CVD event over 8 years of follow-up.</w:t>
      </w:r>
      <w:r>
        <w:rPr>
          <w:vertAlign w:val="superscript"/>
        </w:rP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rPr>
          <w:vertAlign w:val="superscript"/>
        </w:rP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rPr>
          <w:vertAlign w:val="superscript"/>
        </w:rPr>
        <w:t xml:space="preserve">17</w:t>
      </w:r>
      <w:r>
        <w:t xml:space="preserve"> In the overall population, those randomized to the lower SBP target experienced lower rates of incident fatal and nonfatal major CVD events as well as all-cause mortality.</w:t>
      </w:r>
      <w:r>
        <w:rPr>
          <w:vertAlign w:val="superscript"/>
        </w:rPr>
        <w:t xml:space="preserve">18</w:t>
      </w:r>
      <w:r>
        <w:t xml:space="preserve">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rPr>
          <w:vertAlign w:val="superscript"/>
        </w:rP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rPr>
          <w:vertAlign w:val="superscript"/>
        </w:rPr>
        <w:t xml:space="preserve">19</w:t>
      </w:r>
      <w:r>
        <w:t xml:space="preserve"> Benefits associated with a SBP treatment goal of &lt; 130 mm Hg have also been identified in several other meta-analyses.</w:t>
      </w:r>
      <w:r>
        <w:rPr>
          <w:vertAlign w:val="superscript"/>
        </w:rPr>
        <w:t xml:space="preserve">20,21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rPr>
          <w:vertAlign w:val="superscript"/>
        </w:rPr>
        <w:t xml:space="preserve">1</w:t>
      </w:r>
      <w:r>
        <w:t xml:space="preserve"> Previous research has shown that diabetes, CKD, and older age are each associated with an increased risk for ASCVD events.</w:t>
      </w:r>
      <w:r>
        <w:rPr>
          <w:vertAlign w:val="superscript"/>
        </w:rP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rPr>
          <w:vertAlign w:val="superscript"/>
        </w:rPr>
        <w:t xml:space="preserve">26,27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rPr>
          <w:vertAlign w:val="superscript"/>
        </w:rP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pPr>
        <w:pStyle w:val="BodyText"/>
      </w:pPr>
    </w:p>
    <w:bookmarkEnd w:id="32"/>
    <w:bookmarkStart w:id="37" w:name="conclusions"/>
    <w:p>
      <w:pPr>
        <w:pStyle w:val="Heading1"/>
      </w:pPr>
      <w:r>
        <w:t xml:space="preserve">CONCLUSIONS</w:t>
      </w:r>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p>
      <w:pPr>
        <w:pStyle w:val="BodyText"/>
      </w:pPr>
    </w:p>
    <w:p>
      <w:pPr>
        <w:pStyle w:val="BodyText"/>
      </w:pPr>
    </w:p>
    <w:p>
      <w:pPr>
        <w:pStyle w:val="BodyText"/>
      </w:pPr>
      <w:r>
        <w:t xml:space="preserve">Sub-groups</w:t>
      </w:r>
    </w:p>
    <w:p>
      <w:pPr>
        <w:pStyle w:val="BodyText"/>
      </w:pPr>
      <w:r>
        <w:t xml:space="preserve">Characteristic</w:t>
      </w:r>
      <w:r>
        <w:t xml:space="preserve">*</w:t>
      </w:r>
    </w:p>
    <w:p>
      <w:pPr>
        <w:pStyle w:val="BodyText"/>
      </w:pPr>
      <w:r>
        <w:t xml:space="preserve">Overall</w:t>
      </w:r>
      <w:r>
        <w:t xml:space="preserve"> </w:t>
      </w:r>
      <w:r>
        <w:t xml:space="preserve">N = 8,803</w:t>
      </w:r>
    </w:p>
    <w:p>
      <w:pPr>
        <w:pStyle w:val="BodyText"/>
      </w:pPr>
      <w:r>
        <w:t xml:space="preserve">Diabetes</w:t>
      </w:r>
      <w:r>
        <w:t xml:space="preserve"> </w:t>
      </w:r>
      <w:r>
        <w:t xml:space="preserve">N = 2,000</w:t>
      </w:r>
      <w:r>
        <w:t xml:space="preserve">†</w:t>
      </w:r>
    </w:p>
    <w:p>
      <w:pPr>
        <w:pStyle w:val="BodyText"/>
      </w:pPr>
      <w:r>
        <w:t xml:space="preserve">CKD</w:t>
      </w:r>
      <w:r>
        <w:t xml:space="preserve"> </w:t>
      </w:r>
      <w:r>
        <w:t xml:space="preserve">N = 1,790</w:t>
      </w:r>
      <w:r>
        <w:t xml:space="preserve">‡</w:t>
      </w:r>
    </w:p>
    <w:p>
      <w:pPr>
        <w:pStyle w:val="BodyText"/>
      </w:pPr>
      <w:r>
        <w:t xml:space="preserve">Age 65+ years</w:t>
      </w:r>
      <w:r>
        <w:t xml:space="preserve"> </w:t>
      </w:r>
      <w:r>
        <w:t xml:space="preserve">N = 2,506</w:t>
      </w:r>
    </w:p>
    <w:p>
      <w:pPr>
        <w:pStyle w:val="BodyText"/>
      </w:pPr>
      <w:r>
        <w:t xml:space="preserve">Diabetes, CKD, or age 65+ years</w:t>
      </w:r>
      <w:r>
        <w:t xml:space="preserve"> </w:t>
      </w:r>
      <w:r>
        <w:t xml:space="preserve">N = 4,252</w:t>
      </w:r>
    </w:p>
    <w:p>
      <w:pPr>
        <w:pStyle w:val="BodyText"/>
      </w:pPr>
      <w:r>
        <w:t xml:space="preserve">Age, years</w:t>
      </w:r>
    </w:p>
    <w:p>
      <w:pPr>
        <w:pStyle w:val="BodyText"/>
      </w:pPr>
      <w:r>
        <w:t xml:space="preserve">56.7 (0.2)</w:t>
      </w:r>
    </w:p>
    <w:p>
      <w:pPr>
        <w:pStyle w:val="BodyText"/>
      </w:pPr>
      <w:r>
        <w:t xml:space="preserve">60.3 (0.4)</w:t>
      </w:r>
    </w:p>
    <w:p>
      <w:pPr>
        <w:pStyle w:val="BodyText"/>
      </w:pPr>
      <w:r>
        <w:t xml:space="preserve">62.4 (0.4)</w:t>
      </w:r>
    </w:p>
    <w:p>
      <w:pPr>
        <w:pStyle w:val="BodyText"/>
      </w:pPr>
      <w:r>
        <w:t xml:space="preserve">70.6 (0.1)</w:t>
      </w:r>
    </w:p>
    <w:p>
      <w:pPr>
        <w:pStyle w:val="BodyText"/>
      </w:pPr>
      <w:r>
        <w:t xml:space="preserve">64.0 (0.2)</w:t>
      </w:r>
    </w:p>
    <w:p>
      <w:pPr>
        <w:pStyle w:val="BodyText"/>
      </w:pPr>
      <w:r>
        <w:t xml:space="preserve">Male</w:t>
      </w:r>
    </w:p>
    <w:p>
      <w:pPr>
        <w:pStyle w:val="BodyText"/>
      </w:pPr>
      <w:r>
        <w:t xml:space="preserve">48.2</w:t>
      </w:r>
    </w:p>
    <w:p>
      <w:pPr>
        <w:pStyle w:val="BodyText"/>
      </w:pPr>
      <w:r>
        <w:t xml:space="preserve">55.7</w:t>
      </w:r>
    </w:p>
    <w:p>
      <w:pPr>
        <w:pStyle w:val="BodyText"/>
      </w:pPr>
      <w:r>
        <w:t xml:space="preserve">45.8</w:t>
      </w:r>
    </w:p>
    <w:p>
      <w:pPr>
        <w:pStyle w:val="BodyText"/>
      </w:pPr>
      <w:r>
        <w:t xml:space="preserve">46.7</w:t>
      </w:r>
    </w:p>
    <w:p>
      <w:pPr>
        <w:pStyle w:val="BodyText"/>
      </w:pPr>
      <w:r>
        <w:t xml:space="preserve">48.1</w:t>
      </w:r>
    </w:p>
    <w:p>
      <w:pPr>
        <w:pStyle w:val="BodyText"/>
      </w:pPr>
      <w:r>
        <w:t xml:space="preserve">Race / ethnicity</w:t>
      </w:r>
    </w:p>
    <w:p>
      <w:pPr>
        <w:pStyle w:val="BodyText"/>
      </w:pPr>
      <w:r>
        <w:t xml:space="preserve">Non-Hispanic White</w:t>
      </w:r>
    </w:p>
    <w:p>
      <w:pPr>
        <w:pStyle w:val="BodyText"/>
      </w:pPr>
      <w:r>
        <w:t xml:space="preserve">68.6</w:t>
      </w:r>
    </w:p>
    <w:p>
      <w:pPr>
        <w:pStyle w:val="BodyText"/>
      </w:pPr>
      <w:r>
        <w:t xml:space="preserve">60.1</w:t>
      </w:r>
    </w:p>
    <w:p>
      <w:pPr>
        <w:pStyle w:val="BodyText"/>
      </w:pPr>
      <w:r>
        <w:t xml:space="preserve">68.0</w:t>
      </w:r>
    </w:p>
    <w:p>
      <w:pPr>
        <w:pStyle w:val="BodyText"/>
      </w:pPr>
      <w:r>
        <w:t xml:space="preserve">76.8</w:t>
      </w:r>
    </w:p>
    <w:p>
      <w:pPr>
        <w:pStyle w:val="BodyText"/>
      </w:pPr>
      <w:r>
        <w:t xml:space="preserve">69.4</w:t>
      </w:r>
    </w:p>
    <w:p>
      <w:pPr>
        <w:pStyle w:val="BodyText"/>
      </w:pPr>
      <w:r>
        <w:t xml:space="preserve">Non-Hispanic Black</w:t>
      </w:r>
    </w:p>
    <w:p>
      <w:pPr>
        <w:pStyle w:val="BodyText"/>
      </w:pPr>
      <w:r>
        <w:t xml:space="preserve">10.1</w:t>
      </w:r>
    </w:p>
    <w:p>
      <w:pPr>
        <w:pStyle w:val="BodyText"/>
      </w:pPr>
      <w:r>
        <w:t xml:space="preserve">13.6</w:t>
      </w:r>
    </w:p>
    <w:p>
      <w:pPr>
        <w:pStyle w:val="BodyText"/>
      </w:pPr>
      <w:r>
        <w:t xml:space="preserve">12.2</w:t>
      </w:r>
    </w:p>
    <w:p>
      <w:pPr>
        <w:pStyle w:val="BodyText"/>
      </w:pPr>
      <w:r>
        <w:t xml:space="preserve">7.8</w:t>
      </w:r>
    </w:p>
    <w:p>
      <w:pPr>
        <w:pStyle w:val="BodyText"/>
      </w:pPr>
      <w:r>
        <w:t xml:space="preserve">10.6</w:t>
      </w:r>
    </w:p>
    <w:p>
      <w:pPr>
        <w:pStyle w:val="BodyText"/>
      </w:pPr>
      <w:r>
        <w:t xml:space="preserve">Hispanic</w:t>
      </w:r>
    </w:p>
    <w:p>
      <w:pPr>
        <w:pStyle w:val="BodyText"/>
      </w:pPr>
      <w:r>
        <w:t xml:space="preserve">12.6</w:t>
      </w:r>
    </w:p>
    <w:p>
      <w:pPr>
        <w:pStyle w:val="BodyText"/>
      </w:pPr>
      <w:r>
        <w:t xml:space="preserve">15.9</w:t>
      </w:r>
    </w:p>
    <w:p>
      <w:pPr>
        <w:pStyle w:val="BodyText"/>
      </w:pPr>
      <w:r>
        <w:t xml:space="preserve">11.8</w:t>
      </w:r>
    </w:p>
    <w:p>
      <w:pPr>
        <w:pStyle w:val="BodyText"/>
      </w:pPr>
      <w:r>
        <w:t xml:space="preserve">8.3</w:t>
      </w:r>
    </w:p>
    <w:p>
      <w:pPr>
        <w:pStyle w:val="BodyText"/>
      </w:pPr>
      <w:r>
        <w:t xml:space="preserve">11.6</w:t>
      </w:r>
    </w:p>
    <w:p>
      <w:pPr>
        <w:pStyle w:val="BodyText"/>
      </w:pPr>
      <w:r>
        <w:t xml:space="preserve">Non-Hispanic Asian</w:t>
      </w:r>
    </w:p>
    <w:p>
      <w:pPr>
        <w:pStyle w:val="BodyText"/>
      </w:pPr>
      <w:r>
        <w:t xml:space="preserve">5.2</w:t>
      </w:r>
    </w:p>
    <w:p>
      <w:pPr>
        <w:pStyle w:val="BodyText"/>
      </w:pPr>
      <w:r>
        <w:t xml:space="preserve">7.0</w:t>
      </w:r>
    </w:p>
    <w:p>
      <w:pPr>
        <w:pStyle w:val="BodyText"/>
      </w:pPr>
      <w:r>
        <w:t xml:space="preserve">4.6</w:t>
      </w:r>
    </w:p>
    <w:p>
      <w:pPr>
        <w:pStyle w:val="BodyText"/>
      </w:pPr>
      <w:r>
        <w:t xml:space="preserve">4.5</w:t>
      </w:r>
    </w:p>
    <w:p>
      <w:pPr>
        <w:pStyle w:val="BodyText"/>
      </w:pPr>
      <w:r>
        <w:t xml:space="preserve">5.1</w:t>
      </w:r>
    </w:p>
    <w:p>
      <w:pPr>
        <w:pStyle w:val="BodyText"/>
      </w:pPr>
      <w:r>
        <w:t xml:space="preserve">Other Race/ethnicity - Including Multi-Racial</w:t>
      </w:r>
    </w:p>
    <w:p>
      <w:pPr>
        <w:pStyle w:val="BodyText"/>
      </w:pPr>
      <w:r>
        <w:t xml:space="preserve">3.5</w:t>
      </w:r>
    </w:p>
    <w:p>
      <w:pPr>
        <w:pStyle w:val="BodyText"/>
      </w:pPr>
      <w:r>
        <w:t xml:space="preserve">3.5</w:t>
      </w:r>
    </w:p>
    <w:p>
      <w:pPr>
        <w:pStyle w:val="BodyText"/>
      </w:pPr>
      <w:r>
        <w:t xml:space="preserve">3.4</w:t>
      </w:r>
    </w:p>
    <w:p>
      <w:pPr>
        <w:pStyle w:val="BodyText"/>
      </w:pPr>
      <w:r>
        <w:t xml:space="preserve">2.7</w:t>
      </w:r>
    </w:p>
    <w:p>
      <w:pPr>
        <w:pStyle w:val="BodyText"/>
      </w:pPr>
      <w:r>
        <w:t xml:space="preserve">3.3</w:t>
      </w:r>
    </w:p>
    <w:p>
      <w:pPr>
        <w:pStyle w:val="BodyText"/>
      </w:pPr>
      <w:r>
        <w:t xml:space="preserve">Current smoker</w:t>
      </w:r>
    </w:p>
    <w:p>
      <w:pPr>
        <w:pStyle w:val="BodyText"/>
      </w:pPr>
      <w:r>
        <w:t xml:space="preserve">17.3</w:t>
      </w:r>
    </w:p>
    <w:p>
      <w:pPr>
        <w:pStyle w:val="BodyText"/>
      </w:pPr>
      <w:r>
        <w:t xml:space="preserve">14.5</w:t>
      </w:r>
    </w:p>
    <w:p>
      <w:pPr>
        <w:pStyle w:val="BodyText"/>
      </w:pPr>
      <w:r>
        <w:t xml:space="preserve">16.7</w:t>
      </w:r>
    </w:p>
    <w:p>
      <w:pPr>
        <w:pStyle w:val="BodyText"/>
      </w:pPr>
      <w:r>
        <w:t xml:space="preserve">10.0</w:t>
      </w:r>
    </w:p>
    <w:p>
      <w:pPr>
        <w:pStyle w:val="BodyText"/>
      </w:pPr>
      <w:r>
        <w:t xml:space="preserve">14.3</w:t>
      </w:r>
    </w:p>
    <w:p>
      <w:pPr>
        <w:pStyle w:val="BodyText"/>
      </w:pPr>
      <w:r>
        <w:t xml:space="preserve">Total cholesterol, mg/dl</w:t>
      </w:r>
    </w:p>
    <w:p>
      <w:pPr>
        <w:pStyle w:val="BodyText"/>
      </w:pPr>
      <w:r>
        <w:t xml:space="preserve">197.0 (0.9)</w:t>
      </w:r>
    </w:p>
    <w:p>
      <w:pPr>
        <w:pStyle w:val="BodyText"/>
      </w:pPr>
      <w:r>
        <w:t xml:space="preserve">183.1 (1.8)</w:t>
      </w:r>
    </w:p>
    <w:p>
      <w:pPr>
        <w:pStyle w:val="BodyText"/>
      </w:pPr>
      <w:r>
        <w:t xml:space="preserve">193.4 (1.7)</w:t>
      </w:r>
    </w:p>
    <w:p>
      <w:pPr>
        <w:pStyle w:val="BodyText"/>
      </w:pPr>
      <w:r>
        <w:t xml:space="preserve">188.8 (1.3)</w:t>
      </w:r>
    </w:p>
    <w:p>
      <w:pPr>
        <w:pStyle w:val="BodyText"/>
      </w:pPr>
      <w:r>
        <w:t xml:space="preserve">191.4 (1.2)</w:t>
      </w:r>
    </w:p>
    <w:p>
      <w:pPr>
        <w:pStyle w:val="BodyText"/>
      </w:pPr>
      <w:r>
        <w:t xml:space="preserve">HDL-cholesterol, mg/dl</w:t>
      </w:r>
    </w:p>
    <w:p>
      <w:pPr>
        <w:pStyle w:val="BodyText"/>
      </w:pPr>
      <w:r>
        <w:t xml:space="preserve">54.9 (0.4)</w:t>
      </w:r>
    </w:p>
    <w:p>
      <w:pPr>
        <w:pStyle w:val="BodyText"/>
      </w:pPr>
      <w:r>
        <w:t xml:space="preserve">46.6 (0.5)</w:t>
      </w:r>
    </w:p>
    <w:p>
      <w:pPr>
        <w:pStyle w:val="BodyText"/>
      </w:pPr>
      <w:r>
        <w:t xml:space="preserve">53.2 (0.7)</w:t>
      </w:r>
    </w:p>
    <w:p>
      <w:pPr>
        <w:pStyle w:val="BodyText"/>
      </w:pPr>
      <w:r>
        <w:t xml:space="preserve">56.6 (0.7)</w:t>
      </w:r>
    </w:p>
    <w:p>
      <w:pPr>
        <w:pStyle w:val="BodyText"/>
      </w:pPr>
      <w:r>
        <w:t xml:space="preserve">53.8 (0.5)</w:t>
      </w:r>
    </w:p>
    <w:p>
      <w:pPr>
        <w:pStyle w:val="BodyText"/>
      </w:pPr>
      <w:r>
        <w:t xml:space="preserve">Systolic blood pressure, mm Hg</w:t>
      </w:r>
    </w:p>
    <w:p>
      <w:pPr>
        <w:pStyle w:val="BodyText"/>
      </w:pPr>
      <w:r>
        <w:t xml:space="preserve">126.0 (0.3)</w:t>
      </w:r>
    </w:p>
    <w:p>
      <w:pPr>
        <w:pStyle w:val="BodyText"/>
      </w:pPr>
      <w:r>
        <w:t xml:space="preserve">130.6 (0.6)</w:t>
      </w:r>
    </w:p>
    <w:p>
      <w:pPr>
        <w:pStyle w:val="BodyText"/>
      </w:pPr>
      <w:r>
        <w:t xml:space="preserve">132.7 (0.7)</w:t>
      </w:r>
    </w:p>
    <w:p>
      <w:pPr>
        <w:pStyle w:val="BodyText"/>
      </w:pPr>
      <w:r>
        <w:t xml:space="preserve">131.8 (0.6)</w:t>
      </w:r>
    </w:p>
    <w:p>
      <w:pPr>
        <w:pStyle w:val="BodyText"/>
      </w:pPr>
      <w:r>
        <w:t xml:space="preserve">130.7 (0.5)</w:t>
      </w:r>
    </w:p>
    <w:p>
      <w:pPr>
        <w:pStyle w:val="BodyText"/>
      </w:pPr>
      <w:r>
        <w:t xml:space="preserve">Diastolic blood pressure, mm Hg</w:t>
      </w:r>
    </w:p>
    <w:p>
      <w:pPr>
        <w:pStyle w:val="BodyText"/>
      </w:pPr>
      <w:r>
        <w:t xml:space="preserve">72.8 (0.3)</w:t>
      </w:r>
    </w:p>
    <w:p>
      <w:pPr>
        <w:pStyle w:val="BodyText"/>
      </w:pPr>
      <w:r>
        <w:t xml:space="preserve">71.6 (0.4)</w:t>
      </w:r>
    </w:p>
    <w:p>
      <w:pPr>
        <w:pStyle w:val="BodyText"/>
      </w:pPr>
      <w:r>
        <w:t xml:space="preserve">71.8 (0.4)</w:t>
      </w:r>
    </w:p>
    <w:p>
      <w:pPr>
        <w:pStyle w:val="BodyText"/>
      </w:pPr>
      <w:r>
        <w:t xml:space="preserve">68.2 (0.4)</w:t>
      </w:r>
    </w:p>
    <w:p>
      <w:pPr>
        <w:pStyle w:val="BodyText"/>
      </w:pPr>
      <w:r>
        <w:t xml:space="preserve">71.0 (0.3)</w:t>
      </w:r>
    </w:p>
    <w:p>
      <w:pPr>
        <w:pStyle w:val="BodyText"/>
      </w:pPr>
      <w:r>
        <w:t xml:space="preserve">Antihypertensive medication use</w:t>
      </w:r>
    </w:p>
    <w:p>
      <w:pPr>
        <w:pStyle w:val="BodyText"/>
      </w:pPr>
      <w:r>
        <w:t xml:space="preserve">33.5</w:t>
      </w:r>
    </w:p>
    <w:p>
      <w:pPr>
        <w:pStyle w:val="BodyText"/>
      </w:pPr>
      <w:r>
        <w:t xml:space="preserve">60.1</w:t>
      </w:r>
    </w:p>
    <w:p>
      <w:pPr>
        <w:pStyle w:val="BodyText"/>
      </w:pPr>
      <w:r>
        <w:t xml:space="preserve">55.6</w:t>
      </w:r>
    </w:p>
    <w:p>
      <w:pPr>
        <w:pStyle w:val="BodyText"/>
      </w:pPr>
      <w:r>
        <w:t xml:space="preserve">53.3</w:t>
      </w:r>
    </w:p>
    <w:p>
      <w:pPr>
        <w:pStyle w:val="BodyText"/>
      </w:pPr>
      <w:r>
        <w:t xml:space="preserve">51.8</w:t>
      </w:r>
    </w:p>
    <w:p>
      <w:pPr>
        <w:pStyle w:val="BodyText"/>
      </w:pPr>
      <w:r>
        <w:t xml:space="preserve">Diabetes</w:t>
      </w:r>
    </w:p>
    <w:p>
      <w:pPr>
        <w:pStyle w:val="BodyText"/>
      </w:pPr>
      <w:r>
        <w:t xml:space="preserve">17.2</w:t>
      </w:r>
    </w:p>
    <w:p>
      <w:pPr>
        <w:pStyle w:val="BodyText"/>
      </w:pPr>
      <w:r>
        <w:t xml:space="preserve">100.0</w:t>
      </w:r>
    </w:p>
    <w:p>
      <w:pPr>
        <w:pStyle w:val="BodyText"/>
      </w:pPr>
      <w:r>
        <w:t xml:space="preserve">35.8</w:t>
      </w:r>
    </w:p>
    <w:p>
      <w:pPr>
        <w:pStyle w:val="BodyText"/>
      </w:pPr>
      <w:r>
        <w:t xml:space="preserve">24.7</w:t>
      </w:r>
    </w:p>
    <w:p>
      <w:pPr>
        <w:pStyle w:val="BodyText"/>
      </w:pPr>
      <w:r>
        <w:t xml:space="preserve">40.9</w:t>
      </w:r>
    </w:p>
    <w:p>
      <w:pPr>
        <w:pStyle w:val="BodyText"/>
      </w:pPr>
      <w:r>
        <w:t xml:space="preserve">CKD</w:t>
      </w:r>
    </w:p>
    <w:p>
      <w:pPr>
        <w:pStyle w:val="BodyText"/>
      </w:pPr>
      <w:r>
        <w:t xml:space="preserve">17.2</w:t>
      </w:r>
    </w:p>
    <w:p>
      <w:pPr>
        <w:pStyle w:val="BodyText"/>
      </w:pPr>
      <w:r>
        <w:t xml:space="preserve">35.7</w:t>
      </w:r>
    </w:p>
    <w:p>
      <w:pPr>
        <w:pStyle w:val="BodyText"/>
      </w:pPr>
      <w:r>
        <w:t xml:space="preserve">100.0</w:t>
      </w:r>
    </w:p>
    <w:p>
      <w:pPr>
        <w:pStyle w:val="BodyText"/>
      </w:pPr>
      <w:r>
        <w:t xml:space="preserve">32.3</w:t>
      </w:r>
    </w:p>
    <w:p>
      <w:pPr>
        <w:pStyle w:val="BodyText"/>
      </w:pPr>
      <w:r>
        <w:t xml:space="preserve">40.8</w:t>
      </w:r>
    </w:p>
    <w:p>
      <w:pPr>
        <w:pStyle w:val="BodyText"/>
      </w:pPr>
      <w:r>
        <w:t xml:space="preserve">Aged 65+ years</w:t>
      </w:r>
    </w:p>
    <w:p>
      <w:pPr>
        <w:pStyle w:val="BodyText"/>
      </w:pPr>
      <w:r>
        <w:t xml:space="preserve">25.4</w:t>
      </w:r>
    </w:p>
    <w:p>
      <w:pPr>
        <w:pStyle w:val="BodyText"/>
      </w:pPr>
      <w:r>
        <w:t xml:space="preserve">36.5</w:t>
      </w:r>
    </w:p>
    <w:p>
      <w:pPr>
        <w:pStyle w:val="BodyText"/>
      </w:pPr>
      <w:r>
        <w:t xml:space="preserve">47.9</w:t>
      </w:r>
    </w:p>
    <w:p>
      <w:pPr>
        <w:pStyle w:val="BodyText"/>
      </w:pPr>
      <w:r>
        <w:t xml:space="preserve">100.0</w:t>
      </w:r>
    </w:p>
    <w:p>
      <w:pPr>
        <w:pStyle w:val="BodyText"/>
      </w:pPr>
      <w:r>
        <w:t xml:space="preserve">60.4</w:t>
      </w:r>
    </w:p>
    <w:p>
      <w:pPr>
        <w:pStyle w:val="BodyText"/>
      </w:pPr>
      <w:r>
        <w:t xml:space="preserve">Diabetes, chronic kidney disease, or age 65+ years</w:t>
      </w:r>
    </w:p>
    <w:p>
      <w:pPr>
        <w:pStyle w:val="BodyText"/>
      </w:pPr>
      <w:r>
        <w:t xml:space="preserve">42.1</w:t>
      </w:r>
    </w:p>
    <w:p>
      <w:pPr>
        <w:pStyle w:val="BodyText"/>
      </w:pPr>
      <w:r>
        <w:t xml:space="preserve">100.0</w:t>
      </w:r>
    </w:p>
    <w:p>
      <w:pPr>
        <w:pStyle w:val="BodyText"/>
      </w:pPr>
      <w:r>
        <w:t xml:space="preserve">100.0</w:t>
      </w:r>
    </w:p>
    <w:p>
      <w:pPr>
        <w:pStyle w:val="BodyText"/>
      </w:pPr>
      <w:r>
        <w:t xml:space="preserve">100.0</w:t>
      </w:r>
    </w:p>
    <w:p>
      <w:pPr>
        <w:pStyle w:val="BodyText"/>
      </w:pPr>
      <w:r>
        <w:t xml:space="preserve">100.0</w:t>
      </w:r>
    </w:p>
    <w:p>
      <w:pPr>
        <w:pStyle w:val="BodyText"/>
      </w:pPr>
      <w:r>
        <w:t xml:space="preserve">Clinical CVD</w:t>
      </w:r>
      <w:r>
        <w:t xml:space="preserve">§</w:t>
      </w:r>
    </w:p>
    <w:p>
      <w:pPr>
        <w:pStyle w:val="BodyText"/>
      </w:pPr>
      <w:r>
        <w:t xml:space="preserve">10.5</w:t>
      </w:r>
    </w:p>
    <w:p>
      <w:pPr>
        <w:pStyle w:val="BodyText"/>
      </w:pPr>
      <w:r>
        <w:t xml:space="preserve">22.5</w:t>
      </w:r>
    </w:p>
    <w:p>
      <w:pPr>
        <w:pStyle w:val="BodyText"/>
      </w:pPr>
      <w:r>
        <w:t xml:space="preserve">22.3</w:t>
      </w:r>
    </w:p>
    <w:p>
      <w:pPr>
        <w:pStyle w:val="BodyText"/>
      </w:pPr>
      <w:r>
        <w:t xml:space="preserve">21.4</w:t>
      </w:r>
    </w:p>
    <w:p>
      <w:pPr>
        <w:pStyle w:val="BodyText"/>
      </w:pPr>
      <w:r>
        <w:t xml:space="preserve">18.9</w:t>
      </w:r>
    </w:p>
    <w:p>
      <w:pPr>
        <w:pStyle w:val="BodyText"/>
      </w:pPr>
      <w:r>
        <w:t xml:space="preserve">*</w:t>
      </w:r>
      <w:r>
        <w:t xml:space="preserve">Table values are mean (standard error) or proportion.</w:t>
      </w:r>
    </w:p>
    <w:p>
      <w:pPr>
        <w:pStyle w:val="BodyText"/>
      </w:pPr>
      <w:r>
        <w:t xml:space="preserve">†</w:t>
      </w:r>
      <w:r>
        <w:t xml:space="preserve">Diabetes was defined by fasting serum glucose ≥ 126 mg/dL, non-fasting glucose ≥ 200 mg/dL, glycated hemoglobin (HbA1c) ≥ 6.5%, or self-reported use of insulin or oral glucose lowering medication.</w:t>
      </w:r>
    </w:p>
    <w:p>
      <w:pPr>
        <w:pStyle w:val="BodyText"/>
      </w:pPr>
      <w:r>
        <w:t xml:space="preserve">‡</w:t>
      </w:r>
      <w:r>
        <w:t xml:space="preserve">Chronic kidney disease is defined by an albumin-to-creatinine ratio ≥ 30 mg/g or an estimated glomerular filtration rate &lt; 60 ml/min/1.73m²</w:t>
      </w:r>
    </w:p>
    <w:p>
      <w:pPr>
        <w:pStyle w:val="BodyText"/>
      </w:pPr>
      <w:r>
        <w:t xml:space="preserve">§</w:t>
      </w:r>
      <w:r>
        <w:t xml:space="preserve">Clinical cardiovascular disease was defined by self-report of previous heart failure, coronary heart disease, stroke, or myocardial infarction</w:t>
      </w:r>
    </w:p>
    <w:p>
      <w:pPr>
        <w:pStyle w:val="BodyText"/>
      </w:pPr>
      <w:r>
        <w:t xml:space="preserve">CKD = chronic kidney disease; CVD = cardiovascular disease; HDL = high density lipoprotein</w:t>
      </w:r>
    </w:p>
    <w:p>
      <w:pPr>
        <w:pStyle w:val="BodyText"/>
      </w:pPr>
    </w:p>
    <w:bookmarkStart w:id="33" w:name="X847b8f59e53d48e5777bad88337c4df22553b3d"/>
    <w:bookmarkEnd w:id="33"/>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p>
      <w:pPr>
        <w:pStyle w:val="BodyText"/>
      </w:pPr>
    </w:p>
    <w:p>
      <w:pPr>
        <w:pStyle w:val="BodyText"/>
      </w:pPr>
    </w:p>
    <w:p>
      <w:pPr>
        <w:pStyle w:val="BodyText"/>
      </w:pPr>
      <w:r>
        <w:t xml:space="preserve">Sub-groups</w:t>
      </w:r>
    </w:p>
    <w:p>
      <w:pPr>
        <w:pStyle w:val="BodyText"/>
      </w:pPr>
      <w:r>
        <w:t xml:space="preserve">Blood pressure category</w:t>
      </w:r>
      <w:r>
        <w:t xml:space="preserve">*</w:t>
      </w:r>
    </w:p>
    <w:p>
      <w:pPr>
        <w:pStyle w:val="BodyText"/>
      </w:pPr>
      <w:r>
        <w:t xml:space="preserve">Overall</w:t>
      </w:r>
      <w:r>
        <w:t xml:space="preserve"> </w:t>
      </w:r>
      <w:r>
        <w:t xml:space="preserve">N = 8,803</w:t>
      </w:r>
    </w:p>
    <w:p>
      <w:pPr>
        <w:pStyle w:val="BodyText"/>
      </w:pPr>
      <w:r>
        <w:t xml:space="preserve">Diabetes</w:t>
      </w:r>
      <w:r>
        <w:t xml:space="preserve"> </w:t>
      </w:r>
      <w:r>
        <w:t xml:space="preserve">N = 2,000</w:t>
      </w:r>
      <w:r>
        <w:t xml:space="preserve">†</w:t>
      </w:r>
    </w:p>
    <w:p>
      <w:pPr>
        <w:pStyle w:val="BodyText"/>
      </w:pPr>
      <w:r>
        <w:t xml:space="preserve">CKD</w:t>
      </w:r>
      <w:r>
        <w:t xml:space="preserve"> </w:t>
      </w:r>
      <w:r>
        <w:t xml:space="preserve">N = 1,790</w:t>
      </w:r>
      <w:r>
        <w:t xml:space="preserve">‡</w:t>
      </w:r>
    </w:p>
    <w:p>
      <w:pPr>
        <w:pStyle w:val="BodyText"/>
      </w:pPr>
      <w:r>
        <w:t xml:space="preserve">Age 65+ years</w:t>
      </w:r>
      <w:r>
        <w:t xml:space="preserve"> </w:t>
      </w:r>
      <w:r>
        <w:t xml:space="preserve">N = 2,506</w:t>
      </w:r>
    </w:p>
    <w:p>
      <w:pPr>
        <w:pStyle w:val="BodyText"/>
      </w:pPr>
      <w:r>
        <w:t xml:space="preserve">Diabetes, CKD, or age 65+ years</w:t>
      </w:r>
      <w:r>
        <w:t xml:space="preserve"> </w:t>
      </w:r>
      <w:r>
        <w:t xml:space="preserve">N = 4,252</w:t>
      </w:r>
    </w:p>
    <w:p>
      <w:pPr>
        <w:pStyle w:val="BodyText"/>
      </w:pPr>
      <w:r>
        <w:t xml:space="preserve">Normal blood pressure</w:t>
      </w:r>
    </w:p>
    <w:p>
      <w:pPr>
        <w:pStyle w:val="BodyText"/>
      </w:pPr>
      <w:r>
        <w:t xml:space="preserve">28.7%</w:t>
      </w:r>
    </w:p>
    <w:p>
      <w:pPr>
        <w:pStyle w:val="BodyText"/>
      </w:pPr>
      <w:r>
        <w:t xml:space="preserve">12.1%</w:t>
      </w:r>
    </w:p>
    <w:p>
      <w:pPr>
        <w:pStyle w:val="BodyText"/>
      </w:pPr>
      <w:r>
        <w:t xml:space="preserve">14.2%</w:t>
      </w:r>
    </w:p>
    <w:p>
      <w:pPr>
        <w:pStyle w:val="BodyText"/>
      </w:pPr>
      <w:r>
        <w:t xml:space="preserve">14.9%</w:t>
      </w:r>
    </w:p>
    <w:p>
      <w:pPr>
        <w:pStyle w:val="BodyText"/>
      </w:pPr>
      <w:r>
        <w:t xml:space="preserve">15.8%</w:t>
      </w:r>
    </w:p>
    <w:p>
      <w:pPr>
        <w:pStyle w:val="BodyText"/>
      </w:pPr>
      <w:r>
        <w:t xml:space="preserve">Elevated blood pressure</w:t>
      </w:r>
    </w:p>
    <w:p>
      <w:pPr>
        <w:pStyle w:val="BodyText"/>
      </w:pPr>
      <w:r>
        <w:t xml:space="preserve">12.0%</w:t>
      </w:r>
    </w:p>
    <w:p>
      <w:pPr>
        <w:pStyle w:val="BodyText"/>
      </w:pPr>
      <w:r>
        <w:t xml:space="preserve">7.9%</w:t>
      </w:r>
    </w:p>
    <w:p>
      <w:pPr>
        <w:pStyle w:val="BodyText"/>
      </w:pPr>
      <w:r>
        <w:t xml:space="preserve">7.2%</w:t>
      </w:r>
    </w:p>
    <w:p>
      <w:pPr>
        <w:pStyle w:val="BodyText"/>
      </w:pPr>
      <w:r>
        <w:t xml:space="preserve">11.1%</w:t>
      </w:r>
    </w:p>
    <w:p>
      <w:pPr>
        <w:pStyle w:val="BodyText"/>
      </w:pPr>
      <w:r>
        <w:t xml:space="preserve">10.3%</w:t>
      </w:r>
    </w:p>
    <w:p>
      <w:pPr>
        <w:pStyle w:val="BodyText"/>
      </w:pPr>
      <w:r>
        <w:t xml:space="preserve">Stage 1 hypertension</w:t>
      </w:r>
    </w:p>
    <w:p>
      <w:pPr>
        <w:pStyle w:val="BodyText"/>
      </w:pPr>
      <w:r>
        <w:t xml:space="preserve">14.6%</w:t>
      </w:r>
    </w:p>
    <w:p>
      <w:pPr>
        <w:pStyle w:val="BodyText"/>
      </w:pPr>
      <w:r>
        <w:t xml:space="preserve">10.5%</w:t>
      </w:r>
    </w:p>
    <w:p>
      <w:pPr>
        <w:pStyle w:val="BodyText"/>
      </w:pPr>
      <w:r>
        <w:t xml:space="preserve">8.9%</w:t>
      </w:r>
    </w:p>
    <w:p>
      <w:pPr>
        <w:pStyle w:val="BodyText"/>
      </w:pPr>
      <w:r>
        <w:t xml:space="preserve">9.1%</w:t>
      </w:r>
    </w:p>
    <w:p>
      <w:pPr>
        <w:pStyle w:val="BodyText"/>
      </w:pPr>
      <w:r>
        <w:t xml:space="preserve">10.2%</w:t>
      </w:r>
    </w:p>
    <w:p>
      <w:pPr>
        <w:pStyle w:val="BodyText"/>
      </w:pPr>
      <w:r>
        <w:t xml:space="preserve">Stage 2 hypertension</w:t>
      </w:r>
    </w:p>
    <w:p>
      <w:pPr>
        <w:pStyle w:val="BodyText"/>
      </w:pPr>
      <w:r>
        <w:t xml:space="preserve">11.1%</w:t>
      </w:r>
    </w:p>
    <w:p>
      <w:pPr>
        <w:pStyle w:val="BodyText"/>
      </w:pPr>
      <w:r>
        <w:t xml:space="preserve">9.5%</w:t>
      </w:r>
    </w:p>
    <w:p>
      <w:pPr>
        <w:pStyle w:val="BodyText"/>
      </w:pPr>
      <w:r>
        <w:t xml:space="preserve">14.1%</w:t>
      </w:r>
    </w:p>
    <w:p>
      <w:pPr>
        <w:pStyle w:val="BodyText"/>
      </w:pPr>
      <w:r>
        <w:t xml:space="preserve">11.6%</w:t>
      </w:r>
    </w:p>
    <w:p>
      <w:pPr>
        <w:pStyle w:val="BodyText"/>
      </w:pPr>
      <w:r>
        <w:t xml:space="preserve">11.7%</w:t>
      </w:r>
    </w:p>
    <w:p>
      <w:pPr>
        <w:pStyle w:val="BodyText"/>
      </w:pPr>
      <w:r>
        <w:t xml:space="preserve">Taking antihypertensive medication</w:t>
      </w:r>
    </w:p>
    <w:p>
      <w:pPr>
        <w:pStyle w:val="BodyText"/>
      </w:pPr>
      <w:r>
        <w:t xml:space="preserve">33.5%</w:t>
      </w:r>
    </w:p>
    <w:p>
      <w:pPr>
        <w:pStyle w:val="BodyText"/>
      </w:pPr>
      <w:r>
        <w:t xml:space="preserve">60.1%</w:t>
      </w:r>
    </w:p>
    <w:p>
      <w:pPr>
        <w:pStyle w:val="BodyText"/>
      </w:pPr>
      <w:r>
        <w:t xml:space="preserve">55.6%</w:t>
      </w:r>
    </w:p>
    <w:p>
      <w:pPr>
        <w:pStyle w:val="BodyText"/>
      </w:pPr>
      <w:r>
        <w:t xml:space="preserve">53.3%</w:t>
      </w:r>
    </w:p>
    <w:p>
      <w:pPr>
        <w:pStyle w:val="BodyText"/>
      </w:pPr>
      <w:r>
        <w:t xml:space="preserve">51.8%</w:t>
      </w:r>
    </w:p>
    <w:p>
      <w:pPr>
        <w:pStyle w:val="BodyText"/>
      </w:pPr>
      <w:r>
        <w:t xml:space="preserve">*</w:t>
      </w:r>
      <w:r>
        <w:t xml:space="preserve">Normal blood pressure: systolic blood pressure &lt; 120 mm Hg and diastolic blood pressure &lt; 80 mm Hg;</w:t>
      </w:r>
      <w:r>
        <w:t xml:space="preserve">Elevated blood pressure: systolic blood pressure from 120 to 129 mm Hg and diastolic blood pressure &lt; 80 mm Hg;</w:t>
      </w:r>
      <w:r>
        <w:t xml:space="preserve">Stage 1 hypertension: systolic blood pressure between 130 and 139 mm Hg or diastolic blood pressure between 80 and 89 mm Hg;</w:t>
      </w:r>
      <w:r>
        <w:t xml:space="preserve">Stage 2 hypertension: systolic blood pressure ≥ 140 mm Hg or diastolic blood pressure ≥ 90 mm Hg.</w:t>
      </w:r>
    </w:p>
    <w:p>
      <w:pPr>
        <w:pStyle w:val="BodyText"/>
      </w:pPr>
      <w:r>
        <w:t xml:space="preserve">†</w:t>
      </w:r>
      <w:r>
        <w:t xml:space="preserve">Diabetes was defined by fasting serum glucose ≥ 126 mg/dL, non-fasting glucose ≥ 200 mg/dL, glycated hemoglobin (HbA1c) ≥ 6.5%, or self-reported use of insulin or oral glucose lowering medication.</w:t>
      </w:r>
    </w:p>
    <w:p>
      <w:pPr>
        <w:pStyle w:val="BodyText"/>
      </w:pPr>
      <w:r>
        <w:t xml:space="preserve">‡</w:t>
      </w:r>
      <w:r>
        <w:t xml:space="preserve">Chronic kidney disease is defined by an albumin-to-creatinine ratio ≥ 30 mg/g or an estimated glomerular filtration rate &lt; 60 ml/min/1.73m²</w:t>
      </w:r>
    </w:p>
    <w:p>
      <w:pPr>
        <w:pStyle w:val="BodyText"/>
      </w:pPr>
      <w:r>
        <w:t xml:space="preserve">CKD = chronic kidney disease</w:t>
      </w:r>
    </w:p>
    <w:p>
      <w:pPr>
        <w:pStyle w:val="BodyText"/>
      </w:pPr>
    </w:p>
    <w:bookmarkStart w:id="34" w:name="X1d9d2fe5e312942a04d175c794471c1c9b33bcd"/>
    <w:bookmarkEnd w:id="34"/>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p>
      <w:pPr>
        <w:pStyle w:val="BodyText"/>
      </w:pPr>
    </w:p>
    <w:p>
      <w:pPr>
        <w:pStyle w:val="BodyText"/>
      </w:pPr>
    </w:p>
    <w:p>
      <w:pPr>
        <w:pStyle w:val="BodyText"/>
      </w:pPr>
      <w:r>
        <w:t xml:space="preserve">Sub-groups</w:t>
      </w:r>
    </w:p>
    <w:p>
      <w:pPr>
        <w:pStyle w:val="BodyText"/>
      </w:pPr>
      <w:r>
        <w:t xml:space="preserve">Blood pressure category</w:t>
      </w:r>
      <w:r>
        <w:t xml:space="preserve">*</w:t>
      </w:r>
    </w:p>
    <w:p>
      <w:pPr>
        <w:pStyle w:val="BodyText"/>
      </w:pPr>
      <w:r>
        <w:t xml:space="preserve">Overall</w:t>
      </w:r>
      <w:r>
        <w:t xml:space="preserve"> </w:t>
      </w:r>
      <w:r>
        <w:t xml:space="preserve">N = 8,803</w:t>
      </w:r>
    </w:p>
    <w:p>
      <w:pPr>
        <w:pStyle w:val="BodyText"/>
      </w:pPr>
      <w:r>
        <w:t xml:space="preserve">Diabetes</w:t>
      </w:r>
      <w:r>
        <w:t xml:space="preserve"> </w:t>
      </w:r>
      <w:r>
        <w:t xml:space="preserve">N = 2,000</w:t>
      </w:r>
      <w:r>
        <w:t xml:space="preserve">†</w:t>
      </w:r>
    </w:p>
    <w:p>
      <w:pPr>
        <w:pStyle w:val="BodyText"/>
      </w:pPr>
      <w:r>
        <w:t xml:space="preserve">CKD</w:t>
      </w:r>
      <w:r>
        <w:t xml:space="preserve"> </w:t>
      </w:r>
      <w:r>
        <w:t xml:space="preserve">N = 1,790</w:t>
      </w:r>
      <w:r>
        <w:t xml:space="preserve">‡</w:t>
      </w:r>
    </w:p>
    <w:p>
      <w:pPr>
        <w:pStyle w:val="BodyText"/>
      </w:pPr>
      <w:r>
        <w:t xml:space="preserve">Age 65+ years</w:t>
      </w:r>
      <w:r>
        <w:t xml:space="preserve"> </w:t>
      </w:r>
      <w:r>
        <w:t xml:space="preserve">N = 2,506</w:t>
      </w:r>
    </w:p>
    <w:p>
      <w:pPr>
        <w:pStyle w:val="BodyText"/>
      </w:pPr>
      <w:r>
        <w:t xml:space="preserve">Diabetes, CKD, or age 65+ years</w:t>
      </w:r>
      <w:r>
        <w:t xml:space="preserve"> </w:t>
      </w:r>
      <w:r>
        <w:t xml:space="preserve">N = 4,252</w:t>
      </w:r>
    </w:p>
    <w:p>
      <w:pPr>
        <w:pStyle w:val="BodyText"/>
      </w:pPr>
      <w:r>
        <w:t xml:space="preserve">Median (25th - 75th percentile) 10-year predicted risk for ASCVD among those without clinical CVD</w:t>
      </w:r>
      <w:r>
        <w:t xml:space="preserve">‖</w:t>
      </w:r>
      <w:r>
        <w:t xml:space="preserve">§</w:t>
      </w:r>
    </w:p>
    <w:p>
      <w:pPr>
        <w:pStyle w:val="BodyText"/>
      </w:pPr>
      <w:r>
        <w:t xml:space="preserve">Overall</w:t>
      </w:r>
    </w:p>
    <w:p>
      <w:pPr>
        <w:pStyle w:val="BodyText"/>
      </w:pPr>
      <w:r>
        <w:t xml:space="preserve">5.1</w:t>
      </w:r>
      <w:r>
        <w:t xml:space="preserve">(1.9, 11.4)</w:t>
      </w:r>
    </w:p>
    <w:p>
      <w:pPr>
        <w:pStyle w:val="BodyText"/>
      </w:pPr>
      <w:r>
        <w:t xml:space="preserve">14.4</w:t>
      </w:r>
      <w:r>
        <w:t xml:space="preserve">(7.0, 27.3)</w:t>
      </w:r>
    </w:p>
    <w:p>
      <w:pPr>
        <w:pStyle w:val="BodyText"/>
      </w:pPr>
      <w:r>
        <w:t xml:space="preserve">11.4</w:t>
      </w:r>
      <w:r>
        <w:t xml:space="preserve">(4.8, 22.3)</w:t>
      </w:r>
    </w:p>
    <w:p>
      <w:pPr>
        <w:pStyle w:val="BodyText"/>
      </w:pPr>
      <w:r>
        <w:t xml:space="preserve">17.9</w:t>
      </w:r>
      <w:r>
        <w:t xml:space="preserve">(11.2, 27.3)</w:t>
      </w:r>
    </w:p>
    <w:p>
      <w:pPr>
        <w:pStyle w:val="BodyText"/>
      </w:pPr>
      <w:r>
        <w:t xml:space="preserve">13.3</w:t>
      </w:r>
      <w:r>
        <w:t xml:space="preserve">(6.9, 22.0)</w:t>
      </w:r>
    </w:p>
    <w:p>
      <w:pPr>
        <w:pStyle w:val="BodyText"/>
      </w:pPr>
      <w:r>
        <w:t xml:space="preserve">Normal blood pressure</w:t>
      </w:r>
    </w:p>
    <w:p>
      <w:pPr>
        <w:pStyle w:val="BodyText"/>
      </w:pPr>
      <w:r>
        <w:t xml:space="preserve">2.0</w:t>
      </w:r>
      <w:r>
        <w:t xml:space="preserve">(0.8, 4.8)</w:t>
      </w:r>
    </w:p>
    <w:p>
      <w:pPr>
        <w:pStyle w:val="BodyText"/>
      </w:pPr>
      <w:r>
        <w:t xml:space="preserve">6.8</w:t>
      </w:r>
      <w:r>
        <w:t xml:space="preserve">(2.9, 15.7)</w:t>
      </w:r>
    </w:p>
    <w:p>
      <w:pPr>
        <w:pStyle w:val="BodyText"/>
      </w:pPr>
      <w:r>
        <w:t xml:space="preserve">3.3</w:t>
      </w:r>
      <w:r>
        <w:t xml:space="preserve">(1.1, 8.9)</w:t>
      </w:r>
    </w:p>
    <w:p>
      <w:pPr>
        <w:pStyle w:val="BodyText"/>
      </w:pPr>
      <w:r>
        <w:t xml:space="preserve">10.5</w:t>
      </w:r>
      <w:r>
        <w:t xml:space="preserve">(6.7, 15.9)</w:t>
      </w:r>
    </w:p>
    <w:p>
      <w:pPr>
        <w:pStyle w:val="BodyText"/>
      </w:pPr>
      <w:r>
        <w:t xml:space="preserve">6.8</w:t>
      </w:r>
      <w:r>
        <w:t xml:space="preserve">(3.2, 12.4)</w:t>
      </w:r>
    </w:p>
    <w:p>
      <w:pPr>
        <w:pStyle w:val="BodyText"/>
      </w:pPr>
      <w:r>
        <w:t xml:space="preserve">Elevated blood pressure</w:t>
      </w:r>
    </w:p>
    <w:p>
      <w:pPr>
        <w:pStyle w:val="BodyText"/>
      </w:pPr>
      <w:r>
        <w:t xml:space="preserve">4.3</w:t>
      </w:r>
      <w:r>
        <w:t xml:space="preserve">(1.9, 9.3)</w:t>
      </w:r>
    </w:p>
    <w:p>
      <w:pPr>
        <w:pStyle w:val="BodyText"/>
      </w:pPr>
      <w:r>
        <w:t xml:space="preserve">11.4</w:t>
      </w:r>
      <w:r>
        <w:t xml:space="preserve">(4.2, 17.3)</w:t>
      </w:r>
    </w:p>
    <w:p>
      <w:pPr>
        <w:pStyle w:val="BodyText"/>
      </w:pPr>
      <w:r>
        <w:t xml:space="preserve">6.2</w:t>
      </w:r>
      <w:r>
        <w:t xml:space="preserve">(1.6, 16.7)</w:t>
      </w:r>
    </w:p>
    <w:p>
      <w:pPr>
        <w:pStyle w:val="BodyText"/>
      </w:pPr>
      <w:r>
        <w:t xml:space="preserve">14.6</w:t>
      </w:r>
      <w:r>
        <w:t xml:space="preserve">(7.5, 20.0)</w:t>
      </w:r>
    </w:p>
    <w:p>
      <w:pPr>
        <w:pStyle w:val="BodyText"/>
      </w:pPr>
      <w:r>
        <w:t xml:space="preserve">11.3</w:t>
      </w:r>
      <w:r>
        <w:t xml:space="preserve">(5.7, 17.4)</w:t>
      </w:r>
    </w:p>
    <w:p>
      <w:pPr>
        <w:pStyle w:val="BodyText"/>
      </w:pPr>
      <w:r>
        <w:t xml:space="preserve">Stage 1 hypertension</w:t>
      </w:r>
    </w:p>
    <w:p>
      <w:pPr>
        <w:pStyle w:val="BodyText"/>
      </w:pPr>
      <w:r>
        <w:t xml:space="preserve">4.3</w:t>
      </w:r>
      <w:r>
        <w:t xml:space="preserve">(1.9, 8.5)</w:t>
      </w:r>
    </w:p>
    <w:p>
      <w:pPr>
        <w:pStyle w:val="BodyText"/>
      </w:pPr>
      <w:r>
        <w:t xml:space="preserve">8.9</w:t>
      </w:r>
      <w:r>
        <w:t xml:space="preserve">(4.5, 19.3)</w:t>
      </w:r>
    </w:p>
    <w:p>
      <w:pPr>
        <w:pStyle w:val="BodyText"/>
      </w:pPr>
      <w:r>
        <w:t xml:space="preserve">7.4</w:t>
      </w:r>
      <w:r>
        <w:t xml:space="preserve">(2.8, 12.2)</w:t>
      </w:r>
    </w:p>
    <w:p>
      <w:pPr>
        <w:pStyle w:val="BodyText"/>
      </w:pPr>
      <w:r>
        <w:t xml:space="preserve">13.7</w:t>
      </w:r>
      <w:r>
        <w:t xml:space="preserve">(8.6, 22.3)</w:t>
      </w:r>
    </w:p>
    <w:p>
      <w:pPr>
        <w:pStyle w:val="BodyText"/>
      </w:pPr>
      <w:r>
        <w:t xml:space="preserve">9.8</w:t>
      </w:r>
      <w:r>
        <w:t xml:space="preserve">(5.3, 16.5)</w:t>
      </w:r>
    </w:p>
    <w:p>
      <w:pPr>
        <w:pStyle w:val="BodyText"/>
      </w:pPr>
      <w:r>
        <w:t xml:space="preserve">Stage 2 hypertension</w:t>
      </w:r>
    </w:p>
    <w:p>
      <w:pPr>
        <w:pStyle w:val="BodyText"/>
      </w:pPr>
      <w:r>
        <w:t xml:space="preserve">8.1</w:t>
      </w:r>
      <w:r>
        <w:t xml:space="preserve">(4.2, 16.0)</w:t>
      </w:r>
    </w:p>
    <w:p>
      <w:pPr>
        <w:pStyle w:val="BodyText"/>
      </w:pPr>
      <w:r>
        <w:t xml:space="preserve">18.8</w:t>
      </w:r>
      <w:r>
        <w:t xml:space="preserve">(10.1, 30.2)</w:t>
      </w:r>
    </w:p>
    <w:p>
      <w:pPr>
        <w:pStyle w:val="BodyText"/>
      </w:pPr>
      <w:r>
        <w:t xml:space="preserve">13.2</w:t>
      </w:r>
      <w:r>
        <w:t xml:space="preserve">(6.6, 21.8)</w:t>
      </w:r>
    </w:p>
    <w:p>
      <w:pPr>
        <w:pStyle w:val="BodyText"/>
      </w:pPr>
      <w:r>
        <w:t xml:space="preserve">20.3</w:t>
      </w:r>
      <w:r>
        <w:t xml:space="preserve">(16.0, 29.6)</w:t>
      </w:r>
    </w:p>
    <w:p>
      <w:pPr>
        <w:pStyle w:val="BodyText"/>
      </w:pPr>
      <w:r>
        <w:t xml:space="preserve">16.8</w:t>
      </w:r>
      <w:r>
        <w:t xml:space="preserve">(8.6, 24.6)</w:t>
      </w:r>
    </w:p>
    <w:p>
      <w:pPr>
        <w:pStyle w:val="BodyText"/>
      </w:pPr>
      <w:r>
        <w:t xml:space="preserve">Taking antihypertensive medication</w:t>
      </w:r>
    </w:p>
    <w:p>
      <w:pPr>
        <w:pStyle w:val="BodyText"/>
      </w:pPr>
      <w:r>
        <w:t xml:space="preserve">10.5</w:t>
      </w:r>
      <w:r>
        <w:t xml:space="preserve">(5.2, 19.8)</w:t>
      </w:r>
    </w:p>
    <w:p>
      <w:pPr>
        <w:pStyle w:val="BodyText"/>
      </w:pPr>
      <w:r>
        <w:t xml:space="preserve">17.3</w:t>
      </w:r>
      <w:r>
        <w:t xml:space="preserve">(9.9, 31.6)</w:t>
      </w:r>
    </w:p>
    <w:p>
      <w:pPr>
        <w:pStyle w:val="BodyText"/>
      </w:pPr>
      <w:r>
        <w:t xml:space="preserve">16.8</w:t>
      </w:r>
      <w:r>
        <w:t xml:space="preserve">(8.4, 28.6)</w:t>
      </w:r>
    </w:p>
    <w:p>
      <w:pPr>
        <w:pStyle w:val="BodyText"/>
      </w:pPr>
      <w:r>
        <w:t xml:space="preserve">21.4</w:t>
      </w:r>
      <w:r>
        <w:t xml:space="preserve">(13.9, 31.6)</w:t>
      </w:r>
    </w:p>
    <w:p>
      <w:pPr>
        <w:pStyle w:val="BodyText"/>
      </w:pPr>
      <w:r>
        <w:t xml:space="preserve">16.9</w:t>
      </w:r>
      <w:r>
        <w:t xml:space="preserve">(9.8, 27.1)</w:t>
      </w:r>
    </w:p>
    <w:p>
      <w:pPr>
        <w:pStyle w:val="BodyText"/>
      </w:pPr>
      <w:r>
        <w:t xml:space="preserve">Proportion (95% confidence interval) with high ASCVD risk</w:t>
      </w:r>
      <w:r>
        <w:t xml:space="preserve">¶</w:t>
      </w:r>
    </w:p>
    <w:p>
      <w:pPr>
        <w:pStyle w:val="BodyText"/>
      </w:pPr>
      <w:r>
        <w:t xml:space="preserve">Overall</w:t>
      </w:r>
    </w:p>
    <w:p>
      <w:pPr>
        <w:pStyle w:val="BodyText"/>
      </w:pPr>
      <w:r>
        <w:t xml:space="preserve">36.5</w:t>
      </w:r>
      <w:r>
        <w:t xml:space="preserve">(34.7, 38.5)</w:t>
      </w:r>
    </w:p>
    <w:p>
      <w:pPr>
        <w:pStyle w:val="BodyText"/>
      </w:pPr>
      <w:r>
        <w:t xml:space="preserve">72.3</w:t>
      </w:r>
      <w:r>
        <w:t xml:space="preserve">(69.3, 75.4)</w:t>
      </w:r>
    </w:p>
    <w:p>
      <w:pPr>
        <w:pStyle w:val="BodyText"/>
      </w:pPr>
      <w:r>
        <w:t xml:space="preserve">64.5</w:t>
      </w:r>
      <w:r>
        <w:t xml:space="preserve">(61.4, 67.7)</w:t>
      </w:r>
    </w:p>
    <w:p>
      <w:pPr>
        <w:pStyle w:val="BodyText"/>
      </w:pPr>
      <w:r>
        <w:t xml:space="preserve">83.9</w:t>
      </w:r>
      <w:r>
        <w:t xml:space="preserve">(81.7, 86.1)</w:t>
      </w:r>
    </w:p>
    <w:p>
      <w:pPr>
        <w:pStyle w:val="BodyText"/>
      </w:pPr>
      <w:r>
        <w:t xml:space="preserve">69.0</w:t>
      </w:r>
      <w:r>
        <w:t xml:space="preserve">(66.9, 71.2)</w:t>
      </w:r>
    </w:p>
    <w:p>
      <w:pPr>
        <w:pStyle w:val="BodyText"/>
      </w:pPr>
      <w:r>
        <w:t xml:space="preserve">Normal blood pressure</w:t>
      </w:r>
    </w:p>
    <w:p>
      <w:pPr>
        <w:pStyle w:val="BodyText"/>
      </w:pPr>
      <w:r>
        <w:t xml:space="preserve">13.4</w:t>
      </w:r>
      <w:r>
        <w:t xml:space="preserve">(11.1, 15.8)</w:t>
      </w:r>
    </w:p>
    <w:p>
      <w:pPr>
        <w:pStyle w:val="BodyText"/>
      </w:pPr>
      <w:r>
        <w:t xml:space="preserve">46.8</w:t>
      </w:r>
      <w:r>
        <w:t xml:space="preserve">(39.0, 54.6)</w:t>
      </w:r>
    </w:p>
    <w:p>
      <w:pPr>
        <w:pStyle w:val="BodyText"/>
      </w:pPr>
      <w:r>
        <w:t xml:space="preserve">34.7</w:t>
      </w:r>
      <w:r>
        <w:t xml:space="preserve">(26.2, 43.1)</w:t>
      </w:r>
    </w:p>
    <w:p>
      <w:pPr>
        <w:pStyle w:val="BodyText"/>
      </w:pPr>
      <w:r>
        <w:t xml:space="preserve">64.4</w:t>
      </w:r>
      <w:r>
        <w:t xml:space="preserve">(57.7, 71.2)</w:t>
      </w:r>
    </w:p>
    <w:p>
      <w:pPr>
        <w:pStyle w:val="BodyText"/>
      </w:pPr>
      <w:r>
        <w:t xml:space="preserve">44.9</w:t>
      </w:r>
      <w:r>
        <w:t xml:space="preserve">(39.1, 50.7)</w:t>
      </w:r>
    </w:p>
    <w:p>
      <w:pPr>
        <w:pStyle w:val="BodyText"/>
      </w:pPr>
      <w:r>
        <w:t xml:space="preserve">Elevated blood pressure</w:t>
      </w:r>
    </w:p>
    <w:p>
      <w:pPr>
        <w:pStyle w:val="BodyText"/>
      </w:pPr>
      <w:r>
        <w:t xml:space="preserve">27.4</w:t>
      </w:r>
      <w:r>
        <w:t xml:space="preserve">(23.3, 31.5)</w:t>
      </w:r>
    </w:p>
    <w:p>
      <w:pPr>
        <w:pStyle w:val="BodyText"/>
      </w:pPr>
      <w:r>
        <w:t xml:space="preserve">57.7</w:t>
      </w:r>
      <w:r>
        <w:t xml:space="preserve">(49.6, 65.8)</w:t>
      </w:r>
    </w:p>
    <w:p>
      <w:pPr>
        <w:pStyle w:val="BodyText"/>
      </w:pPr>
      <w:r>
        <w:t xml:space="preserve">48.9</w:t>
      </w:r>
      <w:r>
        <w:t xml:space="preserve">(39.0, 58.7)</w:t>
      </w:r>
    </w:p>
    <w:p>
      <w:pPr>
        <w:pStyle w:val="BodyText"/>
      </w:pPr>
      <w:r>
        <w:t xml:space="preserve">69.8</w:t>
      </w:r>
      <w:r>
        <w:t xml:space="preserve">(59.6, 79.9)</w:t>
      </w:r>
    </w:p>
    <w:p>
      <w:pPr>
        <w:pStyle w:val="BodyText"/>
      </w:pPr>
      <w:r>
        <w:t xml:space="preserve">57.0</w:t>
      </w:r>
      <w:r>
        <w:t xml:space="preserve">(49.8, 64.3)</w:t>
      </w:r>
    </w:p>
    <w:p>
      <w:pPr>
        <w:pStyle w:val="BodyText"/>
      </w:pPr>
      <w:r>
        <w:t xml:space="preserve">Stage 1 hypertension</w:t>
      </w:r>
    </w:p>
    <w:p>
      <w:pPr>
        <w:pStyle w:val="BodyText"/>
      </w:pPr>
      <w:r>
        <w:t xml:space="preserve">24.3</w:t>
      </w:r>
      <w:r>
        <w:t xml:space="preserve">(20.7, 27.9)</w:t>
      </w:r>
    </w:p>
    <w:p>
      <w:pPr>
        <w:pStyle w:val="BodyText"/>
      </w:pPr>
      <w:r>
        <w:t xml:space="preserve">55.0</w:t>
      </w:r>
      <w:r>
        <w:t xml:space="preserve">(43.7, 66.4)</w:t>
      </w:r>
    </w:p>
    <w:p>
      <w:pPr>
        <w:pStyle w:val="BodyText"/>
      </w:pPr>
      <w:r>
        <w:t xml:space="preserve">36.7</w:t>
      </w:r>
      <w:r>
        <w:t xml:space="preserve">(26.2, 47.2)</w:t>
      </w:r>
    </w:p>
    <w:p>
      <w:pPr>
        <w:pStyle w:val="BodyText"/>
      </w:pPr>
      <w:r>
        <w:t xml:space="preserve">72.6</w:t>
      </w:r>
      <w:r>
        <w:t xml:space="preserve">(63.2, 81.9)</w:t>
      </w:r>
    </w:p>
    <w:p>
      <w:pPr>
        <w:pStyle w:val="BodyText"/>
      </w:pPr>
      <w:r>
        <w:t xml:space="preserve">54.4</w:t>
      </w:r>
      <w:r>
        <w:t xml:space="preserve">(46.7, 62.1)</w:t>
      </w:r>
    </w:p>
    <w:p>
      <w:pPr>
        <w:pStyle w:val="BodyText"/>
      </w:pPr>
      <w:r>
        <w:t xml:space="preserve">Stage 2 hypertension</w:t>
      </w:r>
    </w:p>
    <w:p>
      <w:pPr>
        <w:pStyle w:val="BodyText"/>
      </w:pPr>
      <w:r>
        <w:t xml:space="preserve">45.7</w:t>
      </w:r>
      <w:r>
        <w:t xml:space="preserve">(40.4, 51.0)</w:t>
      </w:r>
    </w:p>
    <w:p>
      <w:pPr>
        <w:pStyle w:val="BodyText"/>
      </w:pPr>
      <w:r>
        <w:t xml:space="preserve">79.0</w:t>
      </w:r>
      <w:r>
        <w:t xml:space="preserve">(69.3, 88.7)</w:t>
      </w:r>
    </w:p>
    <w:p>
      <w:pPr>
        <w:pStyle w:val="BodyText"/>
      </w:pPr>
      <w:r>
        <w:t xml:space="preserve">63.2</w:t>
      </w:r>
      <w:r>
        <w:t xml:space="preserve">(53.5, 72.9)</w:t>
      </w:r>
    </w:p>
    <w:p>
      <w:pPr>
        <w:pStyle w:val="BodyText"/>
      </w:pPr>
      <w:r>
        <w:t xml:space="preserve">90.2</w:t>
      </w:r>
      <w:r>
        <w:t xml:space="preserve">(83.9, 96.6)</w:t>
      </w:r>
    </w:p>
    <w:p>
      <w:pPr>
        <w:pStyle w:val="BodyText"/>
      </w:pPr>
      <w:r>
        <w:t xml:space="preserve">74.3</w:t>
      </w:r>
      <w:r>
        <w:t xml:space="preserve">(67.4, 81.2)</w:t>
      </w:r>
    </w:p>
    <w:p>
      <w:pPr>
        <w:pStyle w:val="BodyText"/>
      </w:pPr>
      <w:r>
        <w:t xml:space="preserve">Taking antihypertensive medication</w:t>
      </w:r>
    </w:p>
    <w:p>
      <w:pPr>
        <w:pStyle w:val="BodyText"/>
      </w:pPr>
      <w:r>
        <w:t xml:space="preserve">61.9</w:t>
      </w:r>
      <w:r>
        <w:t xml:space="preserve">(59.5, 64.3)</w:t>
      </w:r>
    </w:p>
    <w:p>
      <w:pPr>
        <w:pStyle w:val="BodyText"/>
      </w:pPr>
      <w:r>
        <w:t xml:space="preserve">81.3</w:t>
      </w:r>
      <w:r>
        <w:t xml:space="preserve">(77.8, 84.9)</w:t>
      </w:r>
    </w:p>
    <w:p>
      <w:pPr>
        <w:pStyle w:val="BodyText"/>
      </w:pPr>
      <w:r>
        <w:t xml:space="preserve">79.0</w:t>
      </w:r>
      <w:r>
        <w:t xml:space="preserve">(75.3, 82.7)</w:t>
      </w:r>
    </w:p>
    <w:p>
      <w:pPr>
        <w:pStyle w:val="BodyText"/>
      </w:pPr>
      <w:r>
        <w:t xml:space="preserve">92.8</w:t>
      </w:r>
      <w:r>
        <w:t xml:space="preserve">(91.0, 94.5)</w:t>
      </w:r>
    </w:p>
    <w:p>
      <w:pPr>
        <w:pStyle w:val="BodyText"/>
      </w:pPr>
      <w:r>
        <w:t xml:space="preserve">80.5</w:t>
      </w:r>
      <w:r>
        <w:t xml:space="preserve">(78.2, 82.9)</w:t>
      </w:r>
    </w:p>
    <w:p>
      <w:pPr>
        <w:pStyle w:val="BodyText"/>
      </w:pPr>
      <w:r>
        <w:t xml:space="preserve">*</w:t>
      </w:r>
      <w:r>
        <w:t xml:space="preserve">Normal blood pressure: systolic blood pressure &lt; 120 mm Hg and diastolic blood pressure &lt; 80 mm Hg;</w:t>
      </w:r>
      <w:r>
        <w:t xml:space="preserve">Elevated blood pressure: systolic blood pressure from 120 to 129 mm Hg and diastolic blood pressure &lt; 80 mm Hg;</w:t>
      </w:r>
      <w:r>
        <w:t xml:space="preserve">Stage 1 hypertension: systolic blood pressure between 130 and 139 mm Hg or diastolic blood pressure between 80 and 89 mm Hg;</w:t>
      </w:r>
      <w:r>
        <w:t xml:space="preserve">Stage 2 hypertension: systolic blood pressure ≥ 140 mm Hg or diastolic blood pressure ≥ 90 mm Hg.</w:t>
      </w:r>
    </w:p>
    <w:p>
      <w:pPr>
        <w:pStyle w:val="BodyText"/>
      </w:pPr>
      <w:r>
        <w:t xml:space="preserve">†</w:t>
      </w:r>
      <w:r>
        <w:t xml:space="preserve">Diabetes was defined by fasting serum glucose ≥ 126 mg/dL, non-fasting glucose ≥ 200 mg/dL, glycated hemoglobin (HbA1c) ≥ 6.5%, or self-reported use of insulin or oral glucose lowering medication.</w:t>
      </w:r>
    </w:p>
    <w:p>
      <w:pPr>
        <w:pStyle w:val="BodyText"/>
      </w:pPr>
      <w:r>
        <w:t xml:space="preserve">‡</w:t>
      </w:r>
      <w:r>
        <w:t xml:space="preserve">Chronic kidney disease is defined by an albumin-to-creatinine ratio ≥ 30 mg/g or an estimated glomerular filtration rate &lt; 60 ml/min/1.73m²</w:t>
      </w:r>
    </w:p>
    <w:p>
      <w:pPr>
        <w:pStyle w:val="BodyText"/>
      </w:pPr>
      <w:r>
        <w:t xml:space="preserve">‖</w:t>
      </w:r>
      <w:r>
        <w:t xml:space="preserve">Predicted risk for atherosclerotic cardiovascular disease was computed using the Pooled Cohort risk equations, based on the guideline by American College of Cardiology / American Heart Association, 2013</w:t>
      </w:r>
    </w:p>
    <w:p>
      <w:pPr>
        <w:pStyle w:val="BodyText"/>
      </w:pPr>
      <w:r>
        <w:t xml:space="preserve">§</w:t>
      </w:r>
      <w:r>
        <w:t xml:space="preserve">Clinical cardiovascular disease was defined by self-report of previous heart failure, coronary heart disease, stroke, or myocardial infarction</w:t>
      </w:r>
    </w:p>
    <w:p>
      <w:pPr>
        <w:pStyle w:val="BodyText"/>
      </w:pPr>
      <w:r>
        <w:t xml:space="preserve">¶</w:t>
      </w:r>
      <w:r>
        <w:t xml:space="preserve">High atherosclerotic cardiovascular disease risk was defined by a 10-year predicted risk for atherosclerotic cardiovascular disease ≥ 10% or clinical cardiovascular disease</w:t>
      </w:r>
    </w:p>
    <w:p>
      <w:pPr>
        <w:pStyle w:val="BodyText"/>
      </w:pPr>
      <w:r>
        <w:t xml:space="preserve">ASCVD = atherosclerotic cardiovascular disease; CKD = chronic kidney disease; CVD = cardiovascular disease</w:t>
      </w:r>
    </w:p>
    <w:p>
      <w:pPr>
        <w:pStyle w:val="BodyText"/>
      </w:pPr>
    </w:p>
    <w:bookmarkStart w:id="35" w:name="b92defe4-7ba9-4d1a-9f02-937ffe4eeb25"/>
    <w:bookmarkEnd w:id="35"/>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p>
      <w:pPr>
        <w:pStyle w:val="BodyText"/>
      </w:pPr>
    </w:p>
    <w:p>
      <w:pPr>
        <w:pStyle w:val="BodyText"/>
      </w:pPr>
    </w:p>
    <w:p>
      <w:pPr>
        <w:pStyle w:val="BodyText"/>
      </w:pPr>
      <w:r>
        <w:t xml:space="preserve">Sub-groups</w:t>
      </w:r>
    </w:p>
    <w:p>
      <w:pPr>
        <w:pStyle w:val="BodyText"/>
      </w:pPr>
      <w:r>
        <w:t xml:space="preserve">Characteristic</w:t>
      </w:r>
      <w:r>
        <w:t xml:space="preserve">*</w:t>
      </w:r>
    </w:p>
    <w:p>
      <w:pPr>
        <w:pStyle w:val="BodyText"/>
      </w:pPr>
      <w:r>
        <w:t xml:space="preserve">Overall</w:t>
      </w:r>
      <w:r>
        <w:t xml:space="preserve"> </w:t>
      </w:r>
      <w:r>
        <w:t xml:space="preserve">N = 1,271</w:t>
      </w:r>
    </w:p>
    <w:p>
      <w:pPr>
        <w:pStyle w:val="BodyText"/>
      </w:pPr>
      <w:r>
        <w:t xml:space="preserve">Diabetes</w:t>
      </w:r>
      <w:r>
        <w:t xml:space="preserve"> </w:t>
      </w:r>
      <w:r>
        <w:t xml:space="preserve">N = 204</w:t>
      </w:r>
      <w:r>
        <w:t xml:space="preserve">†</w:t>
      </w:r>
    </w:p>
    <w:p>
      <w:pPr>
        <w:pStyle w:val="BodyText"/>
      </w:pPr>
      <w:r>
        <w:t xml:space="preserve">CKD</w:t>
      </w:r>
      <w:r>
        <w:t xml:space="preserve"> </w:t>
      </w:r>
      <w:r>
        <w:t xml:space="preserve">N = 174</w:t>
      </w:r>
      <w:r>
        <w:t xml:space="preserve">‡</w:t>
      </w:r>
    </w:p>
    <w:p>
      <w:pPr>
        <w:pStyle w:val="BodyText"/>
      </w:pPr>
      <w:r>
        <w:t xml:space="preserve">Age 65+ years</w:t>
      </w:r>
      <w:r>
        <w:t xml:space="preserve"> </w:t>
      </w:r>
      <w:r>
        <w:t xml:space="preserve">N = 236</w:t>
      </w:r>
    </w:p>
    <w:p>
      <w:pPr>
        <w:pStyle w:val="BodyText"/>
      </w:pPr>
      <w:r>
        <w:t xml:space="preserve">Diabetes, CKD, or age 65+ years</w:t>
      </w:r>
      <w:r>
        <w:t xml:space="preserve"> </w:t>
      </w:r>
      <w:r>
        <w:t xml:space="preserve">N = 460</w:t>
      </w:r>
    </w:p>
    <w:p>
      <w:pPr>
        <w:pStyle w:val="BodyText"/>
      </w:pPr>
      <w:r>
        <w:t xml:space="preserve">Age, years</w:t>
      </w:r>
    </w:p>
    <w:p>
      <w:pPr>
        <w:pStyle w:val="BodyText"/>
      </w:pPr>
      <w:r>
        <w:t xml:space="preserve">54.0 (0.4)</w:t>
      </w:r>
    </w:p>
    <w:p>
      <w:pPr>
        <w:pStyle w:val="BodyText"/>
      </w:pPr>
      <w:r>
        <w:t xml:space="preserve">56.8 (1.2)</w:t>
      </w:r>
    </w:p>
    <w:p>
      <w:pPr>
        <w:pStyle w:val="BodyText"/>
      </w:pPr>
      <w:r>
        <w:t xml:space="preserve">57.7 (1.1)</w:t>
      </w:r>
    </w:p>
    <w:p>
      <w:pPr>
        <w:pStyle w:val="BodyText"/>
      </w:pPr>
      <w:r>
        <w:t xml:space="preserve">69.7 (0.4)</w:t>
      </w:r>
    </w:p>
    <w:p>
      <w:pPr>
        <w:pStyle w:val="BodyText"/>
      </w:pPr>
      <w:r>
        <w:t xml:space="preserve">61.5 (0.8)</w:t>
      </w:r>
    </w:p>
    <w:p>
      <w:pPr>
        <w:pStyle w:val="BodyText"/>
      </w:pPr>
      <w:r>
        <w:t xml:space="preserve">Male</w:t>
      </w:r>
    </w:p>
    <w:p>
      <w:pPr>
        <w:pStyle w:val="BodyText"/>
      </w:pPr>
      <w:r>
        <w:t xml:space="preserve">52.3</w:t>
      </w:r>
    </w:p>
    <w:p>
      <w:pPr>
        <w:pStyle w:val="BodyText"/>
      </w:pPr>
      <w:r>
        <w:t xml:space="preserve">58.5</w:t>
      </w:r>
    </w:p>
    <w:p>
      <w:pPr>
        <w:pStyle w:val="BodyText"/>
      </w:pPr>
      <w:r>
        <w:t xml:space="preserve">49.3</w:t>
      </w:r>
    </w:p>
    <w:p>
      <w:pPr>
        <w:pStyle w:val="BodyText"/>
      </w:pPr>
      <w:r>
        <w:t xml:space="preserve">51.5</w:t>
      </w:r>
    </w:p>
    <w:p>
      <w:pPr>
        <w:pStyle w:val="BodyText"/>
      </w:pPr>
      <w:r>
        <w:t xml:space="preserve">51.9</w:t>
      </w:r>
    </w:p>
    <w:p>
      <w:pPr>
        <w:pStyle w:val="BodyText"/>
      </w:pPr>
      <w:r>
        <w:t xml:space="preserve">Race / ethnicity</w:t>
      </w:r>
    </w:p>
    <w:p>
      <w:pPr>
        <w:pStyle w:val="BodyText"/>
      </w:pPr>
      <w:r>
        <w:t xml:space="preserve">Non-Hispanic White</w:t>
      </w:r>
    </w:p>
    <w:p>
      <w:pPr>
        <w:pStyle w:val="BodyText"/>
      </w:pPr>
      <w:r>
        <w:t xml:space="preserve">66.3</w:t>
      </w:r>
    </w:p>
    <w:p>
      <w:pPr>
        <w:pStyle w:val="BodyText"/>
      </w:pPr>
      <w:r>
        <w:t xml:space="preserve">60.0</w:t>
      </w:r>
    </w:p>
    <w:p>
      <w:pPr>
        <w:pStyle w:val="BodyText"/>
      </w:pPr>
      <w:r>
        <w:t xml:space="preserve">61.6</w:t>
      </w:r>
    </w:p>
    <w:p>
      <w:pPr>
        <w:pStyle w:val="BodyText"/>
      </w:pPr>
      <w:r>
        <w:t xml:space="preserve">73.8</w:t>
      </w:r>
    </w:p>
    <w:p>
      <w:pPr>
        <w:pStyle w:val="BodyText"/>
      </w:pPr>
      <w:r>
        <w:t xml:space="preserve">65.3</w:t>
      </w:r>
    </w:p>
    <w:p>
      <w:pPr>
        <w:pStyle w:val="BodyText"/>
      </w:pPr>
      <w:r>
        <w:t xml:space="preserve">Non-Hispanic Black</w:t>
      </w:r>
    </w:p>
    <w:p>
      <w:pPr>
        <w:pStyle w:val="BodyText"/>
      </w:pPr>
      <w:r>
        <w:t xml:space="preserve">9.8</w:t>
      </w:r>
    </w:p>
    <w:p>
      <w:pPr>
        <w:pStyle w:val="BodyText"/>
      </w:pPr>
      <w:r>
        <w:t xml:space="preserve">11.4</w:t>
      </w:r>
    </w:p>
    <w:p>
      <w:pPr>
        <w:pStyle w:val="BodyText"/>
      </w:pPr>
      <w:r>
        <w:t xml:space="preserve">11.0</w:t>
      </w:r>
    </w:p>
    <w:p>
      <w:pPr>
        <w:pStyle w:val="BodyText"/>
      </w:pPr>
      <w:r>
        <w:t xml:space="preserve">7.4</w:t>
      </w:r>
    </w:p>
    <w:p>
      <w:pPr>
        <w:pStyle w:val="BodyText"/>
      </w:pPr>
      <w:r>
        <w:t xml:space="preserve">10.1</w:t>
      </w:r>
    </w:p>
    <w:p>
      <w:pPr>
        <w:pStyle w:val="BodyText"/>
      </w:pPr>
      <w:r>
        <w:t xml:space="preserve">Hispanic</w:t>
      </w:r>
    </w:p>
    <w:p>
      <w:pPr>
        <w:pStyle w:val="BodyText"/>
      </w:pPr>
      <w:r>
        <w:t xml:space="preserve">14.2</w:t>
      </w:r>
    </w:p>
    <w:p>
      <w:pPr>
        <w:pStyle w:val="BodyText"/>
      </w:pPr>
      <w:r>
        <w:t xml:space="preserve">19.9</w:t>
      </w:r>
    </w:p>
    <w:p>
      <w:pPr>
        <w:pStyle w:val="BodyText"/>
      </w:pPr>
      <w:r>
        <w:t xml:space="preserve">18.1</w:t>
      </w:r>
    </w:p>
    <w:p>
      <w:pPr>
        <w:pStyle w:val="BodyText"/>
      </w:pPr>
      <w:r>
        <w:t xml:space="preserve">10.3</w:t>
      </w:r>
    </w:p>
    <w:p>
      <w:pPr>
        <w:pStyle w:val="BodyText"/>
      </w:pPr>
      <w:r>
        <w:t xml:space="preserve">15.2</w:t>
      </w:r>
    </w:p>
    <w:p>
      <w:pPr>
        <w:pStyle w:val="BodyText"/>
      </w:pPr>
      <w:r>
        <w:t xml:space="preserve">Non-Hispanic Asian</w:t>
      </w:r>
    </w:p>
    <w:p>
      <w:pPr>
        <w:pStyle w:val="BodyText"/>
      </w:pPr>
      <w:r>
        <w:t xml:space="preserve">6.0</w:t>
      </w:r>
    </w:p>
    <w:p>
      <w:pPr>
        <w:pStyle w:val="BodyText"/>
      </w:pPr>
      <w:r>
        <w:t xml:space="preserve">7.6</w:t>
      </w:r>
    </w:p>
    <w:p>
      <w:pPr>
        <w:pStyle w:val="BodyText"/>
      </w:pPr>
      <w:r>
        <w:t xml:space="preserve">6.2</w:t>
      </w:r>
    </w:p>
    <w:p>
      <w:pPr>
        <w:pStyle w:val="BodyText"/>
      </w:pPr>
      <w:r>
        <w:t xml:space="preserve">4.2</w:t>
      </w:r>
    </w:p>
    <w:p>
      <w:pPr>
        <w:pStyle w:val="BodyText"/>
      </w:pPr>
      <w:r>
        <w:t xml:space="preserve">5.9</w:t>
      </w:r>
    </w:p>
    <w:p>
      <w:pPr>
        <w:pStyle w:val="BodyText"/>
      </w:pPr>
      <w:r>
        <w:t xml:space="preserve">Other Race/ethnicity - Including Multi-Racial</w:t>
      </w:r>
    </w:p>
    <w:p>
      <w:pPr>
        <w:pStyle w:val="BodyText"/>
      </w:pPr>
      <w:r>
        <w:t xml:space="preserve">3.7</w:t>
      </w:r>
    </w:p>
    <w:p>
      <w:pPr>
        <w:pStyle w:val="BodyText"/>
      </w:pPr>
      <w:r>
        <w:t xml:space="preserve">1.2</w:t>
      </w:r>
    </w:p>
    <w:p>
      <w:pPr>
        <w:pStyle w:val="BodyText"/>
      </w:pPr>
      <w:r>
        <w:t xml:space="preserve">3.0</w:t>
      </w:r>
    </w:p>
    <w:p>
      <w:pPr>
        <w:pStyle w:val="BodyText"/>
      </w:pPr>
      <w:r>
        <w:t xml:space="preserve">4.4</w:t>
      </w:r>
    </w:p>
    <w:p>
      <w:pPr>
        <w:pStyle w:val="BodyText"/>
      </w:pPr>
      <w:r>
        <w:t xml:space="preserve">3.4</w:t>
      </w:r>
    </w:p>
    <w:p>
      <w:pPr>
        <w:pStyle w:val="BodyText"/>
      </w:pPr>
      <w:r>
        <w:t xml:space="preserve">Current smoker</w:t>
      </w:r>
    </w:p>
    <w:p>
      <w:pPr>
        <w:pStyle w:val="BodyText"/>
      </w:pPr>
      <w:r>
        <w:t xml:space="preserve">19.3</w:t>
      </w:r>
    </w:p>
    <w:p>
      <w:pPr>
        <w:pStyle w:val="BodyText"/>
      </w:pPr>
      <w:r>
        <w:t xml:space="preserve">18.8</w:t>
      </w:r>
    </w:p>
    <w:p>
      <w:pPr>
        <w:pStyle w:val="BodyText"/>
      </w:pPr>
      <w:r>
        <w:t xml:space="preserve">20.5</w:t>
      </w:r>
    </w:p>
    <w:p>
      <w:pPr>
        <w:pStyle w:val="BodyText"/>
      </w:pPr>
      <w:r>
        <w:t xml:space="preserve">10.7</w:t>
      </w:r>
    </w:p>
    <w:p>
      <w:pPr>
        <w:pStyle w:val="BodyText"/>
      </w:pPr>
      <w:r>
        <w:t xml:space="preserve">16.2</w:t>
      </w:r>
    </w:p>
    <w:p>
      <w:pPr>
        <w:pStyle w:val="BodyText"/>
      </w:pPr>
      <w:r>
        <w:t xml:space="preserve">Total cholesterol, mg/dl</w:t>
      </w:r>
    </w:p>
    <w:p>
      <w:pPr>
        <w:pStyle w:val="BodyText"/>
      </w:pPr>
      <w:r>
        <w:t xml:space="preserve">205.0 (2.4)</w:t>
      </w:r>
    </w:p>
    <w:p>
      <w:pPr>
        <w:pStyle w:val="BodyText"/>
      </w:pPr>
      <w:r>
        <w:t xml:space="preserve">188.8 (4.6)</w:t>
      </w:r>
    </w:p>
    <w:p>
      <w:pPr>
        <w:pStyle w:val="BodyText"/>
      </w:pPr>
      <w:r>
        <w:t xml:space="preserve">196.5 (4.3)</w:t>
      </w:r>
    </w:p>
    <w:p>
      <w:pPr>
        <w:pStyle w:val="BodyText"/>
      </w:pPr>
      <w:r>
        <w:t xml:space="preserve">195.4 (3.5)</w:t>
      </w:r>
    </w:p>
    <w:p>
      <w:pPr>
        <w:pStyle w:val="BodyText"/>
      </w:pPr>
      <w:r>
        <w:t xml:space="preserve">195.7 (2.8)</w:t>
      </w:r>
    </w:p>
    <w:p>
      <w:pPr>
        <w:pStyle w:val="BodyText"/>
      </w:pPr>
      <w:r>
        <w:t xml:space="preserve">HDL-cholesterol, mg/dl</w:t>
      </w:r>
    </w:p>
    <w:p>
      <w:pPr>
        <w:pStyle w:val="BodyText"/>
      </w:pPr>
      <w:r>
        <w:t xml:space="preserve">54.0 (0.7)</w:t>
      </w:r>
    </w:p>
    <w:p>
      <w:pPr>
        <w:pStyle w:val="BodyText"/>
      </w:pPr>
      <w:r>
        <w:t xml:space="preserve">47.1 (1.5)</w:t>
      </w:r>
    </w:p>
    <w:p>
      <w:pPr>
        <w:pStyle w:val="BodyText"/>
      </w:pPr>
      <w:r>
        <w:t xml:space="preserve">53.6 (2.0)</w:t>
      </w:r>
    </w:p>
    <w:p>
      <w:pPr>
        <w:pStyle w:val="BodyText"/>
      </w:pPr>
      <w:r>
        <w:t xml:space="preserve">57.9 (1.4)</w:t>
      </w:r>
    </w:p>
    <w:p>
      <w:pPr>
        <w:pStyle w:val="BodyText"/>
      </w:pPr>
      <w:r>
        <w:t xml:space="preserve">53.8 (1.0)</w:t>
      </w:r>
    </w:p>
    <w:p>
      <w:pPr>
        <w:pStyle w:val="BodyText"/>
      </w:pPr>
      <w:r>
        <w:t xml:space="preserve">Systolic blood pressure, mm Hg</w:t>
      </w:r>
    </w:p>
    <w:p>
      <w:pPr>
        <w:pStyle w:val="BodyText"/>
      </w:pPr>
      <w:r>
        <w:t xml:space="preserve">129.6 (0.3)</w:t>
      </w:r>
    </w:p>
    <w:p>
      <w:pPr>
        <w:pStyle w:val="BodyText"/>
      </w:pPr>
      <w:r>
        <w:t xml:space="preserve">131.1 (0.7)</w:t>
      </w:r>
    </w:p>
    <w:p>
      <w:pPr>
        <w:pStyle w:val="BodyText"/>
      </w:pPr>
      <w:r>
        <w:t xml:space="preserve">131.4 (0.6)</w:t>
      </w:r>
    </w:p>
    <w:p>
      <w:pPr>
        <w:pStyle w:val="BodyText"/>
      </w:pPr>
      <w:r>
        <w:t xml:space="preserve">132.5 (0.6)</w:t>
      </w:r>
    </w:p>
    <w:p>
      <w:pPr>
        <w:pStyle w:val="BodyText"/>
      </w:pPr>
      <w:r>
        <w:t xml:space="preserve">131.4 (0.4)</w:t>
      </w:r>
    </w:p>
    <w:p>
      <w:pPr>
        <w:pStyle w:val="BodyText"/>
      </w:pPr>
      <w:r>
        <w:t xml:space="preserve">Diastolic blood pressure, mm Hg</w:t>
      </w:r>
    </w:p>
    <w:p>
      <w:pPr>
        <w:pStyle w:val="BodyText"/>
      </w:pPr>
      <w:r>
        <w:t xml:space="preserve">78.6 (0.4)</w:t>
      </w:r>
    </w:p>
    <w:p>
      <w:pPr>
        <w:pStyle w:val="BodyText"/>
      </w:pPr>
      <w:r>
        <w:t xml:space="preserve">76.7 (1.0)</w:t>
      </w:r>
    </w:p>
    <w:p>
      <w:pPr>
        <w:pStyle w:val="BodyText"/>
      </w:pPr>
      <w:r>
        <w:t xml:space="preserve">75.8 (0.8)</w:t>
      </w:r>
    </w:p>
    <w:p>
      <w:pPr>
        <w:pStyle w:val="BodyText"/>
      </w:pPr>
      <w:r>
        <w:t xml:space="preserve">72.2 (1.0)</w:t>
      </w:r>
    </w:p>
    <w:p>
      <w:pPr>
        <w:pStyle w:val="BodyText"/>
      </w:pPr>
      <w:r>
        <w:t xml:space="preserve">75.2 (0.7)</w:t>
      </w:r>
    </w:p>
    <w:p>
      <w:pPr>
        <w:pStyle w:val="BodyText"/>
      </w:pPr>
      <w:r>
        <w:t xml:space="preserve">Antihypertensive medication use</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Diabetes</w:t>
      </w:r>
    </w:p>
    <w:p>
      <w:pPr>
        <w:pStyle w:val="BodyText"/>
      </w:pPr>
      <w:r>
        <w:t xml:space="preserve">12.3</w:t>
      </w:r>
    </w:p>
    <w:p>
      <w:pPr>
        <w:pStyle w:val="BodyText"/>
      </w:pPr>
      <w:r>
        <w:t xml:space="preserve">100.0</w:t>
      </w:r>
    </w:p>
    <w:p>
      <w:pPr>
        <w:pStyle w:val="BodyText"/>
      </w:pPr>
      <w:r>
        <w:t xml:space="preserve">30.1</w:t>
      </w:r>
    </w:p>
    <w:p>
      <w:pPr>
        <w:pStyle w:val="BodyText"/>
      </w:pPr>
      <w:r>
        <w:t xml:space="preserve">21.0</w:t>
      </w:r>
    </w:p>
    <w:p>
      <w:pPr>
        <w:pStyle w:val="BodyText"/>
      </w:pPr>
      <w:r>
        <w:t xml:space="preserve">41.7</w:t>
      </w:r>
    </w:p>
    <w:p>
      <w:pPr>
        <w:pStyle w:val="BodyText"/>
      </w:pPr>
      <w:r>
        <w:t xml:space="preserve">CKD</w:t>
      </w:r>
    </w:p>
    <w:p>
      <w:pPr>
        <w:pStyle w:val="BodyText"/>
      </w:pPr>
      <w:r>
        <w:t xml:space="preserve">10.5</w:t>
      </w:r>
    </w:p>
    <w:p>
      <w:pPr>
        <w:pStyle w:val="BodyText"/>
      </w:pPr>
      <w:r>
        <w:t xml:space="preserve">25.6</w:t>
      </w:r>
    </w:p>
    <w:p>
      <w:pPr>
        <w:pStyle w:val="BodyText"/>
      </w:pPr>
      <w:r>
        <w:t xml:space="preserve">100.0</w:t>
      </w:r>
    </w:p>
    <w:p>
      <w:pPr>
        <w:pStyle w:val="BodyText"/>
      </w:pPr>
      <w:r>
        <w:t xml:space="preserve">19.8</w:t>
      </w:r>
    </w:p>
    <w:p>
      <w:pPr>
        <w:pStyle w:val="BodyText"/>
      </w:pPr>
      <w:r>
        <w:t xml:space="preserve">35.5</w:t>
      </w:r>
    </w:p>
    <w:p>
      <w:pPr>
        <w:pStyle w:val="BodyText"/>
      </w:pPr>
      <w:r>
        <w:t xml:space="preserve">Aged 65+ years</w:t>
      </w:r>
    </w:p>
    <w:p>
      <w:pPr>
        <w:pStyle w:val="BodyText"/>
      </w:pPr>
      <w:r>
        <w:t xml:space="preserve">15.7</w:t>
      </w:r>
    </w:p>
    <w:p>
      <w:pPr>
        <w:pStyle w:val="BodyText"/>
      </w:pPr>
      <w:r>
        <w:t xml:space="preserve">26.9</w:t>
      </w:r>
    </w:p>
    <w:p>
      <w:pPr>
        <w:pStyle w:val="BodyText"/>
      </w:pPr>
      <w:r>
        <w:t xml:space="preserve">29.9</w:t>
      </w:r>
    </w:p>
    <w:p>
      <w:pPr>
        <w:pStyle w:val="BodyText"/>
      </w:pPr>
      <w:r>
        <w:t xml:space="preserve">100.0</w:t>
      </w:r>
    </w:p>
    <w:p>
      <w:pPr>
        <w:pStyle w:val="BodyText"/>
      </w:pPr>
      <w:r>
        <w:t xml:space="preserve">53.4</w:t>
      </w:r>
    </w:p>
    <w:p>
      <w:pPr>
        <w:pStyle w:val="BodyText"/>
      </w:pPr>
      <w:r>
        <w:t xml:space="preserve">Diabetes, chronic kidney disease, or age 65+ years</w:t>
      </w:r>
    </w:p>
    <w:p>
      <w:pPr>
        <w:pStyle w:val="BodyText"/>
      </w:pPr>
      <w:r>
        <w:t xml:space="preserve">29.5</w:t>
      </w:r>
    </w:p>
    <w:p>
      <w:pPr>
        <w:pStyle w:val="BodyText"/>
      </w:pPr>
      <w:r>
        <w:t xml:space="preserve">100.0</w:t>
      </w:r>
    </w:p>
    <w:p>
      <w:pPr>
        <w:pStyle w:val="BodyText"/>
      </w:pPr>
      <w:r>
        <w:t xml:space="preserve">100.0</w:t>
      </w:r>
    </w:p>
    <w:p>
      <w:pPr>
        <w:pStyle w:val="BodyText"/>
      </w:pPr>
      <w:r>
        <w:t xml:space="preserve">100.0</w:t>
      </w:r>
    </w:p>
    <w:p>
      <w:pPr>
        <w:pStyle w:val="BodyText"/>
      </w:pPr>
      <w:r>
        <w:t xml:space="preserve">100.0</w:t>
      </w:r>
    </w:p>
    <w:p>
      <w:pPr>
        <w:pStyle w:val="BodyText"/>
      </w:pPr>
      <w:r>
        <w:t xml:space="preserve">Clinical CVD</w:t>
      </w:r>
      <w:r>
        <w:t xml:space="preserve">§</w:t>
      </w:r>
    </w:p>
    <w:p>
      <w:pPr>
        <w:pStyle w:val="BodyText"/>
      </w:pPr>
      <w:r>
        <w:t xml:space="preserve">5.8</w:t>
      </w:r>
    </w:p>
    <w:p>
      <w:pPr>
        <w:pStyle w:val="BodyText"/>
      </w:pPr>
      <w:r>
        <w:t xml:space="preserve">15.2</w:t>
      </w:r>
    </w:p>
    <w:p>
      <w:pPr>
        <w:pStyle w:val="BodyText"/>
      </w:pPr>
      <w:r>
        <w:t xml:space="preserve">11.1</w:t>
      </w:r>
    </w:p>
    <w:p>
      <w:pPr>
        <w:pStyle w:val="BodyText"/>
      </w:pPr>
      <w:r>
        <w:t xml:space="preserve">13.2</w:t>
      </w:r>
    </w:p>
    <w:p>
      <w:pPr>
        <w:pStyle w:val="BodyText"/>
      </w:pPr>
      <w:r>
        <w:t xml:space="preserve">11.2</w:t>
      </w:r>
    </w:p>
    <w:p>
      <w:pPr>
        <w:pStyle w:val="BodyText"/>
      </w:pPr>
      <w:r>
        <w:t xml:space="preserve">*</w:t>
      </w:r>
      <w:r>
        <w:t xml:space="preserve">Table values are mean (standard error) or proportion.</w:t>
      </w:r>
    </w:p>
    <w:p>
      <w:pPr>
        <w:pStyle w:val="BodyText"/>
      </w:pPr>
      <w:r>
        <w:t xml:space="preserve">†</w:t>
      </w:r>
      <w:r>
        <w:t xml:space="preserve">Diabetes was defined by fasting serum glucose ≥ 126 mg/dL, non-fasting glucose ≥ 200 mg/dL, glycated hemoglobin (HbA1c) ≥ 6.5%, or self-reported use of insulin or oral glucose lowering medication.</w:t>
      </w:r>
    </w:p>
    <w:p>
      <w:pPr>
        <w:pStyle w:val="BodyText"/>
      </w:pPr>
      <w:r>
        <w:t xml:space="preserve">‡</w:t>
      </w:r>
      <w:r>
        <w:t xml:space="preserve">Chronic kidney disease is defined by an albumin-to-creatinine ratio ≥ 30 mg/g or an estimated glomerular filtration rate &lt; 60 ml/min/1.73m²</w:t>
      </w:r>
    </w:p>
    <w:p>
      <w:pPr>
        <w:pStyle w:val="BodyText"/>
      </w:pPr>
      <w:r>
        <w:t xml:space="preserve">§</w:t>
      </w:r>
      <w:r>
        <w:t xml:space="preserve">Clinical cardiovascular disease was defined by self-report of previous heart failure, coronary heart disease, stroke, or myocardial infarction</w:t>
      </w:r>
    </w:p>
    <w:p>
      <w:pPr>
        <w:pStyle w:val="BodyText"/>
      </w:pPr>
      <w:r>
        <w:t xml:space="preserve">CKD = chronic kidney disease; CVD = cardiovascular disease; HDL = high density lipoprotein</w:t>
      </w:r>
    </w:p>
    <w:p>
      <w:pPr>
        <w:pStyle w:val="BodyText"/>
      </w:pPr>
    </w:p>
    <w:bookmarkStart w:id="36" w:name="a1c9ccc3-1462-4a63-be65-2fe3d1299bbe"/>
    <w:bookmarkEnd w:id="36"/>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wp:inline distT="0" distB="0" distL="0" distR="0">
            <wp:extent cx="5486400" cy="6400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7"/>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Acknowledgments:</w:t>
      </w:r>
      <w:r>
        <w:t xml:space="preserve"> </w:t>
      </w:r>
      <w:r>
        <w:t xml:space="preserve">None.</w:t>
      </w:r>
    </w:p>
    <w:p>
      <w:pPr>
        <w:pStyle w:val="BodyText"/>
      </w:pPr>
      <w:r>
        <w:rPr>
          <w:bCs/>
          <w:b/>
        </w:rPr>
        <w:t xml:space="preserve">Sources of 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a Centers of Research Excellence grant from the National Institute of General Medical Sciences, P20GM109036.</w:t>
      </w:r>
    </w:p>
    <w:p>
      <w:pPr>
        <w:pStyle w:val="BodyText"/>
      </w:pPr>
      <w:r>
        <w:rPr>
          <w:bCs/>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r>
        <w:br w:type="page"/>
      </w:r>
    </w:p>
    <w:bookmarkEnd w:id="37"/>
    <w:bookmarkStart w:id="71" w:name="references"/>
    <w:p>
      <w:pPr>
        <w:pStyle w:val="Heading1"/>
      </w:pPr>
      <w:r>
        <w:t xml:space="preserve">REFERENCES</w:t>
      </w:r>
    </w:p>
    <w:bookmarkStart w:id="70" w:name="refs"/>
    <w:bookmarkStart w:id="38" w:name="ref-whelton20182017"/>
    <w:p>
      <w:pPr>
        <w:pStyle w:val="Bibliography"/>
      </w:pPr>
      <w:r>
        <w:t xml:space="preserve">1.</w:t>
      </w:r>
      <w:r>
        <w:t xml:space="preserve"> </w:t>
      </w:r>
      <w:r>
        <w:t xml:space="preserve">	</w:t>
      </w:r>
      <w:r>
        <w:t xml:space="preserve">Whelton PK, Carey RM, Aronow WS, Casey DE, Collins KJ, Himmelfarb CD,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 Journal of the</w:t>
      </w:r>
      <w:r>
        <w:t xml:space="preserve"> </w:t>
      </w:r>
      <w:r>
        <w:t xml:space="preserve">American</w:t>
      </w:r>
      <w:r>
        <w:t xml:space="preserve"> </w:t>
      </w:r>
      <w:r>
        <w:t xml:space="preserve">College of Cardiology 2018;71:e127–e248.</w:t>
      </w:r>
    </w:p>
    <w:bookmarkEnd w:id="38"/>
    <w:bookmarkStart w:id="39" w:name="ref-goff20142013"/>
    <w:p>
      <w:pPr>
        <w:pStyle w:val="Bibliography"/>
      </w:pPr>
      <w:r>
        <w:t xml:space="preserve">2.</w:t>
      </w:r>
      <w:r>
        <w:t xml:space="preserve"> </w:t>
      </w:r>
      <w:r>
        <w:t xml:space="preserve">	</w:t>
      </w:r>
      <w:r>
        <w:t xml:space="preserve">Goff DC, Lloyd-Jones DM, Bennett G, Coady S, D’agostino RB, Gibbons R, et al. 2013</w:t>
      </w:r>
      <w:r>
        <w:t xml:space="preserve"> </w:t>
      </w:r>
      <w:r>
        <w:t xml:space="preserve">ACC/AHA</w:t>
      </w:r>
      <w:r>
        <w:t xml:space="preserve"> </w:t>
      </w:r>
      <w:r>
        <w:t xml:space="preserve">guideline on the assessment of cardiovascular risk: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practice guidelines. Journal of the</w:t>
      </w:r>
      <w:r>
        <w:t xml:space="preserve"> </w:t>
      </w:r>
      <w:r>
        <w:t xml:space="preserve">American</w:t>
      </w:r>
      <w:r>
        <w:t xml:space="preserve"> </w:t>
      </w:r>
      <w:r>
        <w:t xml:space="preserve">College of Cardiology 2014;63:2935–2959.</w:t>
      </w:r>
    </w:p>
    <w:bookmarkEnd w:id="39"/>
    <w:bookmarkStart w:id="40" w:name="ref-shillinglaw2012use"/>
    <w:p>
      <w:pPr>
        <w:pStyle w:val="Bibliography"/>
      </w:pPr>
      <w:r>
        <w:t xml:space="preserve">3.</w:t>
      </w:r>
      <w:r>
        <w:t xml:space="preserve"> </w:t>
      </w:r>
      <w:r>
        <w:t xml:space="preserve">	</w:t>
      </w:r>
      <w:r>
        <w:t xml:space="preserve">Shillinglaw B, Viera AJ, Edwards T, Simpson R, Sheridan SL. Use of global coronary heart disease risk assessment in practice: A cross-sectional survey of a sample of US physicians. BMC Health Services Research 2012;12:20.</w:t>
      </w:r>
    </w:p>
    <w:bookmarkEnd w:id="40"/>
    <w:bookmarkStart w:id="42"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41">
        <w:r>
          <w:rPr>
            <w:rStyle w:val="Hyperlink"/>
          </w:rPr>
          <w:t xml:space="preserve">https://www.cdc.gov/nchs/nhanes/index.htm</w:t>
        </w:r>
      </w:hyperlink>
      <w:r>
        <w:t xml:space="preserve">. Accessed on 09/07/2020 n.d.</w:t>
      </w:r>
    </w:p>
    <w:bookmarkEnd w:id="42"/>
    <w:bookmarkStart w:id="44" w:name="ref-nhanes_tutorial_weights"/>
    <w:p>
      <w:pPr>
        <w:pStyle w:val="Bibliography"/>
      </w:pPr>
      <w:r>
        <w:t xml:space="preserve">5.</w:t>
      </w:r>
      <w:r>
        <w:t xml:space="preserve"> </w:t>
      </w:r>
      <w:r>
        <w:t xml:space="preserve">	</w:t>
      </w:r>
      <w:r>
        <w:t xml:space="preserve">NHANES. Tutorials - module 3 - weighting, available at</w:t>
      </w:r>
      <w:r>
        <w:t xml:space="preserve"> </w:t>
      </w:r>
      <w:hyperlink r:id="rId43">
        <w:r>
          <w:rPr>
            <w:rStyle w:val="Hyperlink"/>
          </w:rPr>
          <w:t xml:space="preserve">https://wwwn.cdc.gov/nchs/nhanes/tutorials/module3.aspx</w:t>
        </w:r>
      </w:hyperlink>
      <w:r>
        <w:t xml:space="preserve">. Accessed on 09/07/2020 n.d.</w:t>
      </w:r>
    </w:p>
    <w:bookmarkEnd w:id="44"/>
    <w:bookmarkStart w:id="45" w:name="ref-levey2009new"/>
    <w:p>
      <w:pPr>
        <w:pStyle w:val="Bibliography"/>
      </w:pPr>
      <w:r>
        <w:t xml:space="preserve">6.</w:t>
      </w:r>
      <w:r>
        <w:t xml:space="preserve"> </w:t>
      </w:r>
      <w:r>
        <w:t xml:space="preserve">	</w:t>
      </w:r>
      <w:r>
        <w:t xml:space="preserve">Levey AS, Stevens LA, Schmid CH, Zhang Y, Castro III AF, Feldman HI, et al. A new equation to estimate glomerular filtration rate. Annals of Internal Medicine 2009;150:604–612.</w:t>
      </w:r>
    </w:p>
    <w:bookmarkEnd w:id="45"/>
    <w:bookmarkStart w:id="46" w:name="ref-cite_nephro"/>
    <w:p>
      <w:pPr>
        <w:pStyle w:val="Bibliography"/>
      </w:pPr>
      <w:r>
        <w:t xml:space="preserve">7.</w:t>
      </w:r>
      <w:r>
        <w:t xml:space="preserve"> </w:t>
      </w:r>
      <w:r>
        <w:t xml:space="preserve">	</w:t>
      </w:r>
      <w:r>
        <w:t xml:space="preserve">Pattaro C. Nephro: Utilities for nephrology. 2017.</w:t>
      </w:r>
    </w:p>
    <w:bookmarkEnd w:id="46"/>
    <w:bookmarkStart w:id="47" w:name="ref-lloyd2019use"/>
    <w:p>
      <w:pPr>
        <w:pStyle w:val="Bibliography"/>
      </w:pPr>
      <w:r>
        <w:t xml:space="preserve">8.</w:t>
      </w:r>
      <w:r>
        <w:t xml:space="preserve"> </w:t>
      </w:r>
      <w:r>
        <w:t xml:space="preserve">	</w:t>
      </w:r>
      <w:r>
        <w:t xml:space="preserve">Lloyd-Jones DM, Braun LT, Ndumele CE, Smith SC, Sperling LS, Virani SS, et al. Use of risk assessment tools to guide decision-making in the primary prevention of atherosclerotic cardiovascular disease: A special report from the american heart association and american college of cardiology. Journal of the American College of Cardiology 2019;73:3153–3167.</w:t>
      </w:r>
    </w:p>
    <w:bookmarkEnd w:id="47"/>
    <w:bookmarkStart w:id="48" w:name="ref-cite_R"/>
    <w:p>
      <w:pPr>
        <w:pStyle w:val="Bibliography"/>
      </w:pPr>
      <w:r>
        <w:t xml:space="preserve">9.</w:t>
      </w:r>
      <w:r>
        <w:t xml:space="preserve"> </w:t>
      </w:r>
      <w:r>
        <w:t xml:space="preserve">	</w:t>
      </w:r>
      <w:r>
        <w:t xml:space="preserve">R Core Team. R: A language and environment for statistical computing. Vienna, Austria: R Foundation for Statistical Computing; 2020.</w:t>
      </w:r>
    </w:p>
    <w:bookmarkEnd w:id="48"/>
    <w:bookmarkStart w:id="49" w:name="ref-cite_drake"/>
    <w:p>
      <w:pPr>
        <w:pStyle w:val="Bibliography"/>
      </w:pPr>
      <w:r>
        <w:t xml:space="preserve">10.</w:t>
      </w:r>
      <w:r>
        <w:t xml:space="preserve"> </w:t>
      </w:r>
      <w:r>
        <w:t xml:space="preserve">	</w:t>
      </w:r>
      <w:r>
        <w:t xml:space="preserve">Landau WM. The drake</w:t>
      </w:r>
      <w:r>
        <w:t xml:space="preserve"> </w:t>
      </w:r>
      <w:r>
        <w:t xml:space="preserve">R</w:t>
      </w:r>
      <w:r>
        <w:t xml:space="preserve"> </w:t>
      </w:r>
      <w:r>
        <w:t xml:space="preserve">package: A pipeline toolkit for reproducibility and high-performance computing. Journal of Open Source Software 2018;3.</w:t>
      </w:r>
    </w:p>
    <w:bookmarkEnd w:id="49"/>
    <w:bookmarkStart w:id="51" w:name="ref-cite_tidyverse"/>
    <w:p>
      <w:pPr>
        <w:pStyle w:val="Bibliography"/>
      </w:pPr>
      <w:r>
        <w:t xml:space="preserve">11.</w:t>
      </w:r>
      <w:r>
        <w:t xml:space="preserve"> </w:t>
      </w:r>
      <w:r>
        <w:t xml:space="preserve">	</w:t>
      </w:r>
      <w:r>
        <w:t xml:space="preserve">Wickham H, Averick M, Bryan J, Chang W, McGowan LD, François R, et al. Welcome to the</w:t>
      </w:r>
      <w:r>
        <w:t xml:space="preserve"> </w:t>
      </w:r>
      <w:r>
        <w:t xml:space="preserve">tidyverse</w:t>
      </w:r>
      <w:r>
        <w:t xml:space="preserve">. Journal of Open Source Software 2019;4:1686. doi:</w:t>
      </w:r>
      <w:hyperlink r:id="rId50">
        <w:r>
          <w:rPr>
            <w:rStyle w:val="Hyperlink"/>
          </w:rPr>
          <w:t xml:space="preserve">10.21105/joss.01686</w:t>
        </w:r>
      </w:hyperlink>
      <w:r>
        <w:t xml:space="preserve">.</w:t>
      </w:r>
    </w:p>
    <w:bookmarkEnd w:id="51"/>
    <w:bookmarkStart w:id="53" w:name="ref-cite_table.glue"/>
    <w:p>
      <w:pPr>
        <w:pStyle w:val="Bibliography"/>
      </w:pPr>
      <w:r>
        <w:t xml:space="preserve">12.</w:t>
      </w:r>
      <w:r>
        <w:t xml:space="preserve"> </w:t>
      </w:r>
      <w:r>
        <w:t xml:space="preserve">	</w:t>
      </w:r>
      <w:r>
        <w:t xml:space="preserve">Jaeger B.</w:t>
      </w:r>
      <w:r>
        <w:t xml:space="preserve"> </w:t>
      </w:r>
      <w:r>
        <w:t xml:space="preserve">table.glue</w:t>
      </w:r>
      <w:r>
        <w:t xml:space="preserve">: Make and apply customized rounding specifications for tables. 2020. doi:</w:t>
      </w:r>
      <w:hyperlink r:id="rId52">
        <w:r>
          <w:rPr>
            <w:rStyle w:val="Hyperlink"/>
          </w:rPr>
          <w:t xml:space="preserve">10.5281/zenodo.4107159</w:t>
        </w:r>
      </w:hyperlink>
      <w:r>
        <w:t xml:space="preserve">.</w:t>
      </w:r>
    </w:p>
    <w:bookmarkEnd w:id="53"/>
    <w:bookmarkStart w:id="54" w:name="ref-colantonio20182017"/>
    <w:p>
      <w:pPr>
        <w:pStyle w:val="Bibliography"/>
      </w:pPr>
      <w:r>
        <w:t xml:space="preserve">13.</w:t>
      </w:r>
      <w:r>
        <w:t xml:space="preserve"> </w:t>
      </w:r>
      <w:r>
        <w:t xml:space="preserve">	</w:t>
      </w:r>
      <w:r>
        <w:t xml:space="preserve">Colantonio LD, Booth JN, Bress AP, Whelton PK, Shimbo D, Levitan EB, et al. 2017</w:t>
      </w:r>
      <w:r>
        <w:t xml:space="preserve"> </w:t>
      </w:r>
      <w:r>
        <w:t xml:space="preserve">American</w:t>
      </w:r>
      <w:r>
        <w:t xml:space="preserve"> </w:t>
      </w:r>
      <w:r>
        <w:t xml:space="preserve">college of cardiology/</w:t>
      </w:r>
      <w:r>
        <w:t xml:space="preserve">American</w:t>
      </w:r>
      <w:r>
        <w:t xml:space="preserve"> </w:t>
      </w:r>
      <w:r>
        <w:t xml:space="preserve">heart association blood pressure treatment guideline recommendations and cardiovascular risk. Journal of the</w:t>
      </w:r>
      <w:r>
        <w:t xml:space="preserve"> </w:t>
      </w:r>
      <w:r>
        <w:t xml:space="preserve">American</w:t>
      </w:r>
      <w:r>
        <w:t xml:space="preserve"> </w:t>
      </w:r>
      <w:r>
        <w:t xml:space="preserve">College of Cardiology 2018;72:1187–1197.</w:t>
      </w:r>
    </w:p>
    <w:bookmarkEnd w:id="54"/>
    <w:bookmarkStart w:id="55" w:name="ref-jaeger2019cardiovascular"/>
    <w:p>
      <w:pPr>
        <w:pStyle w:val="Bibliography"/>
      </w:pPr>
      <w:r>
        <w:t xml:space="preserve">14.</w:t>
      </w:r>
      <w:r>
        <w:t xml:space="preserve"> </w:t>
      </w:r>
      <w:r>
        <w:t xml:space="preserve">	</w:t>
      </w:r>
      <w:r>
        <w:t xml:space="preserve">Jaeger BC, Anstey DE, Bress AP, Booth III JN, Butler M, Clark III D, et al. Cardiovascular disease and mortality in adults aged ≥60 years according to recommendations by the</w:t>
      </w:r>
      <w:r>
        <w:t xml:space="preserve"> </w:t>
      </w:r>
      <w:r>
        <w:t xml:space="preserve">American</w:t>
      </w:r>
      <w:r>
        <w:t xml:space="preserve"> </w:t>
      </w:r>
      <w:r>
        <w:t xml:space="preserve">college of cardiology/</w:t>
      </w:r>
      <w:r>
        <w:t xml:space="preserve">American</w:t>
      </w:r>
      <w:r>
        <w:t xml:space="preserve"> </w:t>
      </w:r>
      <w:r>
        <w:t xml:space="preserve">heart association and</w:t>
      </w:r>
      <w:r>
        <w:t xml:space="preserve"> </w:t>
      </w:r>
      <w:r>
        <w:t xml:space="preserve">American</w:t>
      </w:r>
      <w:r>
        <w:t xml:space="preserve"> </w:t>
      </w:r>
      <w:r>
        <w:t xml:space="preserve">college of physicians/</w:t>
      </w:r>
      <w:r>
        <w:t xml:space="preserve">American</w:t>
      </w:r>
      <w:r>
        <w:t xml:space="preserve"> </w:t>
      </w:r>
      <w:r>
        <w:t xml:space="preserve">academy of family physicians. Hypertension 2019;73:327–334.</w:t>
      </w:r>
    </w:p>
    <w:bookmarkEnd w:id="55"/>
    <w:bookmarkStart w:id="56" w:name="ref-herrett2019eligibility"/>
    <w:p>
      <w:pPr>
        <w:pStyle w:val="Bibliography"/>
      </w:pPr>
      <w:r>
        <w:t xml:space="preserve">15.</w:t>
      </w:r>
      <w:r>
        <w:t xml:space="preserve"> </w:t>
      </w:r>
      <w:r>
        <w:t xml:space="preserve">	</w:t>
      </w:r>
      <w:r>
        <w:t xml:space="preserve">Herrett E, Gadd S, Jackson R, Bhaskaran K, Williamson E, Staa T van, et al. Eligibility and subsequent burden of cardiovascular disease of four strategies for blood pressure-lowering treatment: A retrospective cohort study. The Lancet 2019;394:663–671.</w:t>
      </w:r>
    </w:p>
    <w:bookmarkEnd w:id="56"/>
    <w:bookmarkStart w:id="57" w:name="ref-schrier2002effects"/>
    <w:p>
      <w:pPr>
        <w:pStyle w:val="Bibliography"/>
      </w:pPr>
      <w:r>
        <w:t xml:space="preserve">16.</w:t>
      </w:r>
      <w:r>
        <w:t xml:space="preserve"> </w:t>
      </w:r>
      <w:r>
        <w:t xml:space="preserve">	</w:t>
      </w:r>
      <w:r>
        <w:t xml:space="preserve">Schrier RW, Estacio RO, Esler A, Mehler P. Effects of aggressive blood pressure control in normotensive type 2 diabetic patients on albuminuria, retinopathy and strokes. Kidney International 2002;61:1086–1097.</w:t>
      </w:r>
    </w:p>
    <w:bookmarkEnd w:id="57"/>
    <w:bookmarkStart w:id="58" w:name="ref-cheung2017effects"/>
    <w:p>
      <w:pPr>
        <w:pStyle w:val="Bibliography"/>
      </w:pPr>
      <w:r>
        <w:t xml:space="preserve">17.</w:t>
      </w:r>
      <w:r>
        <w:t xml:space="preserve"> </w:t>
      </w:r>
      <w:r>
        <w:t xml:space="preserve">	</w:t>
      </w:r>
      <w:r>
        <w:t xml:space="preserve">Cheung AK, Rahman M, Reboussin DM, Craven TE, Greene T, Kimmel PL, et al. Effects of intensive blood pressure control in chronic kidney disease. Journal of the American Society of Nephrology 2017;28:2812–2823.</w:t>
      </w:r>
    </w:p>
    <w:bookmarkEnd w:id="58"/>
    <w:bookmarkStart w:id="59" w:name="ref-sprint2015randomized"/>
    <w:p>
      <w:pPr>
        <w:pStyle w:val="Bibliography"/>
      </w:pPr>
      <w:r>
        <w:t xml:space="preserve">18.</w:t>
      </w:r>
      <w:r>
        <w:t xml:space="preserve"> </w:t>
      </w:r>
      <w:r>
        <w:t xml:space="preserve">	</w:t>
      </w:r>
      <w:r>
        <w:t xml:space="preserve">SPRINT Research Group. A randomized trial of intensive versus standard blood-pressure control. New England Journal of Medicine 2015;373:2103–2116.</w:t>
      </w:r>
    </w:p>
    <w:bookmarkEnd w:id="59"/>
    <w:bookmarkStart w:id="60" w:name="ref-ettehad2016blood"/>
    <w:p>
      <w:pPr>
        <w:pStyle w:val="Bibliography"/>
      </w:pPr>
      <w:r>
        <w:t xml:space="preserve">19.</w:t>
      </w:r>
      <w:r>
        <w:t xml:space="preserve"> </w:t>
      </w:r>
      <w:r>
        <w:t xml:space="preserve">	</w:t>
      </w:r>
      <w:r>
        <w:t xml:space="preserve">Ettehad D, Emdin CA, Kiran A, Anderson SG, Callender T, Emberson J, et al. Blood pressure lowering for prevention of cardiovascular disease and death: A systematic review and meta-analysis. The Lancet 2016;387:957–967.</w:t>
      </w:r>
    </w:p>
    <w:bookmarkEnd w:id="60"/>
    <w:bookmarkStart w:id="61" w:name="ref-bundy2017systolic"/>
    <w:p>
      <w:pPr>
        <w:pStyle w:val="Bibliography"/>
      </w:pPr>
      <w:r>
        <w:t xml:space="preserve">20.</w:t>
      </w:r>
      <w:r>
        <w:t xml:space="preserve"> </w:t>
      </w:r>
      <w:r>
        <w:t xml:space="preserve">	</w:t>
      </w:r>
      <w:r>
        <w:t xml:space="preserve">Bundy JD, Li C, Stuchlik P, Bu X, Kelly TN, Mills KT, et al. Systolic blood pressure reduction and risk of cardiovascular disease and mortality: A systematic review and network meta-analysis. JAMA Cardiology 2017;2:775–781.</w:t>
      </w:r>
    </w:p>
    <w:bookmarkEnd w:id="61"/>
    <w:bookmarkStart w:id="62" w:name="ref-reboussin2018systematic"/>
    <w:p>
      <w:pPr>
        <w:pStyle w:val="Bibliography"/>
      </w:pPr>
      <w:r>
        <w:t xml:space="preserve">21.</w:t>
      </w:r>
      <w:r>
        <w:t xml:space="preserve"> </w:t>
      </w:r>
      <w:r>
        <w:t xml:space="preserve">	</w:t>
      </w:r>
      <w:r>
        <w:t xml:space="preserve">Reboussin DM, Allen NB, Griswold ME, Guallar E, Hong Y, Lackland DT, et al. Systematic review for the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 Journal of the</w:t>
      </w:r>
      <w:r>
        <w:t xml:space="preserve"> </w:t>
      </w:r>
      <w:r>
        <w:t xml:space="preserve">American</w:t>
      </w:r>
      <w:r>
        <w:t xml:space="preserve"> </w:t>
      </w:r>
      <w:r>
        <w:t xml:space="preserve">College of Cardiology 2018;71:2176–2198.</w:t>
      </w:r>
    </w:p>
    <w:bookmarkEnd w:id="62"/>
    <w:bookmarkStart w:id="63" w:name="ref-coresh2004evidence"/>
    <w:p>
      <w:pPr>
        <w:pStyle w:val="Bibliography"/>
      </w:pPr>
      <w:r>
        <w:t xml:space="preserve">22.</w:t>
      </w:r>
      <w:r>
        <w:t xml:space="preserve"> </w:t>
      </w:r>
      <w:r>
        <w:t xml:space="preserve">	</w:t>
      </w:r>
      <w:r>
        <w:t xml:space="preserve">Coresh J, Astor B, Sarnak MJ. Evidence for increased cardiovascular disease risk in patients with chronic kidney disease. Current Opinion in Nephrology and Hypertension 2004;13:73–81.</w:t>
      </w:r>
    </w:p>
    <w:bookmarkEnd w:id="63"/>
    <w:bookmarkStart w:id="64" w:name="ref-chronic2010association"/>
    <w:p>
      <w:pPr>
        <w:pStyle w:val="Bibliography"/>
      </w:pPr>
      <w:r>
        <w:t xml:space="preserve">23.</w:t>
      </w:r>
      <w:r>
        <w:t xml:space="preserve"> </w:t>
      </w:r>
      <w:r>
        <w:t xml:space="preserve">	</w:t>
      </w:r>
      <w:r>
        <w:t xml:space="preserve">Chronic Kidney Disease Prognosis Consortium and others. Association of estimated glomerular filtration rate and albuminuria with all-cause and cardiovascular mortality in general population cohorts: A collaborative meta-analysis. The Lancet 2010;375:2073–2081.</w:t>
      </w:r>
    </w:p>
    <w:bookmarkEnd w:id="64"/>
    <w:bookmarkStart w:id="65" w:name="ref-grundy1999diabetes"/>
    <w:p>
      <w:pPr>
        <w:pStyle w:val="Bibliography"/>
      </w:pPr>
      <w:r>
        <w:t xml:space="preserve">24.</w:t>
      </w:r>
      <w:r>
        <w:t xml:space="preserve"> </w:t>
      </w:r>
      <w:r>
        <w:t xml:space="preserve">	</w:t>
      </w:r>
      <w:r>
        <w:t xml:space="preserve">Grundy SM, Benjamin IJ, Burke GL, Chait A, Eckel RH, Howard BV, et al. Diabetes and cardiovascular disease: A statement for healthcare professionals from the</w:t>
      </w:r>
      <w:r>
        <w:t xml:space="preserve"> </w:t>
      </w:r>
      <w:r>
        <w:t xml:space="preserve">American</w:t>
      </w:r>
      <w:r>
        <w:t xml:space="preserve"> </w:t>
      </w:r>
      <w:r>
        <w:t xml:space="preserve">heart association. Circulation 1999;100:1134–1146.</w:t>
      </w:r>
    </w:p>
    <w:bookmarkEnd w:id="65"/>
    <w:bookmarkStart w:id="66" w:name="ref-lakatta2002age"/>
    <w:p>
      <w:pPr>
        <w:pStyle w:val="Bibliography"/>
      </w:pPr>
      <w:r>
        <w:t xml:space="preserve">25.</w:t>
      </w:r>
      <w:r>
        <w:t xml:space="preserve"> </w:t>
      </w:r>
      <w:r>
        <w:t xml:space="preserve">	</w:t>
      </w:r>
      <w:r>
        <w:t xml:space="preserve">Lakatta EG. Age-associated cardiovascular changes in health: Impact on cardiovascular disease in older persons. Heart Failure Reviews 2002;7:29–49.</w:t>
      </w:r>
    </w:p>
    <w:bookmarkEnd w:id="66"/>
    <w:bookmarkStart w:id="67" w:name="ref-lloyd2006prediction"/>
    <w:p>
      <w:pPr>
        <w:pStyle w:val="Bibliography"/>
      </w:pPr>
      <w:r>
        <w:t xml:space="preserve">26.</w:t>
      </w:r>
      <w:r>
        <w:t xml:space="preserve"> </w:t>
      </w:r>
      <w:r>
        <w:t xml:space="preserve">	</w:t>
      </w:r>
      <w:r>
        <w:t xml:space="preserve">Lloyd-Jones DM, Leip EP, Larson MG, d’Agostino RB, Beiser A, Wilson P, et al. Prediction of lifetime risk for cardiovascular disease by risk factor burden at 50 years of age. Circulation 2006;113:791–798.</w:t>
      </w:r>
    </w:p>
    <w:bookmarkEnd w:id="67"/>
    <w:bookmarkStart w:id="68" w:name="ref-hippisley2010derivation"/>
    <w:p>
      <w:pPr>
        <w:pStyle w:val="Bibliography"/>
      </w:pPr>
      <w:r>
        <w:t xml:space="preserve">27.</w:t>
      </w:r>
      <w:r>
        <w:t xml:space="preserve"> </w:t>
      </w:r>
      <w:r>
        <w:t xml:space="preserve">	</w:t>
      </w:r>
      <w:r>
        <w:t xml:space="preserve">Hippisley-Cox J, Coupland C, Robson J, Brindle P. Derivation, validation, and evaluation of a new</w:t>
      </w:r>
      <w:r>
        <w:t xml:space="preserve"> </w:t>
      </w:r>
      <w:r>
        <w:t xml:space="preserve">QRISK</w:t>
      </w:r>
      <w:r>
        <w:t xml:space="preserve"> </w:t>
      </w:r>
      <w:r>
        <w:t xml:space="preserve">model to estimate lifetime risk of cardiovascular disease: Cohort study using</w:t>
      </w:r>
      <w:r>
        <w:t xml:space="preserve"> </w:t>
      </w:r>
      <w:r>
        <w:t xml:space="preserve">QResearch</w:t>
      </w:r>
      <w:r>
        <w:t xml:space="preserve"> </w:t>
      </w:r>
      <w:r>
        <w:t xml:space="preserve">database. BMJ 2010;341.</w:t>
      </w:r>
    </w:p>
    <w:bookmarkEnd w:id="68"/>
    <w:bookmarkStart w:id="69" w:name="ref-allen2014blood"/>
    <w:p>
      <w:pPr>
        <w:pStyle w:val="Bibliography"/>
      </w:pPr>
      <w:r>
        <w:t xml:space="preserve">28.</w:t>
      </w:r>
      <w:r>
        <w:t xml:space="preserve"> </w:t>
      </w:r>
      <w:r>
        <w:t xml:space="preserve">	</w:t>
      </w:r>
      <w:r>
        <w:t xml:space="preserve">Allen NB, Siddique J, Wilkins JT, Shay C, Lewis CE, Goff DC, et al. Blood pressure trajectories in early adulthood and subclinical atherosclerosis in middle age. Jama 2014;311:490–497.</w:t>
      </w:r>
    </w:p>
    <w:bookmarkEnd w:id="69"/>
    <w:bookmarkEnd w:id="70"/>
    <w:bookmarkEnd w:id="71"/>
    <w:sectPr w:rsidR="006A1D06" w:rsidRPr="0023695B" w:rsidSect="00DC6D90">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lnNumType w:countBy="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103534"/>
      <w:docPartObj>
        <w:docPartGallery w:val="Page Numbers (Bottom of Page)"/>
        <w:docPartUnique/>
      </w:docPartObj>
    </w:sdtPr>
    <w:sdtEndPr>
      <w:rPr>
        <w:noProof/>
      </w:rPr>
    </w:sdtEndPr>
    <w:sdtContent>
      <w:p w:rsidR="00DC6D90" w:rsidRDefault="00DC6D90">
        <w:pPr>
          <w:pStyle w:val="Footer"/>
        </w:pPr>
        <w:r>
          <w:fldChar w:fldCharType="begin"/>
        </w:r>
        <w:r>
          <w:instrText xml:space="preserve"> PAGE   \* MERGEFORMAT </w:instrText>
        </w:r>
        <w:r>
          <w:fldChar w:fldCharType="separate"/>
        </w:r>
        <w:r>
          <w:rPr>
            <w:noProof/>
          </w:rPr>
          <w:t>2</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LineNumber">
    <w:name w:val="line number"/>
    <w:basedOn w:val="DefaultParagraphFont"/>
    <w:semiHidden/>
    <w:unhideWhenUsed/>
    <w:rsid w:val="0061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0" Type="http://schemas.openxmlformats.org/officeDocument/2006/relationships/hyperlink" Target="https://doi.org/10.21105/joss.01686" TargetMode="External"/>
<Relationship Id="rId52" Type="http://schemas.openxmlformats.org/officeDocument/2006/relationships/hyperlink" Target="https://doi.org/10.5281/zenodo.4107159" TargetMode="External"/>
<Relationship Id="rId26" Type="http://schemas.openxmlformats.org/officeDocument/2006/relationships/hyperlink" Target="https://github.com/bcjaeger/ACC-AHA-BP-guideline-groups" TargetMode="External"/>
<Relationship Id="rId41" Type="http://schemas.openxmlformats.org/officeDocument/2006/relationships/hyperlink" Target="https://www.cdc.gov/nchs/nhanes/index.htm" TargetMode="External"/>
<Relationship Id="rId43" Type="http://schemas.openxmlformats.org/officeDocument/2006/relationships/hyperlink" Target="https://wwwn.cdc.gov/nchs/nhanes/tutorials/module3.aspx" TargetMode="External"/>
<Relationship Id="rId53" Type="http://schemas.openxmlformats.org/officeDocument/2006/relationships/image" Target="media/file69444b0f5582.png"/>
<Relationship Id="rId54" Type="http://schemas.openxmlformats.org/officeDocument/2006/relationships/image" Target="media/file6944ed359cd.png"/>
<Relationship Id="rId55" Type="http://schemas.openxmlformats.org/officeDocument/2006/relationships/image" Target="media/file694432437dae.png"/>
<Relationship Id="rId56" Type="http://schemas.openxmlformats.org/officeDocument/2006/relationships/image" Target="media/file6944457a5043.png"/>
<Relationship Id="rId57" Type="http://schemas.openxmlformats.org/officeDocument/2006/relationships/image" Target="media/file6944237830e0.png"/>
</Relationships>

</file>

<file path=word/_rels/footnotes.xml.rels><?xml version="1.0" encoding="UTF-8" standalone="yes"?>

<Relationships  xmlns="http://schemas.openxmlformats.org/package/2006/relationships">
<Relationship Id="rId50" Type="http://schemas.openxmlformats.org/officeDocument/2006/relationships/hyperlink" Target="https://doi.org/10.21105/joss.01686" TargetMode="External"/>
<Relationship Id="rId52" Type="http://schemas.openxmlformats.org/officeDocument/2006/relationships/hyperlink" Target="https://doi.org/10.5281/zenodo.4107159" TargetMode="External"/>
<Relationship Id="rId26" Type="http://schemas.openxmlformats.org/officeDocument/2006/relationships/hyperlink" Target="https://github.com/bcjaeger/ACC-AHA-BP-guideline-groups" TargetMode="External"/>
<Relationship Id="rId41" Type="http://schemas.openxmlformats.org/officeDocument/2006/relationships/hyperlink" Target="https://www.cdc.gov/nchs/nhanes/index.htm" TargetMode="External"/>
<Relationship Id="rId43"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 65 years of age overall and with stage 1 hypertension</dc:title>
  <dc:creator/>
  <cp:keywords/>
  <dcterms:created xsi:type="dcterms:W3CDTF">2021-04-15T13:54:01Z</dcterms:created>
  <dcterms:modified xsi:type="dcterms:W3CDTF">2021-04-15T08:54:01Z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ccqo.csl</vt:lpwstr>
  </property>
  <property fmtid="{D5CDD505-2E9C-101B-9397-08002B2CF9AE}" pid="5" name="output">
    <vt:lpwstr/>
  </property>
</Properties>
</file>