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BC" w:rsidRPr="008D6AB4" w:rsidRDefault="00ED6C82">
      <w:pPr>
        <w:pStyle w:val="Title"/>
      </w:pPr>
      <w:r w:rsidRPr="008D6AB4">
        <w:t>Predicted cardiovascular risk for US adults with diabetes, chronic kidney disease, and ≥65 years of age</w:t>
      </w:r>
    </w:p>
    <w:p w:rsidR="004C03BC" w:rsidRPr="008D6AB4" w:rsidRDefault="004C03BC">
      <w:pPr>
        <w:pStyle w:val="FirstParagraph"/>
      </w:pPr>
    </w:p>
    <w:p w:rsidR="004C03BC" w:rsidRPr="008D6AB4" w:rsidRDefault="00ED6C82">
      <w:pPr>
        <w:pStyle w:val="BodyText"/>
      </w:pPr>
      <w:r w:rsidRPr="008D6AB4">
        <w:t>Byron C. Jaeger, PhD</w:t>
      </w:r>
      <w:r w:rsidRPr="008D6AB4">
        <w:rPr>
          <w:vertAlign w:val="superscript"/>
        </w:rPr>
        <w:t>1</w:t>
      </w:r>
      <w:r w:rsidRPr="008D6AB4">
        <w:t>, Swati Sakhuja, MPH</w:t>
      </w:r>
      <w:r w:rsidRPr="008D6AB4">
        <w:rPr>
          <w:vertAlign w:val="superscript"/>
        </w:rPr>
        <w:t>2</w:t>
      </w:r>
      <w:r w:rsidRPr="008D6AB4">
        <w:t>, Shakia T. Hardy, PhD, MPH</w:t>
      </w:r>
      <w:r w:rsidRPr="008D6AB4">
        <w:rPr>
          <w:vertAlign w:val="superscript"/>
        </w:rPr>
        <w:t>2</w:t>
      </w:r>
      <w:r w:rsidRPr="008D6AB4">
        <w:t>, Oluwasegun P. Akinyelure, MD, MPH</w:t>
      </w:r>
      <w:r w:rsidRPr="008D6AB4">
        <w:rPr>
          <w:vertAlign w:val="superscript"/>
        </w:rPr>
        <w:t>2</w:t>
      </w:r>
      <w:r w:rsidRPr="008D6AB4">
        <w:t>, Joshua D. Bundy, PhD, MPH</w:t>
      </w:r>
      <w:r w:rsidRPr="008D6AB4">
        <w:rPr>
          <w:vertAlign w:val="superscript"/>
        </w:rPr>
        <w:t>3</w:t>
      </w:r>
      <w:r w:rsidRPr="008D6AB4">
        <w:t>, Paul Muntner, PhD</w:t>
      </w:r>
      <w:r w:rsidRPr="008D6AB4">
        <w:rPr>
          <w:vertAlign w:val="superscript"/>
        </w:rPr>
        <w:t>2</w:t>
      </w:r>
      <w:r w:rsidRPr="008D6AB4">
        <w:t>, and Paul K. Whelton, MD, MSc</w:t>
      </w:r>
      <w:r w:rsidRPr="008D6AB4">
        <w:rPr>
          <w:vertAlign w:val="superscript"/>
        </w:rPr>
        <w:t>3</w:t>
      </w:r>
    </w:p>
    <w:p w:rsidR="004C03BC" w:rsidRPr="008D6AB4" w:rsidRDefault="00ED6C82">
      <w:pPr>
        <w:pStyle w:val="Compact"/>
        <w:numPr>
          <w:ilvl w:val="0"/>
          <w:numId w:val="13"/>
        </w:numPr>
      </w:pPr>
      <w:r w:rsidRPr="008D6AB4">
        <w:t>Department of Biostatistics, University of Alabama at Birmingham</w:t>
      </w:r>
    </w:p>
    <w:p w:rsidR="004C03BC" w:rsidRPr="008D6AB4" w:rsidRDefault="00ED6C82">
      <w:pPr>
        <w:pStyle w:val="Compact"/>
        <w:numPr>
          <w:ilvl w:val="0"/>
          <w:numId w:val="13"/>
        </w:numPr>
      </w:pPr>
      <w:r w:rsidRPr="008D6AB4">
        <w:t>Department of Epidemiology, University of Alabama at Birmingham</w:t>
      </w:r>
    </w:p>
    <w:p w:rsidR="004C03BC" w:rsidRPr="008D6AB4" w:rsidRDefault="00ED6C82">
      <w:pPr>
        <w:pStyle w:val="Compact"/>
        <w:numPr>
          <w:ilvl w:val="0"/>
          <w:numId w:val="13"/>
        </w:numPr>
      </w:pPr>
      <w:r w:rsidRPr="008D6AB4">
        <w:t>Department of Epidemiology, Tulane University</w:t>
      </w:r>
    </w:p>
    <w:p w:rsidR="004C03BC" w:rsidRPr="008D6AB4" w:rsidRDefault="00ED6C82">
      <w:pPr>
        <w:pStyle w:val="FirstParagraph"/>
      </w:pPr>
      <w:r w:rsidRPr="008D6AB4">
        <w:rPr>
          <w:b/>
        </w:rPr>
        <w:t>Short title</w:t>
      </w:r>
      <w:r w:rsidRPr="008D6AB4">
        <w:t>: Cardiovascular risk for US adults</w:t>
      </w:r>
    </w:p>
    <w:p w:rsidR="004C03BC" w:rsidRPr="008D6AB4" w:rsidRDefault="00ED6C82">
      <w:pPr>
        <w:pStyle w:val="BodyText"/>
      </w:pPr>
      <w:r w:rsidRPr="008D6AB4">
        <w:rPr>
          <w:b/>
        </w:rPr>
        <w:t>Address for correspondence:</w:t>
      </w:r>
    </w:p>
    <w:p w:rsidR="004C03BC" w:rsidRPr="008D6AB4" w:rsidRDefault="00ED6C82">
      <w:pPr>
        <w:pStyle w:val="BodyText"/>
      </w:pPr>
      <w:r w:rsidRPr="008D6AB4">
        <w:t>Byron C. Jaeger University of Alabama at Birmingham 327M Ryals Public Health Building 1665 University Blvd Birmingham, Alabama 35294-0022</w:t>
      </w:r>
    </w:p>
    <w:p w:rsidR="004C03BC" w:rsidRPr="008D6AB4" w:rsidRDefault="00ED6C82">
      <w:pPr>
        <w:pStyle w:val="BodyText"/>
      </w:pPr>
      <w:r w:rsidRPr="008D6AB4">
        <w:rPr>
          <w:b/>
        </w:rPr>
        <w:t>Word count (including references, but not tables and legends)</w:t>
      </w:r>
      <w:r w:rsidRPr="008D6AB4">
        <w:t>: 3837</w:t>
      </w:r>
    </w:p>
    <w:p w:rsidR="004C03BC" w:rsidRPr="008D6AB4" w:rsidRDefault="00ED6C82">
      <w:pPr>
        <w:pStyle w:val="BodyText"/>
      </w:pPr>
      <w:r w:rsidRPr="008D6AB4">
        <w:rPr>
          <w:b/>
        </w:rPr>
        <w:t>number of tables</w:t>
      </w:r>
      <w:r w:rsidRPr="008D6AB4">
        <w:t>: 4 (3 main tables; 1 supplemental table)</w:t>
      </w:r>
    </w:p>
    <w:p w:rsidR="004C03BC" w:rsidRPr="008D6AB4" w:rsidRDefault="00ED6C82">
      <w:pPr>
        <w:pStyle w:val="BodyText"/>
      </w:pPr>
      <w:r w:rsidRPr="008D6AB4">
        <w:rPr>
          <w:b/>
        </w:rPr>
        <w:t>number of figures</w:t>
      </w:r>
      <w:r w:rsidRPr="008D6AB4">
        <w:t>: 5 (2 main figures, 3, supplemental figues)</w:t>
      </w:r>
    </w:p>
    <w:p w:rsidR="004C03BC" w:rsidRPr="008D6AB4" w:rsidRDefault="00ED6C82">
      <w:pPr>
        <w:pStyle w:val="BodyText"/>
      </w:pPr>
      <w:r w:rsidRPr="008D6AB4">
        <w:rPr>
          <w:b/>
        </w:rPr>
        <w:t>number of supplementary digital content files</w:t>
      </w:r>
      <w:r w:rsidRPr="008D6AB4">
        <w:t>: 0</w:t>
      </w:r>
    </w:p>
    <w:p w:rsidR="004C03BC" w:rsidRPr="008D6AB4" w:rsidRDefault="00ED6C82">
      <w:r w:rsidRPr="008D6AB4">
        <w:br w:type="page"/>
      </w:r>
    </w:p>
    <w:p w:rsidR="004C03BC" w:rsidRPr="008D6AB4" w:rsidRDefault="00ED6C82">
      <w:pPr>
        <w:pStyle w:val="BodyText"/>
      </w:pPr>
      <w:r w:rsidRPr="008D6AB4">
        <w:rPr>
          <w:b/>
        </w:rPr>
        <w:lastRenderedPageBreak/>
        <w:t>Sources of Funding:</w:t>
      </w:r>
    </w:p>
    <w:p w:rsidR="004C03BC" w:rsidRPr="008D6AB4" w:rsidRDefault="00ED6C82">
      <w:pPr>
        <w:pStyle w:val="BodyText"/>
      </w:pPr>
      <w:r w:rsidRPr="008D6AB4">
        <w:t>Drs Muntner and Jaeger receive support through grant R01HL144773 from the National Heart, Lung, and Blood Institute and grant 15SFRN2390002 from the American Heart Association.</w:t>
      </w:r>
    </w:p>
    <w:p w:rsidR="004C03BC" w:rsidRPr="008D6AB4" w:rsidRDefault="00ED6C82">
      <w:pPr>
        <w:pStyle w:val="BodyText"/>
      </w:pPr>
      <w:r w:rsidRPr="008D6AB4">
        <w:t>Dr. Hardy receives support through R01HL139716 from the National Heart, Lung, and Blood Institute.</w:t>
      </w:r>
    </w:p>
    <w:p w:rsidR="004C03BC" w:rsidRPr="008D6AB4" w:rsidRDefault="00ED6C82">
      <w:pPr>
        <w:pStyle w:val="BodyText"/>
      </w:pPr>
      <w:r w:rsidRPr="008D6AB4">
        <w:t>Dr. Bundy receives support through K12HD043451 from the Eunice Kennedy Shriver National Institute of Child Health and Human Development.</w:t>
      </w:r>
    </w:p>
    <w:p w:rsidR="004C03BC" w:rsidRPr="008D6AB4" w:rsidRDefault="00ED6C82">
      <w:pPr>
        <w:pStyle w:val="BodyText"/>
      </w:pPr>
      <w:r w:rsidRPr="008D6AB4">
        <w:t>Dr. Whelton receives support through a Centers of Research Excellence grant from the National Institute of General Medical Sciences, P20GM109036.</w:t>
      </w:r>
    </w:p>
    <w:p w:rsidR="004C03BC" w:rsidRPr="008D6AB4" w:rsidRDefault="00ED6C82">
      <w:pPr>
        <w:pStyle w:val="BodyText"/>
      </w:pPr>
      <w:r w:rsidRPr="008D6AB4">
        <w:rPr>
          <w:b/>
        </w:rPr>
        <w:t>Disclosures:</w:t>
      </w:r>
    </w:p>
    <w:p w:rsidR="004C03BC" w:rsidRPr="008D6AB4" w:rsidRDefault="00ED6C82">
      <w:pPr>
        <w:pStyle w:val="BodyText"/>
      </w:pPr>
      <w:r w:rsidRPr="008D6AB4">
        <w:t>BCJ has nothing to disclose. SS has nothing to disclose. STH has nothing to disclose. OPA has nothing to disclose. JDB has nothing to disclose. PM received grant funding and consulting fees from Amgen Inc., unrelated to the current manuscript. PKW has nothing to disclose.</w:t>
      </w:r>
    </w:p>
    <w:p w:rsidR="004C03BC" w:rsidRPr="008D6AB4" w:rsidRDefault="00ED6C82">
      <w:r w:rsidRPr="008D6AB4">
        <w:br w:type="page"/>
      </w:r>
    </w:p>
    <w:p w:rsidR="004C03BC" w:rsidRPr="008D6AB4" w:rsidRDefault="00ED6C82">
      <w:pPr>
        <w:pStyle w:val="Heading1"/>
      </w:pPr>
      <w:bookmarkStart w:id="0" w:name="abstract"/>
      <w:r w:rsidRPr="008D6AB4">
        <w:lastRenderedPageBreak/>
        <w:t>ABSTRACT</w:t>
      </w:r>
      <w:bookmarkEnd w:id="0"/>
    </w:p>
    <w:p w:rsidR="004C03BC" w:rsidRPr="008D6AB4" w:rsidRDefault="00ED6C82">
      <w:pPr>
        <w:pStyle w:val="FirstParagraph"/>
      </w:pPr>
      <w:r w:rsidRPr="008D6AB4">
        <w:rPr>
          <w:b/>
        </w:rPr>
        <w:t>Background:</w:t>
      </w:r>
      <w:r w:rsidRPr="008D6AB4">
        <w:t xml:space="preserve"> The 2017 American College of Cardiology/American Heart Association blood pressure (BP) guideline recommends using 10-year predicted atherosclerotic cardiovascular disease (ASCVD) risk to guide decisions to initiate antihypertensive medication.</w:t>
      </w:r>
    </w:p>
    <w:p w:rsidR="004C03BC" w:rsidRPr="008D6AB4" w:rsidRDefault="00ED6C82">
      <w:pPr>
        <w:pStyle w:val="BodyText"/>
      </w:pPr>
      <w:r w:rsidRPr="008D6AB4">
        <w:rPr>
          <w:b/>
        </w:rPr>
        <w:t>Methods:</w:t>
      </w:r>
      <w:r w:rsidRPr="008D6AB4">
        <w:t xml:space="preserve"> 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rsidR="004C03BC" w:rsidRPr="008D6AB4" w:rsidRDefault="00ED6C82">
      <w:pPr>
        <w:pStyle w:val="BodyText"/>
      </w:pPr>
      <w:r w:rsidRPr="008D6AB4">
        <w:rPr>
          <w:b/>
        </w:rPr>
        <w:t>Results:</w:t>
      </w:r>
      <w:r w:rsidRPr="008D6AB4">
        <w:t xml:space="preserve"> 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rsidR="004C03BC" w:rsidRPr="008D6AB4" w:rsidRDefault="00ED6C82">
      <w:pPr>
        <w:pStyle w:val="BodyText"/>
      </w:pPr>
      <w:r w:rsidRPr="008D6AB4">
        <w:rPr>
          <w:b/>
        </w:rPr>
        <w:t>Conclusions:</w:t>
      </w:r>
      <w:r w:rsidRPr="008D6AB4">
        <w:t xml:space="preserve"> Most US adults with diabetes, CKD, or age ≥65 years had high ASCVD risk. However, many with stage 1 hypertension did not.</w:t>
      </w:r>
    </w:p>
    <w:p w:rsidR="004C03BC" w:rsidRPr="008D6AB4" w:rsidRDefault="00ED6C82">
      <w:pPr>
        <w:pStyle w:val="BodyText"/>
      </w:pPr>
      <w:r w:rsidRPr="008D6AB4">
        <w:rPr>
          <w:b/>
        </w:rPr>
        <w:t>Key words</w:t>
      </w:r>
      <w:r w:rsidRPr="008D6AB4">
        <w:t xml:space="preserve">: Atherosclerotic cardiovascular disease, blood pressure, diabetes, chronic kidney disease, risk prediction </w:t>
      </w:r>
    </w:p>
    <w:p w:rsidR="004C03BC" w:rsidRPr="008D6AB4" w:rsidRDefault="00ED6C82">
      <w:pPr>
        <w:pStyle w:val="Heading1"/>
      </w:pPr>
      <w:bookmarkStart w:id="1" w:name="condensed-abstract"/>
      <w:r w:rsidRPr="008D6AB4">
        <w:lastRenderedPageBreak/>
        <w:t>CONDENSED ABSTRACT</w:t>
      </w:r>
      <w:bookmarkEnd w:id="1"/>
    </w:p>
    <w:p w:rsidR="004C03BC" w:rsidRPr="008D6AB4" w:rsidRDefault="00ED6C82">
      <w:pPr>
        <w:pStyle w:val="FirstParagraph"/>
      </w:pPr>
      <w:r w:rsidRPr="008D6AB4">
        <w:t>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sidR="004C03BC" w:rsidRPr="008D6AB4" w:rsidRDefault="00ED6C82">
      <w:r w:rsidRPr="008D6AB4">
        <w:br w:type="page"/>
      </w:r>
    </w:p>
    <w:p w:rsidR="004C03BC" w:rsidRPr="008D6AB4" w:rsidRDefault="00ED6C82">
      <w:pPr>
        <w:pStyle w:val="Heading1"/>
      </w:pPr>
      <w:bookmarkStart w:id="2" w:name="abbreviations"/>
      <w:r w:rsidRPr="008D6AB4">
        <w:lastRenderedPageBreak/>
        <w:t>ABBREVIATIONS</w:t>
      </w:r>
      <w:bookmarkEnd w:id="2"/>
    </w:p>
    <w:p w:rsidR="004C03BC" w:rsidRPr="008D6AB4" w:rsidRDefault="00ED6C82">
      <w:pPr>
        <w:pStyle w:val="FirstParagraph"/>
      </w:pPr>
      <w:r w:rsidRPr="008D6AB4">
        <w:t>CVD = cardiovascular disease</w:t>
      </w:r>
    </w:p>
    <w:p w:rsidR="004C03BC" w:rsidRPr="008D6AB4" w:rsidRDefault="00ED6C82">
      <w:pPr>
        <w:pStyle w:val="BodyText"/>
      </w:pPr>
      <w:r w:rsidRPr="008D6AB4">
        <w:t>ASCVD = atherosclerotic cardiovascular disease</w:t>
      </w:r>
    </w:p>
    <w:p w:rsidR="004C03BC" w:rsidRPr="008D6AB4" w:rsidRDefault="00ED6C82">
      <w:pPr>
        <w:pStyle w:val="BodyText"/>
      </w:pPr>
      <w:r w:rsidRPr="008D6AB4">
        <w:t>ACC/AHA = American College of Cardiology and the American Heart Association</w:t>
      </w:r>
    </w:p>
    <w:p w:rsidR="004C03BC" w:rsidRPr="008D6AB4" w:rsidRDefault="00ED6C82">
      <w:pPr>
        <w:pStyle w:val="BodyText"/>
      </w:pPr>
      <w:r w:rsidRPr="008D6AB4">
        <w:t>BP = blood pressure</w:t>
      </w:r>
    </w:p>
    <w:p w:rsidR="004C03BC" w:rsidRPr="008D6AB4" w:rsidRDefault="00ED6C82">
      <w:pPr>
        <w:pStyle w:val="BodyText"/>
      </w:pPr>
      <w:r w:rsidRPr="008D6AB4">
        <w:t>SBP = systolic blood pressure</w:t>
      </w:r>
    </w:p>
    <w:p w:rsidR="004C03BC" w:rsidRPr="008D6AB4" w:rsidRDefault="00ED6C82">
      <w:pPr>
        <w:pStyle w:val="BodyText"/>
      </w:pPr>
      <w:r w:rsidRPr="008D6AB4">
        <w:t>DBP = diastolic blood pressure</w:t>
      </w:r>
    </w:p>
    <w:p w:rsidR="004C03BC" w:rsidRPr="008D6AB4" w:rsidRDefault="00ED6C82">
      <w:pPr>
        <w:pStyle w:val="BodyText"/>
      </w:pPr>
      <w:r w:rsidRPr="008D6AB4">
        <w:t>CKD = chronic kidney disease</w:t>
      </w:r>
    </w:p>
    <w:p w:rsidR="004C03BC" w:rsidRPr="008D6AB4" w:rsidRDefault="00ED6C82">
      <w:pPr>
        <w:pStyle w:val="BodyText"/>
      </w:pPr>
      <w:r w:rsidRPr="008D6AB4">
        <w:t>NHANES = National Health and Nutrition Examination Survey</w:t>
      </w:r>
    </w:p>
    <w:p w:rsidR="004C03BC" w:rsidRPr="008D6AB4" w:rsidRDefault="00ED6C82">
      <w:pPr>
        <w:pStyle w:val="BodyText"/>
      </w:pPr>
      <w:r w:rsidRPr="008D6AB4">
        <w:t>CI = confidence interval</w:t>
      </w:r>
    </w:p>
    <w:p w:rsidR="004C03BC" w:rsidRPr="008D6AB4" w:rsidRDefault="00ED6C82">
      <w:r w:rsidRPr="008D6AB4">
        <w:br w:type="page"/>
      </w:r>
    </w:p>
    <w:p w:rsidR="004C03BC" w:rsidRPr="008D6AB4" w:rsidRDefault="00ED6C82">
      <w:pPr>
        <w:pStyle w:val="Heading1"/>
      </w:pPr>
      <w:bookmarkStart w:id="3" w:name="introduction"/>
      <w:r w:rsidRPr="008D6AB4">
        <w:lastRenderedPageBreak/>
        <w:t>INTRODUCTION</w:t>
      </w:r>
      <w:bookmarkEnd w:id="3"/>
    </w:p>
    <w:p w:rsidR="004C03BC" w:rsidRPr="008D6AB4" w:rsidRDefault="00ED6C82">
      <w:pPr>
        <w:pStyle w:val="FirstParagraph"/>
      </w:pPr>
      <w:r w:rsidRPr="008D6AB4">
        <w:t>In November 2017, the American College of Cardiology and the American Heart Association (ACC/AHA) published a guideline for the prevention, detection, evaluation, and management of high blood pressure (BP) in adults [1].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 [2].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 [1,3].</w:t>
      </w:r>
    </w:p>
    <w:p w:rsidR="004C03BC" w:rsidRPr="008D6AB4" w:rsidRDefault="004C03BC">
      <w:pPr>
        <w:pStyle w:val="BodyText"/>
      </w:pPr>
    </w:p>
    <w:p w:rsidR="004C03BC" w:rsidRPr="008D6AB4" w:rsidRDefault="00ED6C82">
      <w:pPr>
        <w:pStyle w:val="BodyText"/>
      </w:pPr>
      <w:r w:rsidRPr="008D6AB4">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w:t>
      </w:r>
      <w:r w:rsidRPr="008D6AB4">
        <w:lastRenderedPageBreak/>
        <w:t>1 hypertension. To accomplish this goal, we analyzed data from 3 cycles of the US US National Health and Nutrition Examination Survey (NHANES).</w:t>
      </w:r>
    </w:p>
    <w:p w:rsidR="004C03BC" w:rsidRPr="008D6AB4" w:rsidRDefault="004C03BC">
      <w:pPr>
        <w:pStyle w:val="BodyText"/>
      </w:pPr>
    </w:p>
    <w:p w:rsidR="004C03BC" w:rsidRPr="008D6AB4" w:rsidRDefault="00ED6C82">
      <w:pPr>
        <w:pStyle w:val="Heading1"/>
      </w:pPr>
      <w:bookmarkStart w:id="4" w:name="methods"/>
      <w:r w:rsidRPr="008D6AB4">
        <w:t>METHODS</w:t>
      </w:r>
      <w:bookmarkEnd w:id="4"/>
    </w:p>
    <w:p w:rsidR="004C03BC" w:rsidRPr="008D6AB4" w:rsidRDefault="00ED6C82">
      <w:pPr>
        <w:pStyle w:val="FirstParagraph"/>
      </w:pPr>
      <w:r w:rsidRPr="008D6AB4">
        <w:t>NHANES was designed to assess the health and nutritional status of the non-institutionalized US population and was conducted by the National Center for Health Statistics of the Centers for Disease Control and Prevention [4].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 [5]. Written informed consent was obtained from each participant. The University of Alabama at Birmingham Institutional Review Board considered the analysis of NHANES data to be exempt research.</w:t>
      </w:r>
    </w:p>
    <w:p w:rsidR="004C03BC" w:rsidRPr="008D6AB4" w:rsidRDefault="004C03BC">
      <w:pPr>
        <w:pStyle w:val="BodyText"/>
      </w:pPr>
    </w:p>
    <w:p w:rsidR="004C03BC" w:rsidRPr="008D6AB4" w:rsidRDefault="00ED6C82">
      <w:pPr>
        <w:pStyle w:val="BodyText"/>
      </w:pPr>
      <w:r w:rsidRPr="008D6AB4">
        <w:t>The current analysis was restricted to adults aged 40 to 79 years of age who completed the NHANES interview and examination (n = 9,937). Participants &lt; 40 or &gt; 79 years of age were not included because use of the Pooled Cohort risk equations is not recommended in these age ranges [2].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rsidR="004C03BC" w:rsidRPr="008D6AB4" w:rsidRDefault="004C03BC">
      <w:pPr>
        <w:pStyle w:val="BodyText"/>
      </w:pPr>
    </w:p>
    <w:p w:rsidR="004C03BC" w:rsidRPr="008D6AB4" w:rsidRDefault="00ED6C82">
      <w:pPr>
        <w:pStyle w:val="Heading2"/>
      </w:pPr>
      <w:bookmarkStart w:id="5" w:name="data-collection"/>
      <w:r w:rsidRPr="008D6AB4">
        <w:lastRenderedPageBreak/>
        <w:t>Data collection</w:t>
      </w:r>
      <w:bookmarkEnd w:id="5"/>
    </w:p>
    <w:p w:rsidR="004C03BC" w:rsidRPr="008D6AB4" w:rsidRDefault="00ED6C82">
      <w:pPr>
        <w:pStyle w:val="FirstParagraph"/>
      </w:pPr>
      <w:r w:rsidRPr="008D6AB4">
        <w:t>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rsidR="004C03BC" w:rsidRPr="008D6AB4" w:rsidRDefault="004C03BC">
      <w:pPr>
        <w:pStyle w:val="BodyText"/>
      </w:pPr>
    </w:p>
    <w:p w:rsidR="004C03BC" w:rsidRPr="008D6AB4" w:rsidRDefault="00ED6C82">
      <w:pPr>
        <w:pStyle w:val="BodyText"/>
      </w:pPr>
      <w:r w:rsidRPr="008D6AB4">
        <w:t>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 [6,7]. Urinary albumin and creatinine levels were measured and used to calculate the albumin-to-creatinine ratio. CKD was defined by an estimated glomerular filtration rate &lt; 60 ml/min/1.73m</w:t>
      </w:r>
      <w:r w:rsidRPr="008D6AB4">
        <w:rPr>
          <w:vertAlign w:val="superscript"/>
        </w:rPr>
        <w:t>2</w:t>
      </w:r>
      <w:r w:rsidRPr="008D6AB4">
        <w:t xml:space="preserve"> or an albumin-to-creatinine ratio ≥ 30 mg/g. Ten-year predicted ASCVD risk was calculated using the Pooled Cohort risk equations for participants without clinical CVD [2,8]. High ASCVD risk was defined as having a 10-year predicted ASCVD risk ≥ 10% or clinical CVD.</w:t>
      </w:r>
    </w:p>
    <w:p w:rsidR="004C03BC" w:rsidRPr="008D6AB4" w:rsidRDefault="004C03BC">
      <w:pPr>
        <w:pStyle w:val="BodyText"/>
      </w:pPr>
    </w:p>
    <w:p w:rsidR="004C03BC" w:rsidRPr="008D6AB4" w:rsidRDefault="00ED6C82">
      <w:pPr>
        <w:pStyle w:val="Heading2"/>
      </w:pPr>
      <w:bookmarkStart w:id="6" w:name="blood-pressure-measurements"/>
      <w:r w:rsidRPr="008D6AB4">
        <w:lastRenderedPageBreak/>
        <w:t>Blood pressure measurements</w:t>
      </w:r>
      <w:bookmarkEnd w:id="6"/>
    </w:p>
    <w:p w:rsidR="004C03BC" w:rsidRPr="008D6AB4" w:rsidRDefault="00ED6C82">
      <w:pPr>
        <w:pStyle w:val="FirstParagraph"/>
      </w:pPr>
      <w:r w:rsidRPr="008D6AB4">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rsidR="004C03BC" w:rsidRPr="008D6AB4" w:rsidRDefault="004C03BC">
      <w:pPr>
        <w:pStyle w:val="BodyText"/>
      </w:pPr>
    </w:p>
    <w:p w:rsidR="004C03BC" w:rsidRPr="008D6AB4" w:rsidRDefault="00ED6C82">
      <w:pPr>
        <w:pStyle w:val="Heading2"/>
      </w:pPr>
      <w:bookmarkStart w:id="7" w:name="X424b0c13c393e019e8f72e8c08ad4cfe054fcde"/>
      <w:r w:rsidRPr="008D6AB4">
        <w:t>Blood pressure and antihypertensive medication use categories</w:t>
      </w:r>
      <w:bookmarkEnd w:id="7"/>
    </w:p>
    <w:p w:rsidR="004C03BC" w:rsidRPr="008D6AB4" w:rsidRDefault="00ED6C82">
      <w:pPr>
        <w:pStyle w:val="FirstParagraph"/>
      </w:pPr>
      <w:r w:rsidRPr="008D6AB4">
        <w:t>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rsidR="004C03BC" w:rsidRPr="008D6AB4" w:rsidRDefault="004C03BC">
      <w:pPr>
        <w:pStyle w:val="BodyText"/>
      </w:pPr>
    </w:p>
    <w:p w:rsidR="004C03BC" w:rsidRPr="008D6AB4" w:rsidRDefault="00ED6C82">
      <w:pPr>
        <w:pStyle w:val="Heading2"/>
      </w:pPr>
      <w:bookmarkStart w:id="8" w:name="statistical-analysis"/>
      <w:r w:rsidRPr="008D6AB4">
        <w:t>Statistical analysis</w:t>
      </w:r>
      <w:bookmarkEnd w:id="8"/>
    </w:p>
    <w:p w:rsidR="004C03BC" w:rsidRPr="008D6AB4" w:rsidRDefault="00ED6C82">
      <w:pPr>
        <w:pStyle w:val="FirstParagraph"/>
      </w:pPr>
      <w:r w:rsidRPr="008D6AB4">
        <w:t xml:space="preserve">Analyses were conducted for the overall population and among </w:t>
      </w:r>
      <w:r w:rsidRPr="008D6AB4">
        <w:rPr>
          <w:rFonts w:eastAsia="Times New Roman" w:cs="Times New Roman"/>
        </w:rPr>
        <w:t>non-exclusive subgroups of</w:t>
      </w:r>
      <w:r w:rsidRPr="008D6AB4">
        <w:t xml:space="preserve"> 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w:t>
      </w:r>
      <w:r w:rsidRPr="008D6AB4">
        <w:rPr>
          <w:rFonts w:eastAsia="Times New Roman" w:cs="Times New Roman"/>
        </w:rPr>
        <w:t xml:space="preserve">The percentage </w:t>
      </w:r>
      <w:r w:rsidRPr="008D6AB4">
        <w:rPr>
          <w:rFonts w:eastAsia="Times New Roman" w:cs="Times New Roman"/>
        </w:rPr>
        <w:lastRenderedPageBreak/>
        <w:t>of US adults with stage 1 hypertension incorrectly assumed to have high ASCVD risk by the ACC/AHA guideline due to diabetes, CKD, or age was also computed.</w:t>
      </w:r>
      <w:r w:rsidRPr="008D6AB4">
        <w:t xml:space="preserve"> The 25</w:t>
      </w:r>
      <w:r w:rsidRPr="008D6AB4">
        <w:rPr>
          <w:vertAlign w:val="superscript"/>
        </w:rPr>
        <w:t>th</w:t>
      </w:r>
      <w:r w:rsidRPr="008D6AB4">
        <w:t>, 50</w:t>
      </w:r>
      <w:r w:rsidRPr="008D6AB4">
        <w:rPr>
          <w:vertAlign w:val="superscript"/>
        </w:rPr>
        <w:t>th</w:t>
      </w:r>
      <w:r w:rsidRPr="008D6AB4">
        <w:t>, and 75</w:t>
      </w:r>
      <w:r w:rsidRPr="008D6AB4">
        <w:rPr>
          <w:vertAlign w:val="superscript"/>
        </w:rPr>
        <w:t>th</w:t>
      </w:r>
      <w:r w:rsidRPr="008D6AB4">
        <w:t xml:space="preserve"> 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rsidR="004C03BC" w:rsidRPr="008D6AB4" w:rsidRDefault="004C03BC">
      <w:pPr>
        <w:pStyle w:val="BodyText"/>
      </w:pPr>
    </w:p>
    <w:p w:rsidR="004C03BC" w:rsidRPr="008D6AB4" w:rsidRDefault="00ED6C82">
      <w:pPr>
        <w:pStyle w:val="BodyText"/>
      </w:pPr>
      <w:r w:rsidRPr="008D6AB4">
        <w:t>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 [9–12]. The first author’s GitHub repository (</w:t>
      </w:r>
      <w:hyperlink r:id="rId7">
        <w:r w:rsidRPr="008D6AB4">
          <w:rPr>
            <w:rStyle w:val="Hyperlink"/>
            <w:color w:val="auto"/>
          </w:rPr>
          <w:t>https://github.com/bcjaeger/ACC-AHA-BP-guideline-groups</w:t>
        </w:r>
      </w:hyperlink>
      <w:r w:rsidRPr="008D6AB4">
        <w:t>) provides code to reproduce the current study.</w:t>
      </w:r>
    </w:p>
    <w:p w:rsidR="004C03BC" w:rsidRPr="008D6AB4" w:rsidRDefault="004C03BC">
      <w:pPr>
        <w:pStyle w:val="BodyText"/>
      </w:pPr>
    </w:p>
    <w:p w:rsidR="004C03BC" w:rsidRPr="008D6AB4" w:rsidRDefault="00ED6C82">
      <w:pPr>
        <w:pStyle w:val="Heading1"/>
      </w:pPr>
      <w:bookmarkStart w:id="9" w:name="results"/>
      <w:r w:rsidRPr="008D6AB4">
        <w:lastRenderedPageBreak/>
        <w:t>RESULTS</w:t>
      </w:r>
      <w:bookmarkEnd w:id="9"/>
    </w:p>
    <w:p w:rsidR="004C03BC" w:rsidRPr="008D6AB4" w:rsidRDefault="00ED6C82">
      <w:pPr>
        <w:pStyle w:val="FirstParagraph"/>
      </w:pPr>
      <w:r w:rsidRPr="008D6AB4">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w:t>
      </w:r>
      <w:r w:rsidRPr="008D6AB4">
        <w:rPr>
          <w:rFonts w:eastAsia="Times New Roman" w:cs="Times New Roman"/>
        </w:rPr>
        <w:t>Among those without high ASCVD risk and with stage 1 hypertension, 17.8% were assumed to have high ASCVD risk by the ACC/AHA BP guideline.</w:t>
      </w:r>
      <w:r w:rsidRPr="008D6AB4">
        <w:t xml:space="preserve"> Characteristics of US adults 40 to 79 years of age with stage 1 hypertension, overall and for subgroups defined by diabetes, CKD and age ≥ 65 years, are presented in Table S1.</w:t>
      </w:r>
    </w:p>
    <w:p w:rsidR="004C03BC" w:rsidRPr="008D6AB4" w:rsidRDefault="004C03BC">
      <w:pPr>
        <w:pStyle w:val="BodyText"/>
      </w:pPr>
    </w:p>
    <w:p w:rsidR="004C03BC" w:rsidRPr="008D6AB4" w:rsidRDefault="00ED6C82">
      <w:pPr>
        <w:pStyle w:val="Heading2"/>
      </w:pPr>
      <w:bookmarkStart w:id="10" w:name="X37af8906aa566b6e38c336c4ef6cce19cf4b8bd"/>
      <w:r w:rsidRPr="008D6AB4">
        <w:t>Predicted 10-year atherosclerotic cardiovascular disease risk</w:t>
      </w:r>
      <w:bookmarkEnd w:id="10"/>
    </w:p>
    <w:p w:rsidR="004C03BC" w:rsidRPr="008D6AB4" w:rsidRDefault="00ED6C82">
      <w:pPr>
        <w:pStyle w:val="FirstParagraph"/>
      </w:pPr>
      <w:r w:rsidRPr="008D6AB4">
        <w:t>Among US adults aged 40 to 79 years without clinical CVD, the estimated median (25</w:t>
      </w:r>
      <w:r w:rsidRPr="008D6AB4">
        <w:rPr>
          <w:vertAlign w:val="superscript"/>
        </w:rPr>
        <w:t>th</w:t>
      </w:r>
      <w:r w:rsidRPr="008D6AB4">
        <w:t>, 75</w:t>
      </w:r>
      <w:r w:rsidRPr="008D6AB4">
        <w:rPr>
          <w:vertAlign w:val="superscript"/>
        </w:rPr>
        <w:t>th</w:t>
      </w:r>
      <w:r w:rsidRPr="008D6AB4">
        <w:t xml:space="preserve"> 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sidRPr="008D6AB4">
        <w:rPr>
          <w:vertAlign w:val="superscript"/>
        </w:rPr>
        <w:t>th</w:t>
      </w:r>
      <w:r w:rsidRPr="008D6AB4">
        <w:t>, 75</w:t>
      </w:r>
      <w:r w:rsidRPr="008D6AB4">
        <w:rPr>
          <w:vertAlign w:val="superscript"/>
        </w:rPr>
        <w:t>th</w:t>
      </w:r>
      <w:r w:rsidRPr="008D6AB4">
        <w:t xml:space="preserve"> percentiles) 10-year predicted ASCVD risk was 4.3% (1.9%, 8.5%) in the overall population and 8.9% (4.5%, 19.3%), 7.4% (2.8%, 12.2%), 13.7% (8.6%, 22.3%), and 9.8% </w:t>
      </w:r>
      <w:r w:rsidRPr="008D6AB4">
        <w:lastRenderedPageBreak/>
        <w:t>(5.3%, 16.5%) for those with diabetes, CKD, age ≥ 65 years, and any of these conditions, respectively.</w:t>
      </w:r>
    </w:p>
    <w:p w:rsidR="004C03BC" w:rsidRPr="008D6AB4" w:rsidRDefault="004C03BC">
      <w:pPr>
        <w:pStyle w:val="BodyText"/>
      </w:pPr>
    </w:p>
    <w:p w:rsidR="004C03BC" w:rsidRPr="008D6AB4" w:rsidRDefault="00ED6C82">
      <w:pPr>
        <w:pStyle w:val="BodyText"/>
      </w:pPr>
      <w:r w:rsidRPr="008D6AB4">
        <w:t>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rsidR="004C03BC" w:rsidRPr="008D6AB4" w:rsidRDefault="004C03BC">
      <w:pPr>
        <w:pStyle w:val="BodyText"/>
      </w:pPr>
    </w:p>
    <w:p w:rsidR="004C03BC" w:rsidRPr="008D6AB4" w:rsidRDefault="00ED6C82">
      <w:pPr>
        <w:pStyle w:val="BodyText"/>
      </w:pPr>
      <w:r w:rsidRPr="008D6AB4">
        <w:t>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rsidR="004C03BC" w:rsidRPr="008D6AB4" w:rsidRDefault="004C03BC">
      <w:pPr>
        <w:pStyle w:val="BodyText"/>
      </w:pPr>
    </w:p>
    <w:p w:rsidR="004C03BC" w:rsidRPr="008D6AB4" w:rsidRDefault="00ED6C82">
      <w:pPr>
        <w:pStyle w:val="Heading2"/>
      </w:pPr>
      <w:bookmarkStart w:id="11" w:name="X5b471c136df8c72590431469a53ea5cb0ae834f"/>
      <w:r w:rsidRPr="008D6AB4">
        <w:lastRenderedPageBreak/>
        <w:t>Age-specific probability of having high ASCVD risk</w:t>
      </w:r>
      <w:bookmarkEnd w:id="11"/>
    </w:p>
    <w:p w:rsidR="004C03BC" w:rsidRPr="008D6AB4" w:rsidRDefault="00ED6C82">
      <w:pPr>
        <w:pStyle w:val="FirstParagraph"/>
      </w:pPr>
      <w:r w:rsidRPr="008D6AB4">
        <w:t>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rsidR="004C03BC" w:rsidRPr="008D6AB4" w:rsidRDefault="004C03BC">
      <w:pPr>
        <w:pStyle w:val="BodyText"/>
      </w:pPr>
    </w:p>
    <w:p w:rsidR="004C03BC" w:rsidRPr="008D6AB4" w:rsidRDefault="00ED6C82">
      <w:pPr>
        <w:pStyle w:val="Heading1"/>
      </w:pPr>
      <w:bookmarkStart w:id="12" w:name="discussion"/>
      <w:r w:rsidRPr="008D6AB4">
        <w:t>DISCUSSION</w:t>
      </w:r>
      <w:bookmarkEnd w:id="12"/>
    </w:p>
    <w:p w:rsidR="004C03BC" w:rsidRPr="008D6AB4" w:rsidRDefault="00ED6C82">
      <w:pPr>
        <w:pStyle w:val="FirstParagraph"/>
      </w:pPr>
      <w:r w:rsidRPr="008D6AB4">
        <w:t>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rsidR="004C03BC" w:rsidRPr="008D6AB4" w:rsidRDefault="004C03BC">
      <w:pPr>
        <w:pStyle w:val="BodyText"/>
      </w:pPr>
    </w:p>
    <w:p w:rsidR="004C03BC" w:rsidRPr="008D6AB4" w:rsidRDefault="00ED6C82">
      <w:pPr>
        <w:pStyle w:val="BodyText"/>
      </w:pPr>
      <w:r w:rsidRPr="008D6AB4">
        <w:lastRenderedPageBreak/>
        <w:t>The current study estimates that about 15% of US adults aged 40 to 79 years have stage 1 hypertension. The 2017 ACC/AHA BP guideline recommends computing 10-year predicted ASCVD risk for all adults with hypertension who do not have clinical CVD [1].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rsidR="004C03BC" w:rsidRPr="008D6AB4" w:rsidRDefault="004C03BC">
      <w:pPr>
        <w:pStyle w:val="BodyText"/>
      </w:pPr>
    </w:p>
    <w:p w:rsidR="004C03BC" w:rsidRPr="008D6AB4" w:rsidRDefault="00ED6C82">
      <w:pPr>
        <w:pStyle w:val="BodyText"/>
      </w:pPr>
      <w:r w:rsidRPr="008D6AB4">
        <w:t xml:space="preserve">Previous studies have shown that the use of predicted ASCVD risk in addition to BP can direct antihypertensive medication to adults likely to receive the largest risk reduction benefit [13,14]. For example, in an analysis of the Reasons for Geographic and Racial Differences in Stroke study, those with stage 1 hypertension for whom initiation of antihypertensive medication </w:t>
      </w:r>
      <w:r w:rsidRPr="008D6AB4">
        <w:rPr>
          <w:b/>
        </w:rPr>
        <w:t>would have been</w:t>
      </w:r>
      <w:r w:rsidRPr="008D6AB4">
        <w:t xml:space="preserve"> recommended versus not recommended by the 2017 ACC/AHA BP guideline were roughly 6 times more likely to experience a CVD event over 8 years of follow-up [13].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rsidR="004C03BC" w:rsidRPr="008D6AB4" w:rsidRDefault="004C03BC">
      <w:pPr>
        <w:pStyle w:val="BodyText"/>
      </w:pPr>
    </w:p>
    <w:p w:rsidR="004C03BC" w:rsidRPr="008D6AB4" w:rsidRDefault="00ED6C82">
      <w:pPr>
        <w:pStyle w:val="BodyText"/>
      </w:pPr>
      <w:r w:rsidRPr="008D6AB4">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w:t>
      </w:r>
      <w:r w:rsidRPr="008D6AB4">
        <w:lastRenderedPageBreak/>
        <w:t>among participants with more intense BP treatment goals [16].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 [17]. In the overall population, those randomized to the lower SBP target experienced lower rates of incident fatal and nonfatal major CVD events as well as all-cause mortality [18].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 [18]. A systematic review and meta-analysis of 123 studies with 613,815 participants found strong support for lowering SBP to &lt; 130 mm Hg and providing antihypertensive medication to adults with diabetes, CKD, and various other comorbidities [19]. Benefits associated with a SBP treatment goal of &lt; 130 mm Hg have also been identified in several other meta-analyses [20,21]. Collectively, evidence from previous studies suggests that adults with hypertension and diabetes, CKD or ≥ 65 years of age may experience lower rates of CVD events by initiating antihypertensive medication with an SBP treatment goal of &lt; 130 mm Hg versus &lt; 140 mm Hg.</w:t>
      </w:r>
    </w:p>
    <w:p w:rsidR="004C03BC" w:rsidRPr="008D6AB4" w:rsidRDefault="004C03BC">
      <w:pPr>
        <w:pStyle w:val="BodyText"/>
      </w:pPr>
    </w:p>
    <w:p w:rsidR="004C03BC" w:rsidRPr="008D6AB4" w:rsidRDefault="00ED6C82">
      <w:pPr>
        <w:pStyle w:val="BodyText"/>
      </w:pPr>
      <w:r w:rsidRPr="008D6AB4">
        <w:t xml:space="preserve">It has been suggested that most adults with diabetes, CKD, or ≥ 65 years of age have a 10-year predicted ASCVD risk ≥ 10% [1]. Previous research has shown that diabetes, CKD, and older age are each associated with an increased risk for ASCVD events [22–25]. Although the current study suggests that a high proportion of US adults with stage 1 hypertension and diabetes or </w:t>
      </w:r>
      <w:r w:rsidRPr="008D6AB4">
        <w:lastRenderedPageBreak/>
        <w:t>CKD do not have a 10-year predicted ASCVD risk ≥ 10%, diabetes and CKD are associated with a high lifetime CVD risk [26,27].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 [28].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rsidR="004C03BC" w:rsidRPr="008D6AB4" w:rsidRDefault="004C03BC">
      <w:pPr>
        <w:pStyle w:val="BodyText"/>
      </w:pPr>
    </w:p>
    <w:p w:rsidR="004C03BC" w:rsidRPr="008D6AB4" w:rsidRDefault="00ED6C82">
      <w:pPr>
        <w:pStyle w:val="BodyText"/>
      </w:pPr>
      <w:r w:rsidRPr="008D6AB4">
        <w:rPr>
          <w:rFonts w:eastAsia="Times New Roman" w:cs="Times New Roman"/>
        </w:rPr>
        <w:t xml:space="preserve">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w:t>
      </w:r>
      <w:r w:rsidR="00530038" w:rsidRPr="008D6AB4">
        <w:rPr>
          <w:rFonts w:eastAsia="Times New Roman" w:cs="Times New Roman"/>
        </w:rPr>
        <w:t>30 mL/min/1.73 m</w:t>
      </w:r>
      <w:r w:rsidR="00530038" w:rsidRPr="008D6AB4">
        <w:rPr>
          <w:rFonts w:eastAsia="Times New Roman" w:cs="Times New Roman"/>
          <w:vertAlign w:val="superscript"/>
        </w:rPr>
        <w:t>2</w:t>
      </w:r>
      <w:r w:rsidRPr="008D6AB4">
        <w:rPr>
          <w:rFonts w:eastAsia="Times New Roman" w:cs="Times New Roman"/>
        </w:rPr>
        <w:t>), or diabetes with target organ damage are included in the very high CVD risk group. The current study found that many US adults wit</w:t>
      </w:r>
      <w:r w:rsidR="00530038" w:rsidRPr="008D6AB4">
        <w:rPr>
          <w:rFonts w:eastAsia="Times New Roman" w:cs="Times New Roman"/>
        </w:rPr>
        <w:t>h CKD (eGFR &lt;60 mL/min/1.73 m</w:t>
      </w:r>
      <w:r w:rsidR="00530038" w:rsidRPr="008D6AB4">
        <w:rPr>
          <w:rFonts w:eastAsia="Times New Roman" w:cs="Times New Roman"/>
          <w:vertAlign w:val="superscript"/>
        </w:rPr>
        <w:t>2</w:t>
      </w:r>
      <w:r w:rsidRPr="008D6AB4">
        <w:rPr>
          <w:rFonts w:eastAsia="Times New Roman" w:cs="Times New Roman"/>
        </w:rPr>
        <w:t xml:space="preserve"> 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w:t>
      </w:r>
      <w:r w:rsidRPr="008D6AB4">
        <w:rPr>
          <w:rFonts w:eastAsia="Times New Roman" w:cs="Times New Roman"/>
        </w:rPr>
        <w:lastRenderedPageBreak/>
        <w:t>clinical CVD or 10-year CVD mortality risk</w:t>
      </w:r>
      <w:r w:rsidRPr="008D6AB4">
        <w:t xml:space="preserve"> ≥ </w:t>
      </w:r>
      <w:r w:rsidRPr="008D6AB4">
        <w:rPr>
          <w:rFonts w:eastAsia="Times New Roman" w:cs="Times New Roman"/>
        </w:rPr>
        <w:t>10% according to the Systematic Coronary Risk Evaluation equations.</w:t>
      </w:r>
    </w:p>
    <w:p w:rsidR="004C03BC" w:rsidRPr="008D6AB4" w:rsidRDefault="004C03BC">
      <w:pPr>
        <w:pStyle w:val="BodyText"/>
      </w:pPr>
    </w:p>
    <w:p w:rsidR="004C03BC" w:rsidRPr="008D6AB4" w:rsidRDefault="00ED6C82">
      <w:pPr>
        <w:pStyle w:val="BodyText"/>
      </w:pPr>
      <w:r w:rsidRPr="008D6AB4">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w:t>
      </w:r>
      <w:r w:rsidRPr="008D6AB4">
        <w:rPr>
          <w:rFonts w:eastAsia="Times New Roman" w:cs="Times New Roman"/>
        </w:rPr>
        <w:t>Clinical CVD status may also have been mis-classified as it was determined by self-report rather than diagnostic imaging. The current analysis also did not account for target organ damage, which is a strong predictor of CVD risk.</w:t>
      </w:r>
      <w:r w:rsidRPr="008D6AB4">
        <w:t xml:space="preserve"> A total of 1,271 participants had stage 1 hypertension, and some subgroups of this population based on diabetes, CKD, and ≥ 65 years of age were small.</w:t>
      </w:r>
    </w:p>
    <w:p w:rsidR="004C03BC" w:rsidRPr="008D6AB4" w:rsidRDefault="004C03BC">
      <w:pPr>
        <w:pStyle w:val="BodyText"/>
      </w:pPr>
    </w:p>
    <w:p w:rsidR="004C03BC" w:rsidRPr="008D6AB4" w:rsidRDefault="00ED6C82">
      <w:pPr>
        <w:pStyle w:val="Heading1"/>
      </w:pPr>
      <w:bookmarkStart w:id="13" w:name="conclusions"/>
      <w:r w:rsidRPr="008D6AB4">
        <w:t>CONCLUSIONS</w:t>
      </w:r>
      <w:bookmarkEnd w:id="13"/>
    </w:p>
    <w:p w:rsidR="004C03BC" w:rsidRPr="008D6AB4" w:rsidRDefault="00ED6C82">
      <w:pPr>
        <w:pStyle w:val="FirstParagraph"/>
      </w:pPr>
      <w:r w:rsidRPr="008D6AB4">
        <w:t xml:space="preserve">While the majority of US adults with diabetes, CKD, or age ≥ 65 years had high ASCVD risk, many with stage 1 hypertension and diabetes or CKD did not. Results from the current study </w:t>
      </w:r>
      <w:r w:rsidRPr="008D6AB4">
        <w:lastRenderedPageBreak/>
        <w:t>support computing 10-year predicted ASCVD risk for all adults with hypertension, as recommended by the 2017 ACC/AHA BP guideline.</w:t>
      </w:r>
    </w:p>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Table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D6AB4" w:rsidRPr="008D6AB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Sub-groups</w:t>
            </w:r>
          </w:p>
        </w:tc>
      </w:tr>
      <w:tr w:rsidR="008D6AB4" w:rsidRPr="008D6AB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b/>
              </w:rPr>
              <w:t>Characteristic</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Overall </w:t>
            </w:r>
            <w:r w:rsidRPr="008D6AB4">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w:t>
            </w:r>
            <w:r w:rsidRPr="008D6AB4">
              <w:rPr>
                <w:rFonts w:eastAsia="Arial" w:hAnsi="Arial" w:cs="Arial"/>
                <w:b/>
              </w:rPr>
              <w:br/>
              <w:t>N = 2,000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CKD </w:t>
            </w:r>
            <w:r w:rsidRPr="008D6AB4">
              <w:rPr>
                <w:rFonts w:eastAsia="Arial" w:hAnsi="Arial" w:cs="Arial"/>
                <w:b/>
              </w:rPr>
              <w:br/>
              <w:t>N = 1,790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Age 65+ years </w:t>
            </w:r>
            <w:r w:rsidRPr="008D6AB4">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CKD, or age 65+ years </w:t>
            </w:r>
            <w:r w:rsidRPr="008D6AB4">
              <w:rPr>
                <w:rFonts w:eastAsia="Arial" w:hAnsi="Arial" w:cs="Arial"/>
                <w:b/>
              </w:rPr>
              <w:br/>
              <w:t>N = 4,252</w:t>
            </w:r>
          </w:p>
        </w:tc>
      </w:tr>
      <w:tr w:rsidR="008D6AB4" w:rsidRPr="008D6AB4">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64.0 (0.2)</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48.1</w:t>
            </w:r>
          </w:p>
        </w:tc>
      </w:tr>
      <w:tr w:rsidR="008D6AB4" w:rsidRPr="008D6AB4">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Race / ethnicity</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69.4</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10.6</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11.6</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191.4 (1.2)</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53.8 (0.5)</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72.0 (0.3)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130.7 (0.5)</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71.0 (0.3)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51.8</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40.9</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40.8</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60.4</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Clinical CVD</w:t>
            </w:r>
            <w:r w:rsidRPr="008D6AB4">
              <w:rPr>
                <w:rFonts w:eastAsia="Arial" w:hAnsi="Arial" w:cs="Arial"/>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w:t>
            </w:r>
            <w:bookmarkStart w:id="14" w:name="_GoBack"/>
            <w:bookmarkEnd w:id="14"/>
            <w:r w:rsidRPr="008D6AB4">
              <w:rPr>
                <w:rFonts w:eastAsia="Arial" w:hAnsi="Arial" w:cs="Arial"/>
              </w:rPr>
              <w:t>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18.9</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Table values are mean (standard error) or proportion.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Diabetes was defined by fasting serum glucose </w:t>
            </w:r>
            <w:r w:rsidRPr="008D6AB4">
              <w:rPr>
                <w:rFonts w:eastAsia="Arial" w:hAnsi="Arial" w:cs="Arial"/>
              </w:rPr>
              <w:t>≥</w:t>
            </w:r>
            <w:r w:rsidRPr="008D6AB4">
              <w:rPr>
                <w:rFonts w:eastAsia="Arial" w:hAnsi="Arial" w:cs="Arial"/>
              </w:rPr>
              <w:t xml:space="preserve"> 126 mg/dL, non-fasting glucose </w:t>
            </w:r>
            <w:r w:rsidRPr="008D6AB4">
              <w:rPr>
                <w:rFonts w:eastAsia="Arial" w:hAnsi="Arial" w:cs="Arial"/>
              </w:rPr>
              <w:t>≥</w:t>
            </w:r>
            <w:r w:rsidRPr="008D6AB4">
              <w:rPr>
                <w:rFonts w:eastAsia="Arial" w:hAnsi="Arial" w:cs="Arial"/>
              </w:rPr>
              <w:t xml:space="preserve"> 200 mg/dL, glycated hemoglobin (HbA1c) </w:t>
            </w:r>
            <w:r w:rsidRPr="008D6AB4">
              <w:rPr>
                <w:rFonts w:eastAsia="Arial" w:hAnsi="Arial" w:cs="Arial"/>
              </w:rPr>
              <w:t>≥</w:t>
            </w:r>
            <w:r w:rsidRPr="008D6AB4">
              <w:rPr>
                <w:rFonts w:eastAsia="Arial" w:hAnsi="Arial" w:cs="Arial"/>
              </w:rPr>
              <w:t xml:space="preserve"> 6.5%, or self-reported use of insulin or oral glucose lowering medication.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Chronic kidney disease is defined by an albumin-to-creatinine ratio </w:t>
            </w:r>
            <w:r w:rsidRPr="008D6AB4">
              <w:rPr>
                <w:rFonts w:eastAsia="Arial" w:hAnsi="Arial" w:cs="Arial"/>
              </w:rPr>
              <w:t>≥</w:t>
            </w:r>
            <w:r w:rsidRPr="008D6AB4">
              <w:rPr>
                <w:rFonts w:eastAsia="Arial" w:hAnsi="Arial" w:cs="Arial"/>
              </w:rPr>
              <w:t xml:space="preserve"> 30 mg/g or an estimated glomerular filtration rate &lt; 60 ml/min/1.73m</w:t>
            </w:r>
            <w:r w:rsidRPr="008D6AB4">
              <w:rPr>
                <w:rFonts w:eastAsia="Arial" w:hAnsi="Arial" w:cs="Arial"/>
              </w:rPr>
              <w:t>²</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Clinical cardiovascular disease was defined by self-report of previous heart failure, coronary heart disease, stroke, or myocardial infarction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CKD = chronic kidney disease; CVD = cardiovascular disease; HDL = high density lipoprotein</w:t>
            </w:r>
          </w:p>
        </w:tc>
      </w:tr>
    </w:tbl>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D6AB4" w:rsidRPr="008D6AB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Sub-groups</w:t>
            </w:r>
          </w:p>
        </w:tc>
      </w:tr>
      <w:tr w:rsidR="008D6AB4" w:rsidRPr="008D6AB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b/>
              </w:rPr>
              <w:t>Blood pressure category</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Overall </w:t>
            </w:r>
            <w:r w:rsidRPr="008D6AB4">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w:t>
            </w:r>
            <w:r w:rsidRPr="008D6AB4">
              <w:rPr>
                <w:rFonts w:eastAsia="Arial" w:hAnsi="Arial" w:cs="Arial"/>
                <w:b/>
              </w:rPr>
              <w:br/>
              <w:t>N = 2,000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CKD </w:t>
            </w:r>
            <w:r w:rsidRPr="008D6AB4">
              <w:rPr>
                <w:rFonts w:eastAsia="Arial" w:hAnsi="Arial" w:cs="Arial"/>
                <w:b/>
              </w:rPr>
              <w:br/>
              <w:t>N = 1,790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Age 65+ years </w:t>
            </w:r>
            <w:r w:rsidRPr="008D6AB4">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CKD, or age 65+ years </w:t>
            </w:r>
            <w:r w:rsidRPr="008D6AB4">
              <w:rPr>
                <w:rFonts w:eastAsia="Arial" w:hAnsi="Arial" w:cs="Arial"/>
                <w:b/>
              </w:rPr>
              <w:br/>
              <w:t>N = 4,252</w:t>
            </w:r>
          </w:p>
        </w:tc>
      </w:tr>
      <w:tr w:rsidR="008D6AB4" w:rsidRPr="008D6AB4">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Normal blood pressure</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28.7%</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14.9%</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15.8%</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10.2%</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11.7%</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51.8%</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Normal blood pressure: systolic blood pressure &lt; 120 mm Hg and diastolic blood pressure &lt; 80 mm Hg;</w:t>
            </w:r>
            <w:r w:rsidRPr="008D6AB4">
              <w:rPr>
                <w:rFonts w:eastAsia="Arial" w:hAnsi="Arial" w:cs="Arial"/>
              </w:rPr>
              <w:br/>
              <w:t>Elevated blood pressure: systolic blood pressure from 120 to 129 mm Hg and diastolic blood pressure &lt; 80 mm Hg;</w:t>
            </w:r>
            <w:r w:rsidRPr="008D6AB4">
              <w:rPr>
                <w:rFonts w:eastAsia="Arial" w:hAnsi="Arial" w:cs="Arial"/>
              </w:rPr>
              <w:br/>
              <w:t>Stage 1 hypertension: systolic blood pressure between 130 and 139 mm Hg or diastolic blood pressure between 80 and 89 mm Hg;</w:t>
            </w:r>
            <w:r w:rsidRPr="008D6AB4">
              <w:rPr>
                <w:rFonts w:eastAsia="Arial" w:hAnsi="Arial" w:cs="Arial"/>
              </w:rPr>
              <w:br/>
              <w:t xml:space="preserve">Stage 2 hypertension: systolic blood pressure </w:t>
            </w:r>
            <w:r w:rsidRPr="008D6AB4">
              <w:rPr>
                <w:rFonts w:eastAsia="Arial" w:hAnsi="Arial" w:cs="Arial"/>
              </w:rPr>
              <w:t>≥</w:t>
            </w:r>
            <w:r w:rsidRPr="008D6AB4">
              <w:rPr>
                <w:rFonts w:eastAsia="Arial" w:hAnsi="Arial" w:cs="Arial"/>
              </w:rPr>
              <w:t xml:space="preserve"> 140 mm Hg or diastolic blood pressure </w:t>
            </w:r>
            <w:r w:rsidRPr="008D6AB4">
              <w:rPr>
                <w:rFonts w:eastAsia="Arial" w:hAnsi="Arial" w:cs="Arial"/>
              </w:rPr>
              <w:t>≥</w:t>
            </w:r>
            <w:r w:rsidRPr="008D6AB4">
              <w:rPr>
                <w:rFonts w:eastAsia="Arial" w:hAnsi="Arial" w:cs="Arial"/>
              </w:rPr>
              <w:t xml:space="preserve"> 90 mm Hg.</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Diabetes was defined by fasting serum glucose </w:t>
            </w:r>
            <w:r w:rsidRPr="008D6AB4">
              <w:rPr>
                <w:rFonts w:eastAsia="Arial" w:hAnsi="Arial" w:cs="Arial"/>
              </w:rPr>
              <w:t>≥</w:t>
            </w:r>
            <w:r w:rsidRPr="008D6AB4">
              <w:rPr>
                <w:rFonts w:eastAsia="Arial" w:hAnsi="Arial" w:cs="Arial"/>
              </w:rPr>
              <w:t xml:space="preserve"> 126 mg/dL, non-fasting glucose </w:t>
            </w:r>
            <w:r w:rsidRPr="008D6AB4">
              <w:rPr>
                <w:rFonts w:eastAsia="Arial" w:hAnsi="Arial" w:cs="Arial"/>
              </w:rPr>
              <w:t>≥</w:t>
            </w:r>
            <w:r w:rsidRPr="008D6AB4">
              <w:rPr>
                <w:rFonts w:eastAsia="Arial" w:hAnsi="Arial" w:cs="Arial"/>
              </w:rPr>
              <w:t xml:space="preserve"> 200 mg/dL, glycated hemoglobin (HbA1c) </w:t>
            </w:r>
            <w:r w:rsidRPr="008D6AB4">
              <w:rPr>
                <w:rFonts w:eastAsia="Arial" w:hAnsi="Arial" w:cs="Arial"/>
              </w:rPr>
              <w:t>≥</w:t>
            </w:r>
            <w:r w:rsidRPr="008D6AB4">
              <w:rPr>
                <w:rFonts w:eastAsia="Arial" w:hAnsi="Arial" w:cs="Arial"/>
              </w:rPr>
              <w:t xml:space="preserve"> 6.5%, or self-reported use of insulin or oral glucose lowering medication.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Chronic kidney disease is defined by an albumin-to-creatinine ratio </w:t>
            </w:r>
            <w:r w:rsidRPr="008D6AB4">
              <w:rPr>
                <w:rFonts w:eastAsia="Arial" w:hAnsi="Arial" w:cs="Arial"/>
              </w:rPr>
              <w:t>≥</w:t>
            </w:r>
            <w:r w:rsidRPr="008D6AB4">
              <w:rPr>
                <w:rFonts w:eastAsia="Arial" w:hAnsi="Arial" w:cs="Arial"/>
              </w:rPr>
              <w:t xml:space="preserve"> 30 mg/g or an estimated glomerular filtration rate &lt; 60 ml/min/1.73m</w:t>
            </w:r>
            <w:r w:rsidRPr="008D6AB4">
              <w:rPr>
                <w:rFonts w:eastAsia="Arial" w:hAnsi="Arial" w:cs="Arial"/>
              </w:rPr>
              <w:t>²</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CKD = chronic kidney disease</w:t>
            </w:r>
          </w:p>
        </w:tc>
      </w:tr>
    </w:tbl>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8D6AB4" w:rsidRPr="008D6AB4">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Sub-groups</w:t>
            </w:r>
          </w:p>
        </w:tc>
      </w:tr>
      <w:tr w:rsidR="008D6AB4" w:rsidRPr="008D6AB4">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b/>
              </w:rPr>
              <w:t>Blood pressure category</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Overall </w:t>
            </w:r>
            <w:r w:rsidRPr="008D6AB4">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w:t>
            </w:r>
            <w:r w:rsidRPr="008D6AB4">
              <w:rPr>
                <w:rFonts w:eastAsia="Arial" w:hAnsi="Arial" w:cs="Arial"/>
                <w:b/>
              </w:rPr>
              <w:br/>
              <w:t>N = 2,000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CKD </w:t>
            </w:r>
            <w:r w:rsidRPr="008D6AB4">
              <w:rPr>
                <w:rFonts w:eastAsia="Arial" w:hAnsi="Arial" w:cs="Arial"/>
                <w:b/>
              </w:rPr>
              <w:br/>
              <w:t>N = 1,790</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Age 65+ years </w:t>
            </w:r>
            <w:r w:rsidRPr="008D6AB4">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CKD, or age 65+ years </w:t>
            </w:r>
            <w:r w:rsidRPr="008D6AB4">
              <w:rPr>
                <w:rFonts w:eastAsia="Arial" w:hAnsi="Arial" w:cs="Arial"/>
                <w:b/>
              </w:rPr>
              <w:br/>
              <w:t>N = 4,252</w:t>
            </w:r>
          </w:p>
        </w:tc>
      </w:tr>
      <w:tr w:rsidR="008D6AB4" w:rsidRPr="008D6AB4">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i/>
              </w:rPr>
              <w:t>Median (25th - 75th percentile) 10-year predicted risk for ASCVD among those without clinical CVD</w:t>
            </w:r>
            <w:r w:rsidRPr="008D6AB4">
              <w:rPr>
                <w:rFonts w:eastAsia="Arial" w:hAnsi="Arial" w:cs="Arial"/>
                <w:i/>
                <w:vertAlign w:val="superscript"/>
              </w:rPr>
              <w:t>‖§</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w:t>
            </w:r>
            <w:r w:rsidRPr="008D6AB4">
              <w:rPr>
                <w:rFonts w:eastAsia="Arial" w:hAnsi="Arial" w:cs="Arial"/>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14.4</w:t>
            </w:r>
            <w:r w:rsidRPr="008D6AB4">
              <w:rPr>
                <w:rFonts w:eastAsia="Arial" w:hAnsi="Arial" w:cs="Arial"/>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11.4</w:t>
            </w:r>
            <w:r w:rsidRPr="008D6AB4">
              <w:rPr>
                <w:rFonts w:eastAsia="Arial" w:hAnsi="Arial" w:cs="Arial"/>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17.9</w:t>
            </w:r>
            <w:r w:rsidRPr="008D6AB4">
              <w:rPr>
                <w:rFonts w:eastAsia="Arial" w:hAnsi="Arial" w:cs="Arial"/>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13.3</w:t>
            </w:r>
            <w:r w:rsidRPr="008D6AB4">
              <w:rPr>
                <w:rFonts w:eastAsia="Arial" w:hAnsi="Arial" w:cs="Arial"/>
              </w:rPr>
              <w:br/>
              <w:t>(6.9, 22.0)</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2.0</w:t>
            </w:r>
            <w:r w:rsidRPr="008D6AB4">
              <w:rPr>
                <w:rFonts w:eastAsia="Arial" w:hAnsi="Arial" w:cs="Arial"/>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6.8</w:t>
            </w:r>
            <w:r w:rsidRPr="008D6AB4">
              <w:rPr>
                <w:rFonts w:eastAsia="Arial" w:hAnsi="Arial" w:cs="Arial"/>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3.3</w:t>
            </w:r>
            <w:r w:rsidRPr="008D6AB4">
              <w:rPr>
                <w:rFonts w:eastAsia="Arial" w:hAnsi="Arial" w:cs="Arial"/>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10.5</w:t>
            </w:r>
            <w:r w:rsidRPr="008D6AB4">
              <w:rPr>
                <w:rFonts w:eastAsia="Arial" w:hAnsi="Arial" w:cs="Arial"/>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6.8</w:t>
            </w:r>
            <w:r w:rsidRPr="008D6AB4">
              <w:rPr>
                <w:rFonts w:eastAsia="Arial" w:hAnsi="Arial" w:cs="Arial"/>
              </w:rPr>
              <w:br/>
              <w:t>(3.2, 12.4)</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4.3</w:t>
            </w:r>
            <w:r w:rsidRPr="008D6AB4">
              <w:rPr>
                <w:rFonts w:eastAsia="Arial" w:hAnsi="Arial" w:cs="Arial"/>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11.4</w:t>
            </w:r>
            <w:r w:rsidRPr="008D6AB4">
              <w:rPr>
                <w:rFonts w:eastAsia="Arial" w:hAnsi="Arial" w:cs="Arial"/>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6.2</w:t>
            </w:r>
            <w:r w:rsidRPr="008D6AB4">
              <w:rPr>
                <w:rFonts w:eastAsia="Arial" w:hAnsi="Arial" w:cs="Arial"/>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14.6</w:t>
            </w:r>
            <w:r w:rsidRPr="008D6AB4">
              <w:rPr>
                <w:rFonts w:eastAsia="Arial" w:hAnsi="Arial" w:cs="Arial"/>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11.3</w:t>
            </w:r>
            <w:r w:rsidRPr="008D6AB4">
              <w:rPr>
                <w:rFonts w:eastAsia="Arial" w:hAnsi="Arial" w:cs="Arial"/>
              </w:rPr>
              <w:br/>
              <w:t>(5.7, 17.4)</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4.3</w:t>
            </w:r>
            <w:r w:rsidRPr="008D6AB4">
              <w:rPr>
                <w:rFonts w:eastAsia="Arial" w:hAnsi="Arial" w:cs="Arial"/>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8.9</w:t>
            </w:r>
            <w:r w:rsidRPr="008D6AB4">
              <w:rPr>
                <w:rFonts w:eastAsia="Arial" w:hAnsi="Arial" w:cs="Arial"/>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7.4</w:t>
            </w:r>
            <w:r w:rsidRPr="008D6AB4">
              <w:rPr>
                <w:rFonts w:eastAsia="Arial" w:hAnsi="Arial" w:cs="Arial"/>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13.7</w:t>
            </w:r>
            <w:r w:rsidRPr="008D6AB4">
              <w:rPr>
                <w:rFonts w:eastAsia="Arial" w:hAnsi="Arial" w:cs="Arial"/>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9.8</w:t>
            </w:r>
            <w:r w:rsidRPr="008D6AB4">
              <w:rPr>
                <w:rFonts w:eastAsia="Arial" w:hAnsi="Arial" w:cs="Arial"/>
              </w:rPr>
              <w:br/>
              <w:t>(5.3, 16.5)</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8.1</w:t>
            </w:r>
            <w:r w:rsidRPr="008D6AB4">
              <w:rPr>
                <w:rFonts w:eastAsia="Arial" w:hAnsi="Arial" w:cs="Arial"/>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18.8</w:t>
            </w:r>
            <w:r w:rsidRPr="008D6AB4">
              <w:rPr>
                <w:rFonts w:eastAsia="Arial" w:hAnsi="Arial" w:cs="Arial"/>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13.2</w:t>
            </w:r>
            <w:r w:rsidRPr="008D6AB4">
              <w:rPr>
                <w:rFonts w:eastAsia="Arial" w:hAnsi="Arial" w:cs="Arial"/>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20.3</w:t>
            </w:r>
            <w:r w:rsidRPr="008D6AB4">
              <w:rPr>
                <w:rFonts w:eastAsia="Arial" w:hAnsi="Arial" w:cs="Arial"/>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16.8</w:t>
            </w:r>
            <w:r w:rsidRPr="008D6AB4">
              <w:rPr>
                <w:rFonts w:eastAsia="Arial" w:hAnsi="Arial" w:cs="Arial"/>
              </w:rPr>
              <w:br/>
              <w:t>(8.6, 24.6)</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10.5</w:t>
            </w:r>
            <w:r w:rsidRPr="008D6AB4">
              <w:rPr>
                <w:rFonts w:eastAsia="Arial" w:hAnsi="Arial" w:cs="Arial"/>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17.3</w:t>
            </w:r>
            <w:r w:rsidRPr="008D6AB4">
              <w:rPr>
                <w:rFonts w:eastAsia="Arial" w:hAnsi="Arial" w:cs="Arial"/>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16.8</w:t>
            </w:r>
            <w:r w:rsidRPr="008D6AB4">
              <w:rPr>
                <w:rFonts w:eastAsia="Arial" w:hAnsi="Arial" w:cs="Arial"/>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21.4</w:t>
            </w:r>
            <w:r w:rsidRPr="008D6AB4">
              <w:rPr>
                <w:rFonts w:eastAsia="Arial" w:hAnsi="Arial" w:cs="Arial"/>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16.9</w:t>
            </w:r>
            <w:r w:rsidRPr="008D6AB4">
              <w:rPr>
                <w:rFonts w:eastAsia="Arial" w:hAnsi="Arial" w:cs="Arial"/>
              </w:rPr>
              <w:br/>
              <w:t>(9.8, 27.1)</w:t>
            </w:r>
          </w:p>
        </w:tc>
      </w:tr>
      <w:tr w:rsidR="008D6AB4" w:rsidRPr="008D6AB4">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i/>
              </w:rPr>
              <w:t>Proportion (95% confidence interval) with high ASCVD risk</w:t>
            </w:r>
            <w:r w:rsidRPr="008D6AB4">
              <w:rPr>
                <w:rFonts w:eastAsia="Arial" w:hAnsi="Arial" w:cs="Arial"/>
                <w:i/>
                <w:vertAlign w:val="superscript"/>
              </w:rPr>
              <w:t>¶</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36.5</w:t>
            </w:r>
            <w:r w:rsidRPr="008D6AB4">
              <w:rPr>
                <w:rFonts w:eastAsia="Arial" w:hAnsi="Arial" w:cs="Arial"/>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72.3</w:t>
            </w:r>
            <w:r w:rsidRPr="008D6AB4">
              <w:rPr>
                <w:rFonts w:eastAsia="Arial" w:hAnsi="Arial" w:cs="Arial"/>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64.5</w:t>
            </w:r>
            <w:r w:rsidRPr="008D6AB4">
              <w:rPr>
                <w:rFonts w:eastAsia="Arial" w:hAnsi="Arial" w:cs="Arial"/>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83.9</w:t>
            </w:r>
            <w:r w:rsidRPr="008D6AB4">
              <w:rPr>
                <w:rFonts w:eastAsia="Arial" w:hAnsi="Arial" w:cs="Arial"/>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69.0</w:t>
            </w:r>
            <w:r w:rsidRPr="008D6AB4">
              <w:rPr>
                <w:rFonts w:eastAsia="Arial" w:hAnsi="Arial" w:cs="Arial"/>
              </w:rPr>
              <w:br/>
              <w:t>(66.9, 71.2)</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13.4</w:t>
            </w:r>
            <w:r w:rsidRPr="008D6AB4">
              <w:rPr>
                <w:rFonts w:eastAsia="Arial" w:hAnsi="Arial" w:cs="Arial"/>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46.8</w:t>
            </w:r>
            <w:r w:rsidRPr="008D6AB4">
              <w:rPr>
                <w:rFonts w:eastAsia="Arial" w:hAnsi="Arial" w:cs="Arial"/>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34.7</w:t>
            </w:r>
            <w:r w:rsidRPr="008D6AB4">
              <w:rPr>
                <w:rFonts w:eastAsia="Arial" w:hAnsi="Arial" w:cs="Arial"/>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64.4</w:t>
            </w:r>
            <w:r w:rsidRPr="008D6AB4">
              <w:rPr>
                <w:rFonts w:eastAsia="Arial" w:hAnsi="Arial" w:cs="Arial"/>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44.9</w:t>
            </w:r>
            <w:r w:rsidRPr="008D6AB4">
              <w:rPr>
                <w:rFonts w:eastAsia="Arial" w:hAnsi="Arial" w:cs="Arial"/>
              </w:rPr>
              <w:br/>
              <w:t>(39.1, 50.7)</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27.4</w:t>
            </w:r>
            <w:r w:rsidRPr="008D6AB4">
              <w:rPr>
                <w:rFonts w:eastAsia="Arial" w:hAnsi="Arial" w:cs="Arial"/>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57.7</w:t>
            </w:r>
            <w:r w:rsidRPr="008D6AB4">
              <w:rPr>
                <w:rFonts w:eastAsia="Arial" w:hAnsi="Arial" w:cs="Arial"/>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48.9</w:t>
            </w:r>
            <w:r w:rsidRPr="008D6AB4">
              <w:rPr>
                <w:rFonts w:eastAsia="Arial" w:hAnsi="Arial" w:cs="Arial"/>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69.8</w:t>
            </w:r>
            <w:r w:rsidRPr="008D6AB4">
              <w:rPr>
                <w:rFonts w:eastAsia="Arial" w:hAnsi="Arial" w:cs="Arial"/>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57.0</w:t>
            </w:r>
            <w:r w:rsidRPr="008D6AB4">
              <w:rPr>
                <w:rFonts w:eastAsia="Arial" w:hAnsi="Arial" w:cs="Arial"/>
              </w:rPr>
              <w:br/>
              <w:t>(49.8, 64.3)</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24.3</w:t>
            </w:r>
            <w:r w:rsidRPr="008D6AB4">
              <w:rPr>
                <w:rFonts w:eastAsia="Arial" w:hAnsi="Arial" w:cs="Arial"/>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55.0</w:t>
            </w:r>
            <w:r w:rsidRPr="008D6AB4">
              <w:rPr>
                <w:rFonts w:eastAsia="Arial" w:hAnsi="Arial" w:cs="Arial"/>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36.7</w:t>
            </w:r>
            <w:r w:rsidRPr="008D6AB4">
              <w:rPr>
                <w:rFonts w:eastAsia="Arial" w:hAnsi="Arial" w:cs="Arial"/>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72.6</w:t>
            </w:r>
            <w:r w:rsidRPr="008D6AB4">
              <w:rPr>
                <w:rFonts w:eastAsia="Arial" w:hAnsi="Arial" w:cs="Arial"/>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54.4</w:t>
            </w:r>
            <w:r w:rsidRPr="008D6AB4">
              <w:rPr>
                <w:rFonts w:eastAsia="Arial" w:hAnsi="Arial" w:cs="Arial"/>
              </w:rPr>
              <w:br/>
              <w:t>(46.7, 62.1)</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45.7</w:t>
            </w:r>
            <w:r w:rsidRPr="008D6AB4">
              <w:rPr>
                <w:rFonts w:eastAsia="Arial" w:hAnsi="Arial" w:cs="Arial"/>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79.0</w:t>
            </w:r>
            <w:r w:rsidRPr="008D6AB4">
              <w:rPr>
                <w:rFonts w:eastAsia="Arial" w:hAnsi="Arial" w:cs="Arial"/>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63.2</w:t>
            </w:r>
            <w:r w:rsidRPr="008D6AB4">
              <w:rPr>
                <w:rFonts w:eastAsia="Arial" w:hAnsi="Arial" w:cs="Arial"/>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90.2</w:t>
            </w:r>
            <w:r w:rsidRPr="008D6AB4">
              <w:rPr>
                <w:rFonts w:eastAsia="Arial" w:hAnsi="Arial" w:cs="Arial"/>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74.3</w:t>
            </w:r>
            <w:r w:rsidRPr="008D6AB4">
              <w:rPr>
                <w:rFonts w:eastAsia="Arial" w:hAnsi="Arial" w:cs="Arial"/>
              </w:rPr>
              <w:br/>
              <w:t>(67.4, 81.2)</w:t>
            </w:r>
          </w:p>
        </w:tc>
      </w:tr>
      <w:tr w:rsidR="008D6AB4" w:rsidRPr="008D6AB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lastRenderedPageBreak/>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61.9</w:t>
            </w:r>
            <w:r w:rsidRPr="008D6AB4">
              <w:rPr>
                <w:rFonts w:eastAsia="Arial" w:hAnsi="Arial" w:cs="Arial"/>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81.3</w:t>
            </w:r>
            <w:r w:rsidRPr="008D6AB4">
              <w:rPr>
                <w:rFonts w:eastAsia="Arial" w:hAnsi="Arial" w:cs="Arial"/>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79.0</w:t>
            </w:r>
            <w:r w:rsidRPr="008D6AB4">
              <w:rPr>
                <w:rFonts w:eastAsia="Arial" w:hAnsi="Arial" w:cs="Arial"/>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92.8</w:t>
            </w:r>
            <w:r w:rsidRPr="008D6AB4">
              <w:rPr>
                <w:rFonts w:eastAsia="Arial" w:hAnsi="Arial" w:cs="Arial"/>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80.5</w:t>
            </w:r>
            <w:r w:rsidRPr="008D6AB4">
              <w:rPr>
                <w:rFonts w:eastAsia="Arial" w:hAnsi="Arial" w:cs="Arial"/>
              </w:rPr>
              <w:br/>
              <w:t>(78.2, 82.9)</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Normal blood pressure: systolic blood pressure &lt; 120 mm Hg and diastolic blood pressure &lt; 80 mm Hg;</w:t>
            </w:r>
            <w:r w:rsidRPr="008D6AB4">
              <w:rPr>
                <w:rFonts w:eastAsia="Arial" w:hAnsi="Arial" w:cs="Arial"/>
              </w:rPr>
              <w:br/>
              <w:t>Elevated blood pressure: systolic blood pressure from 120 to 129 mm Hg and diastolic blood pressure &lt; 80 mm Hg;</w:t>
            </w:r>
            <w:r w:rsidRPr="008D6AB4">
              <w:rPr>
                <w:rFonts w:eastAsia="Arial" w:hAnsi="Arial" w:cs="Arial"/>
              </w:rPr>
              <w:br/>
              <w:t>Stage 1 hypertension: systolic blood pressure between 130 and 139 mm Hg or diastolic blood pressure between 80 and 89 mm Hg;</w:t>
            </w:r>
            <w:r w:rsidRPr="008D6AB4">
              <w:rPr>
                <w:rFonts w:eastAsia="Arial" w:hAnsi="Arial" w:cs="Arial"/>
              </w:rPr>
              <w:br/>
              <w:t xml:space="preserve">Stage 2 hypertension: systolic blood pressure </w:t>
            </w:r>
            <w:r w:rsidRPr="008D6AB4">
              <w:rPr>
                <w:rFonts w:eastAsia="Arial" w:hAnsi="Arial" w:cs="Arial"/>
              </w:rPr>
              <w:t>≥</w:t>
            </w:r>
            <w:r w:rsidRPr="008D6AB4">
              <w:rPr>
                <w:rFonts w:eastAsia="Arial" w:hAnsi="Arial" w:cs="Arial"/>
              </w:rPr>
              <w:t xml:space="preserve"> 140 mm Hg or diastolic blood pressure </w:t>
            </w:r>
            <w:r w:rsidRPr="008D6AB4">
              <w:rPr>
                <w:rFonts w:eastAsia="Arial" w:hAnsi="Arial" w:cs="Arial"/>
              </w:rPr>
              <w:t>≥</w:t>
            </w:r>
            <w:r w:rsidRPr="008D6AB4">
              <w:rPr>
                <w:rFonts w:eastAsia="Arial" w:hAnsi="Arial" w:cs="Arial"/>
              </w:rPr>
              <w:t xml:space="preserve"> 90 mm Hg.</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Diabetes was defined by fasting serum glucose </w:t>
            </w:r>
            <w:r w:rsidRPr="008D6AB4">
              <w:rPr>
                <w:rFonts w:eastAsia="Arial" w:hAnsi="Arial" w:cs="Arial"/>
              </w:rPr>
              <w:t>≥</w:t>
            </w:r>
            <w:r w:rsidRPr="008D6AB4">
              <w:rPr>
                <w:rFonts w:eastAsia="Arial" w:hAnsi="Arial" w:cs="Arial"/>
              </w:rPr>
              <w:t xml:space="preserve"> 126 mg/dL, non-fasting glucose </w:t>
            </w:r>
            <w:r w:rsidRPr="008D6AB4">
              <w:rPr>
                <w:rFonts w:eastAsia="Arial" w:hAnsi="Arial" w:cs="Arial"/>
              </w:rPr>
              <w:t>≥</w:t>
            </w:r>
            <w:r w:rsidRPr="008D6AB4">
              <w:rPr>
                <w:rFonts w:eastAsia="Arial" w:hAnsi="Arial" w:cs="Arial"/>
              </w:rPr>
              <w:t xml:space="preserve"> 200 mg/dL, glycated hemoglobin (HbA1c) </w:t>
            </w:r>
            <w:r w:rsidRPr="008D6AB4">
              <w:rPr>
                <w:rFonts w:eastAsia="Arial" w:hAnsi="Arial" w:cs="Arial"/>
              </w:rPr>
              <w:t>≥</w:t>
            </w:r>
            <w:r w:rsidRPr="008D6AB4">
              <w:rPr>
                <w:rFonts w:eastAsia="Arial" w:hAnsi="Arial" w:cs="Arial"/>
              </w:rPr>
              <w:t xml:space="preserve"> 6.5%, or self-reported use of insulin or oral glucose lowering medication.</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Chronic kidney disease is defined by an albumin-to-creatinine ratio </w:t>
            </w:r>
            <w:r w:rsidRPr="008D6AB4">
              <w:rPr>
                <w:rFonts w:eastAsia="Arial" w:hAnsi="Arial" w:cs="Arial"/>
              </w:rPr>
              <w:t>≥</w:t>
            </w:r>
            <w:r w:rsidRPr="008D6AB4">
              <w:rPr>
                <w:rFonts w:eastAsia="Arial" w:hAnsi="Arial" w:cs="Arial"/>
              </w:rPr>
              <w:t xml:space="preserve"> 30 mg/g or an estimated glomerular filtration rate &lt; 60 ml/min/1.73m</w:t>
            </w:r>
            <w:r w:rsidRPr="008D6AB4">
              <w:rPr>
                <w:rFonts w:eastAsia="Arial" w:hAnsi="Arial" w:cs="Arial"/>
              </w:rPr>
              <w:t>²</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Predicted risk for atherosclerotic cardiovascular disease was computed using the Pooled Cohort risk equations, based on the guideline by American College of Cardiology / American Heart Association, 2013</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Clinical cardiovascular disease was defined by self-report of previous heart failure, coronary heart disease, stroke, or myocardial infarction</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High atherosclerotic cardiovascular disease risk was defined by a 10-year predicted risk for atherosclerotic cardiovascular disease </w:t>
            </w:r>
            <w:r w:rsidRPr="008D6AB4">
              <w:rPr>
                <w:rFonts w:eastAsia="Arial" w:hAnsi="Arial" w:cs="Arial"/>
              </w:rPr>
              <w:t>≥</w:t>
            </w:r>
            <w:r w:rsidRPr="008D6AB4">
              <w:rPr>
                <w:rFonts w:eastAsia="Arial" w:hAnsi="Arial" w:cs="Arial"/>
              </w:rPr>
              <w:t xml:space="preserve"> 10% or clinical cardiovascular disease</w:t>
            </w:r>
          </w:p>
        </w:tc>
      </w:tr>
      <w:tr w:rsidR="008D6AB4" w:rsidRPr="008D6AB4">
        <w:trPr>
          <w:cantSplit/>
          <w:jc w:val="center"/>
        </w:trPr>
        <w:tc>
          <w:tcPr>
            <w:tcW w:w="1116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ASCVD = atherosclerotic cardiovascular disease; CKD = chronic kidney disease; CVD = cardiovascular disease</w:t>
            </w:r>
          </w:p>
        </w:tc>
      </w:tr>
    </w:tbl>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Figure 1: Distribution of 10-year predicted risk for atherosclerotic cardiovascular disease among US adults with predicted risk &lt; 10%, overall and for subgroups defined by diabetes, chronic kidney disease, and ≥ 65 years of age. </w:t>
      </w:r>
    </w:p>
    <w:p w:rsidR="004C03BC" w:rsidRPr="008D6AB4" w:rsidRDefault="00ED6C82">
      <w:pPr>
        <w:pStyle w:val="Figure"/>
        <w:jc w:val="center"/>
      </w:pPr>
      <w:r w:rsidRPr="008D6AB4">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t xml:space="preserve">* The distributions are restricted to US adults without clinical cardiovascular disease and 10-year predicted atherosclerotic cardiovascular disease risk &lt; 10%. </w:t>
      </w:r>
    </w:p>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Figure 2: Estimated probability of high atherosclerotic cardiovascular disease risk for US adults with diabetes, with chronic kidney disease, and without diabetes or chronic kidney disease. </w:t>
      </w:r>
    </w:p>
    <w:p w:rsidR="004C03BC" w:rsidRPr="008D6AB4" w:rsidRDefault="00ED6C82">
      <w:pPr>
        <w:pStyle w:val="Figure"/>
        <w:jc w:val="center"/>
      </w:pPr>
      <w:r w:rsidRPr="008D6AB4">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t xml:space="preserve">* Age at which 50% of the subgroup is estimated to have high atherosclerotic cardiovascular disease risk, defined as a predicted 10-year atherosclerotic cardiovascular disease risk ≥ 10% or clinical cardiovascular disease. </w:t>
      </w:r>
    </w:p>
    <w:p w:rsidR="004C03BC" w:rsidRPr="008D6AB4" w:rsidRDefault="00ED6C82">
      <w:r w:rsidRPr="008D6AB4">
        <w:br w:type="page"/>
      </w:r>
    </w:p>
    <w:p w:rsidR="004C03BC" w:rsidRPr="008D6AB4" w:rsidRDefault="00ED6C82">
      <w:pPr>
        <w:pStyle w:val="BodyText"/>
      </w:pPr>
      <w:r w:rsidRPr="008D6AB4">
        <w:rPr>
          <w:b/>
        </w:rPr>
        <w:lastRenderedPageBreak/>
        <w:t>SUPPLEMENT</w:t>
      </w:r>
    </w:p>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Table S1: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D6AB4" w:rsidRPr="008D6AB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Sub-groups</w:t>
            </w:r>
          </w:p>
        </w:tc>
      </w:tr>
      <w:tr w:rsidR="008D6AB4" w:rsidRPr="008D6AB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b/>
              </w:rPr>
              <w:t>Characteristic</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Overall </w:t>
            </w:r>
            <w:r w:rsidRPr="008D6AB4">
              <w:rPr>
                <w:rFonts w:eastAsia="Arial" w:hAnsi="Arial" w:cs="Arial"/>
                <w:b/>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w:t>
            </w:r>
            <w:r w:rsidRPr="008D6AB4">
              <w:rPr>
                <w:rFonts w:eastAsia="Arial" w:hAnsi="Arial" w:cs="Arial"/>
                <w:b/>
              </w:rPr>
              <w:br/>
              <w:t>N = 204</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CKD </w:t>
            </w:r>
            <w:r w:rsidRPr="008D6AB4">
              <w:rPr>
                <w:rFonts w:eastAsia="Arial" w:hAnsi="Arial" w:cs="Arial"/>
                <w:b/>
              </w:rPr>
              <w:br/>
              <w:t>N = 174</w:t>
            </w:r>
            <w:r w:rsidRPr="008D6AB4">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Age 65+ years </w:t>
            </w:r>
            <w:r w:rsidRPr="008D6AB4">
              <w:rPr>
                <w:rFonts w:eastAsia="Arial" w:hAnsi="Arial" w:cs="Arial"/>
                <w:b/>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b/>
              </w:rPr>
              <w:t xml:space="preserve">Diabetes, CKD, or age 65+ years </w:t>
            </w:r>
            <w:r w:rsidRPr="008D6AB4">
              <w:rPr>
                <w:rFonts w:eastAsia="Arial" w:hAnsi="Arial" w:cs="Arial"/>
                <w:b/>
              </w:rPr>
              <w:br/>
              <w:t>N = 460</w:t>
            </w:r>
          </w:p>
        </w:tc>
      </w:tr>
      <w:tr w:rsidR="008D6AB4" w:rsidRPr="008D6AB4">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61.5 (0.8)</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51.9</w:t>
            </w:r>
          </w:p>
        </w:tc>
      </w:tr>
      <w:tr w:rsidR="008D6AB4" w:rsidRPr="008D6AB4">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Race / ethnicity</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65.3</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10.1</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15.2</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5.9</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200" w:right="100"/>
            </w:pPr>
            <w:r w:rsidRPr="008D6AB4">
              <w:rPr>
                <w:rFonts w:eastAsia="Arial" w:hAnsi="Arial" w:cs="Arial"/>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3.4</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16.2</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195.7 (2.8)</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53.8 (1.0)</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72.8 (0.6)</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131.4 (0.4)</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75.2 (0.7)</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0.0</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41.7</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35.5</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53.4</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100.0</w:t>
            </w:r>
          </w:p>
        </w:tc>
      </w:tr>
      <w:tr w:rsidR="008D6AB4" w:rsidRPr="008D6AB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Clinical CVD</w:t>
            </w:r>
            <w:r w:rsidRPr="008D6AB4">
              <w:rPr>
                <w:rFonts w:eastAsia="Arial" w:hAnsi="Arial" w:cs="Arial"/>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Pr="008D6AB4" w:rsidRDefault="00ED6C82">
            <w:pPr>
              <w:spacing w:before="100" w:after="100"/>
              <w:ind w:left="100" w:right="100"/>
              <w:jc w:val="center"/>
            </w:pPr>
            <w:r w:rsidRPr="008D6AB4">
              <w:rPr>
                <w:rFonts w:eastAsia="Arial" w:hAnsi="Arial" w:cs="Arial"/>
              </w:rPr>
              <w:t>11.2</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Table values are mean (standard error) or proportion.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Diabetes was defined by fasting serum glucose </w:t>
            </w:r>
            <w:r w:rsidRPr="008D6AB4">
              <w:rPr>
                <w:rFonts w:eastAsia="Arial" w:hAnsi="Arial" w:cs="Arial"/>
              </w:rPr>
              <w:t>≥</w:t>
            </w:r>
            <w:r w:rsidRPr="008D6AB4">
              <w:rPr>
                <w:rFonts w:eastAsia="Arial" w:hAnsi="Arial" w:cs="Arial"/>
              </w:rPr>
              <w:t xml:space="preserve"> 126 mg/dL, non-fasting glucose </w:t>
            </w:r>
            <w:r w:rsidRPr="008D6AB4">
              <w:rPr>
                <w:rFonts w:eastAsia="Arial" w:hAnsi="Arial" w:cs="Arial"/>
              </w:rPr>
              <w:t>≥</w:t>
            </w:r>
            <w:r w:rsidRPr="008D6AB4">
              <w:rPr>
                <w:rFonts w:eastAsia="Arial" w:hAnsi="Arial" w:cs="Arial"/>
              </w:rPr>
              <w:t xml:space="preserve"> 200 mg/dL, glycated hemoglobin (HbA1c) </w:t>
            </w:r>
            <w:r w:rsidRPr="008D6AB4">
              <w:rPr>
                <w:rFonts w:eastAsia="Arial" w:hAnsi="Arial" w:cs="Arial"/>
              </w:rPr>
              <w:t>≥</w:t>
            </w:r>
            <w:r w:rsidRPr="008D6AB4">
              <w:rPr>
                <w:rFonts w:eastAsia="Arial" w:hAnsi="Arial" w:cs="Arial"/>
              </w:rPr>
              <w:t xml:space="preserve"> 6.5%, or self-reported use of insulin or oral glucose lowering medication.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 xml:space="preserve">Chronic kidney disease is defined by an albumin-to-creatinine ratio </w:t>
            </w:r>
            <w:r w:rsidRPr="008D6AB4">
              <w:rPr>
                <w:rFonts w:eastAsia="Arial" w:hAnsi="Arial" w:cs="Arial"/>
              </w:rPr>
              <w:t>≥</w:t>
            </w:r>
            <w:r w:rsidRPr="008D6AB4">
              <w:rPr>
                <w:rFonts w:eastAsia="Arial" w:hAnsi="Arial" w:cs="Arial"/>
              </w:rPr>
              <w:t xml:space="preserve"> 30 mg/g or an estimated glomerular filtration rate &lt; 60 ml/min/1.73m</w:t>
            </w:r>
            <w:r w:rsidRPr="008D6AB4">
              <w:rPr>
                <w:rFonts w:eastAsia="Arial" w:hAnsi="Arial" w:cs="Arial"/>
              </w:rPr>
              <w:t>²</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vertAlign w:val="superscript"/>
              </w:rPr>
              <w:t>§</w:t>
            </w:r>
            <w:r w:rsidRPr="008D6AB4">
              <w:rPr>
                <w:rFonts w:eastAsia="Arial" w:hAnsi="Arial" w:cs="Arial"/>
              </w:rPr>
              <w:t>Clinical cardiovascular disease was defined by self-report of previous heart failure, coronary heart disease, stroke, or myocardial infarction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CKD = chronic kidney disease; CVD = cardiovascular disease; HDL = high density lipoprotein</w:t>
            </w:r>
          </w:p>
        </w:tc>
      </w:tr>
      <w:tr w:rsidR="008D6AB4" w:rsidRPr="008D6AB4">
        <w:trPr>
          <w:cantSplit/>
          <w:jc w:val="center"/>
        </w:trPr>
        <w:tc>
          <w:tcPr>
            <w:tcW w:w="10800" w:type="dxa"/>
            <w:gridSpan w:val="6"/>
            <w:shd w:val="clear" w:color="auto" w:fill="FFFFFF"/>
            <w:tcMar>
              <w:top w:w="0" w:type="dxa"/>
              <w:left w:w="0" w:type="dxa"/>
              <w:bottom w:w="0" w:type="dxa"/>
              <w:right w:w="0" w:type="dxa"/>
            </w:tcMar>
            <w:vAlign w:val="center"/>
          </w:tcPr>
          <w:p w:rsidR="004C03BC" w:rsidRPr="008D6AB4" w:rsidRDefault="00ED6C82">
            <w:pPr>
              <w:spacing w:before="100" w:after="100"/>
              <w:ind w:left="100" w:right="100"/>
            </w:pPr>
            <w:r w:rsidRPr="008D6AB4">
              <w:rPr>
                <w:rFonts w:eastAsia="Arial" w:hAnsi="Arial" w:cs="Arial"/>
              </w:rPr>
              <w:t>Stage 1 hypertension was defined as having untreated systolic blood pressure between 130 and 139 mm Hg with diastolic blood pressure &lt; 90 mm Hg or diastolic blood pressure between 80 and 89 mm Hg with systolic blood pressure &lt; 90 mm Hg</w:t>
            </w:r>
          </w:p>
        </w:tc>
      </w:tr>
    </w:tbl>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Figure S1: Flowchart showing the application of the inclusion criteria to National Health and Nutrition Examination Survey 2013-2018 participants </w:t>
      </w:r>
    </w:p>
    <w:p w:rsidR="004C03BC" w:rsidRPr="008D6AB4" w:rsidRDefault="00ED6C82">
      <w:pPr>
        <w:pStyle w:val="Figure"/>
        <w:jc w:val="center"/>
      </w:pPr>
      <w:r w:rsidRPr="008D6AB4">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t xml:space="preserve">* The completed National Health and Nutrition Examination Survey interview and exam cells include number with the response rate in parentheses. BP = blood pressure; CKD = chronic kidney disease; NHANES = National Health and Nutrition Examination Survey. </w:t>
      </w:r>
    </w:p>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Figure S2: Distribution of 10-year predicted risk for atherosclerotic cardiovascular disease among US adults with stage 1 hypertension and predicted risk &lt; 10%, overall and for subgroups defined by diabetes, chronic kidney disease, and ≥ 65 years of age. </w:t>
      </w:r>
    </w:p>
    <w:p w:rsidR="004C03BC" w:rsidRPr="008D6AB4" w:rsidRDefault="00ED6C82">
      <w:pPr>
        <w:pStyle w:val="Figure"/>
        <w:jc w:val="center"/>
      </w:pPr>
      <w:r w:rsidRPr="008D6AB4">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t xml:space="preserve">* The distributions are restricted to US adults without clinical cardiovascular disease and 10-year predicted atherosclerotic cardiovascular disease risk &lt; 10%. </w:t>
      </w:r>
    </w:p>
    <w:p w:rsidR="004C03BC" w:rsidRPr="008D6AB4" w:rsidRDefault="00ED6C82">
      <w:r w:rsidRPr="008D6AB4">
        <w:br w:type="page"/>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4C03BC" w:rsidRPr="008D6AB4" w:rsidRDefault="00ED6C82">
      <w:pPr>
        <w:pStyle w:val="Figure"/>
        <w:jc w:val="center"/>
      </w:pPr>
      <w:r w:rsidRPr="008D6AB4">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4C03BC" w:rsidRPr="008D6AB4"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rsidRPr="008D6AB4">
        <w:t xml:space="preserve">* Age at which 50% of the subgroup is estimated to have high atherosclerotic cardiovascular disease risk, defined as a predicted 10-year atherosclerotic cardiovascular disease risk ≥ 10% or clinical cardiovascular disease. </w:t>
      </w:r>
    </w:p>
    <w:p w:rsidR="004C03BC" w:rsidRPr="008D6AB4" w:rsidRDefault="00ED6C82">
      <w:r w:rsidRPr="008D6AB4">
        <w:br w:type="page"/>
      </w:r>
    </w:p>
    <w:p w:rsidR="004C03BC" w:rsidRPr="008D6AB4" w:rsidRDefault="00ED6C82">
      <w:pPr>
        <w:pStyle w:val="BodyText"/>
      </w:pPr>
      <w:r w:rsidRPr="008D6AB4">
        <w:rPr>
          <w:b/>
        </w:rPr>
        <w:lastRenderedPageBreak/>
        <w:t>Acknowledgments:</w:t>
      </w:r>
      <w:r w:rsidRPr="008D6AB4">
        <w:t xml:space="preserve"> None.</w:t>
      </w:r>
    </w:p>
    <w:p w:rsidR="004C03BC" w:rsidRPr="008D6AB4" w:rsidRDefault="00ED6C82">
      <w:r w:rsidRPr="008D6AB4">
        <w:br w:type="page"/>
      </w:r>
    </w:p>
    <w:p w:rsidR="004C03BC" w:rsidRPr="008D6AB4" w:rsidRDefault="00ED6C82">
      <w:pPr>
        <w:pStyle w:val="Heading1"/>
      </w:pPr>
      <w:bookmarkStart w:id="15" w:name="references"/>
      <w:r w:rsidRPr="008D6AB4">
        <w:lastRenderedPageBreak/>
        <w:t>REFERENCES</w:t>
      </w:r>
      <w:bookmarkEnd w:id="15"/>
    </w:p>
    <w:p w:rsidR="004C03BC" w:rsidRPr="008D6AB4" w:rsidRDefault="00ED6C82">
      <w:pPr>
        <w:pStyle w:val="Bibliography"/>
      </w:pPr>
      <w:bookmarkStart w:id="16" w:name="ref-whelton20182017"/>
      <w:bookmarkStart w:id="17" w:name="refs"/>
      <w:r w:rsidRPr="008D6AB4">
        <w:t xml:space="preserve">1 Whelton PK, Carey RM, Aronow WS, Casey DE, Collins KJ, Himmelfarb CD </w:t>
      </w:r>
      <w:r w:rsidRPr="008D6AB4">
        <w:rPr>
          <w:i/>
        </w:rPr>
        <w:t>et al.</w:t>
      </w:r>
      <w:r w:rsidRPr="008D6AB4">
        <w:t xml:space="preserve"> 2017 ACC/AHA/AAPA/ABC/ACPM/AGS/APhA/ASH/ASPC/NMA/PCNA guideline for the prevention, detection, evaluation, and management of high blood pressure in adults: A report of the American college of cardiology/American heart association task force on clinical practice guidelines. </w:t>
      </w:r>
      <w:r w:rsidRPr="008D6AB4">
        <w:rPr>
          <w:i/>
        </w:rPr>
        <w:t>Journal of the American College of Cardiology</w:t>
      </w:r>
      <w:r w:rsidRPr="008D6AB4">
        <w:t xml:space="preserve"> 2018; 71:e127–e248.</w:t>
      </w:r>
    </w:p>
    <w:p w:rsidR="004C03BC" w:rsidRPr="008D6AB4" w:rsidRDefault="00ED6C82">
      <w:pPr>
        <w:pStyle w:val="Bibliography"/>
      </w:pPr>
      <w:bookmarkStart w:id="18" w:name="ref-goff20142013"/>
      <w:bookmarkEnd w:id="16"/>
      <w:r w:rsidRPr="008D6AB4">
        <w:t xml:space="preserve">2 Goff DC, Lloyd-Jones DM, Bennett G, Coady S, D’agostino RB, Gibbons R </w:t>
      </w:r>
      <w:r w:rsidRPr="008D6AB4">
        <w:rPr>
          <w:i/>
        </w:rPr>
        <w:t>et al.</w:t>
      </w:r>
      <w:r w:rsidRPr="008D6AB4">
        <w:t xml:space="preserve"> 2013 ACC/AHA guideline on the assessment of cardiovascular risk: A report of the American college of cardiology/American heart association task force on practice guidelines. </w:t>
      </w:r>
      <w:r w:rsidRPr="008D6AB4">
        <w:rPr>
          <w:i/>
        </w:rPr>
        <w:t>Journal of the American College of Cardiology</w:t>
      </w:r>
      <w:r w:rsidRPr="008D6AB4">
        <w:t xml:space="preserve"> 2014; 63:2935–2959.</w:t>
      </w:r>
    </w:p>
    <w:p w:rsidR="004C03BC" w:rsidRPr="008D6AB4" w:rsidRDefault="00ED6C82">
      <w:pPr>
        <w:pStyle w:val="Bibliography"/>
      </w:pPr>
      <w:bookmarkStart w:id="19" w:name="ref-shillinglaw2012use"/>
      <w:bookmarkEnd w:id="18"/>
      <w:r w:rsidRPr="008D6AB4">
        <w:t xml:space="preserve">3 Shillinglaw B, Viera AJ, Edwards T, Simpson R, Sheridan SL. Use of global coronary heart disease risk assessment in practice: A cross-sectional survey of a sample of us physicians. </w:t>
      </w:r>
      <w:r w:rsidRPr="008D6AB4">
        <w:rPr>
          <w:i/>
        </w:rPr>
        <w:t>BMC health services research</w:t>
      </w:r>
      <w:r w:rsidRPr="008D6AB4">
        <w:t xml:space="preserve"> 2012; 12:20.</w:t>
      </w:r>
    </w:p>
    <w:p w:rsidR="004C03BC" w:rsidRPr="008D6AB4" w:rsidRDefault="00ED6C82">
      <w:pPr>
        <w:pStyle w:val="Bibliography"/>
      </w:pPr>
      <w:bookmarkStart w:id="20" w:name="ref-nhanes_home"/>
      <w:bookmarkEnd w:id="19"/>
      <w:r w:rsidRPr="008D6AB4">
        <w:t xml:space="preserve">4 NHANES. National health and nutrition examination survey homepage, available at </w:t>
      </w:r>
      <w:hyperlink r:id="rId13">
        <w:r w:rsidRPr="008D6AB4">
          <w:rPr>
            <w:rStyle w:val="Hyperlink"/>
            <w:color w:val="auto"/>
          </w:rPr>
          <w:t>https://www.cdc.gov/nchs/nhanes/index.htm</w:t>
        </w:r>
      </w:hyperlink>
      <w:r w:rsidRPr="008D6AB4">
        <w:t xml:space="preserve">. Accessed on 09/07/2020. </w:t>
      </w:r>
    </w:p>
    <w:p w:rsidR="004C03BC" w:rsidRPr="008D6AB4" w:rsidRDefault="00ED6C82">
      <w:pPr>
        <w:pStyle w:val="Bibliography"/>
      </w:pPr>
      <w:bookmarkStart w:id="21" w:name="ref-nhanes_tutorial_weights"/>
      <w:bookmarkEnd w:id="20"/>
      <w:r w:rsidRPr="008D6AB4">
        <w:t xml:space="preserve">5 NHANES. Tutorials - module 3 - weighting, available at </w:t>
      </w:r>
      <w:hyperlink r:id="rId14">
        <w:r w:rsidRPr="008D6AB4">
          <w:rPr>
            <w:rStyle w:val="Hyperlink"/>
            <w:color w:val="auto"/>
          </w:rPr>
          <w:t>https://wwwn.cdc.gov/nchs/nhanes/tutorials/module3.aspx</w:t>
        </w:r>
      </w:hyperlink>
      <w:r w:rsidRPr="008D6AB4">
        <w:t xml:space="preserve">. Accessed on 09/07/2020. </w:t>
      </w:r>
    </w:p>
    <w:p w:rsidR="004C03BC" w:rsidRPr="008D6AB4" w:rsidRDefault="00ED6C82">
      <w:pPr>
        <w:pStyle w:val="Bibliography"/>
      </w:pPr>
      <w:bookmarkStart w:id="22" w:name="ref-levey2009new"/>
      <w:bookmarkEnd w:id="21"/>
      <w:r w:rsidRPr="008D6AB4">
        <w:t xml:space="preserve">6 Levey AS, Stevens LA, Schmid CH, Zhang Y, Castro III AF, Feldman HI </w:t>
      </w:r>
      <w:r w:rsidRPr="008D6AB4">
        <w:rPr>
          <w:i/>
        </w:rPr>
        <w:t>et al.</w:t>
      </w:r>
      <w:r w:rsidRPr="008D6AB4">
        <w:t xml:space="preserve"> A new equation to estimate glomerular filtration rate. </w:t>
      </w:r>
      <w:r w:rsidRPr="008D6AB4">
        <w:rPr>
          <w:i/>
        </w:rPr>
        <w:t>Annals of internal medicine</w:t>
      </w:r>
      <w:r w:rsidRPr="008D6AB4">
        <w:t xml:space="preserve"> 2009; 150:604–612.</w:t>
      </w:r>
    </w:p>
    <w:p w:rsidR="004C03BC" w:rsidRPr="008D6AB4" w:rsidRDefault="00ED6C82">
      <w:pPr>
        <w:pStyle w:val="Bibliography"/>
      </w:pPr>
      <w:bookmarkStart w:id="23" w:name="ref-cite_nephro"/>
      <w:bookmarkEnd w:id="22"/>
      <w:r w:rsidRPr="008D6AB4">
        <w:t xml:space="preserve">7 Pattaro C. </w:t>
      </w:r>
      <w:r w:rsidRPr="008D6AB4">
        <w:rPr>
          <w:i/>
        </w:rPr>
        <w:t>Nephro: Utilities for nephrology</w:t>
      </w:r>
      <w:r w:rsidRPr="008D6AB4">
        <w:t xml:space="preserve">.; 2017. </w:t>
      </w:r>
      <w:hyperlink r:id="rId15">
        <w:r w:rsidRPr="008D6AB4">
          <w:rPr>
            <w:rStyle w:val="Hyperlink"/>
            <w:color w:val="auto"/>
          </w:rPr>
          <w:t>https://CRAN.R-project.org/package=nephro</w:t>
        </w:r>
      </w:hyperlink>
    </w:p>
    <w:p w:rsidR="004C03BC" w:rsidRPr="008D6AB4" w:rsidRDefault="00ED6C82">
      <w:pPr>
        <w:pStyle w:val="Bibliography"/>
      </w:pPr>
      <w:bookmarkStart w:id="24" w:name="ref-lloyd2019use"/>
      <w:bookmarkEnd w:id="23"/>
      <w:r w:rsidRPr="008D6AB4">
        <w:t xml:space="preserve">8 Lloyd-Jones DM, Braun LT, Ndumele CE, Smith SC, Sperling LS, Virani SS </w:t>
      </w:r>
      <w:r w:rsidRPr="008D6AB4">
        <w:rPr>
          <w:i/>
        </w:rPr>
        <w:t>et al.</w:t>
      </w:r>
      <w:r w:rsidRPr="008D6AB4">
        <w:t xml:space="preserve"> Use of risk assessment tools to guide decision-making in the primary prevention of atherosclerotic cardiovascular disease: A special report from the american heart association and american college of cardiology. </w:t>
      </w:r>
      <w:r w:rsidRPr="008D6AB4">
        <w:rPr>
          <w:i/>
        </w:rPr>
        <w:t>Journal of the American College of Cardiology</w:t>
      </w:r>
      <w:r w:rsidRPr="008D6AB4">
        <w:t xml:space="preserve"> 2019; 73:3153–3167.</w:t>
      </w:r>
    </w:p>
    <w:p w:rsidR="004C03BC" w:rsidRPr="008D6AB4" w:rsidRDefault="00ED6C82">
      <w:pPr>
        <w:pStyle w:val="Bibliography"/>
      </w:pPr>
      <w:bookmarkStart w:id="25" w:name="ref-cite_R"/>
      <w:bookmarkEnd w:id="24"/>
      <w:r w:rsidRPr="008D6AB4">
        <w:t xml:space="preserve">9 R Core Team. </w:t>
      </w:r>
      <w:r w:rsidRPr="008D6AB4">
        <w:rPr>
          <w:i/>
        </w:rPr>
        <w:t>R: A language and environment for statistical computing</w:t>
      </w:r>
      <w:r w:rsidRPr="008D6AB4">
        <w:t xml:space="preserve">. Vienna, Austria: R Foundation for Statistical Computing; 2020. </w:t>
      </w:r>
      <w:hyperlink r:id="rId16">
        <w:r w:rsidRPr="008D6AB4">
          <w:rPr>
            <w:rStyle w:val="Hyperlink"/>
            <w:color w:val="auto"/>
          </w:rPr>
          <w:t>https://www.R-project.org/</w:t>
        </w:r>
      </w:hyperlink>
    </w:p>
    <w:p w:rsidR="004C03BC" w:rsidRPr="008D6AB4" w:rsidRDefault="00ED6C82">
      <w:pPr>
        <w:pStyle w:val="Bibliography"/>
      </w:pPr>
      <w:bookmarkStart w:id="26" w:name="ref-cite_drake"/>
      <w:bookmarkEnd w:id="25"/>
      <w:r w:rsidRPr="008D6AB4">
        <w:t xml:space="preserve">10 Landau WM. The drake R package: A pipeline toolkit for reproducibility and high-performance computing. </w:t>
      </w:r>
      <w:r w:rsidRPr="008D6AB4">
        <w:rPr>
          <w:i/>
        </w:rPr>
        <w:t>Journal of Open Source Software</w:t>
      </w:r>
      <w:r w:rsidRPr="008D6AB4">
        <w:t xml:space="preserve"> 2018; 3.</w:t>
      </w:r>
      <w:hyperlink r:id="rId17">
        <w:r w:rsidRPr="008D6AB4">
          <w:rPr>
            <w:rStyle w:val="Hyperlink"/>
            <w:color w:val="auto"/>
          </w:rPr>
          <w:t>https://doi.org/10.21105/joss.00550</w:t>
        </w:r>
      </w:hyperlink>
    </w:p>
    <w:p w:rsidR="004C03BC" w:rsidRPr="008D6AB4" w:rsidRDefault="00ED6C82">
      <w:pPr>
        <w:pStyle w:val="Bibliography"/>
      </w:pPr>
      <w:bookmarkStart w:id="27" w:name="ref-cite_tidyverse"/>
      <w:bookmarkEnd w:id="26"/>
      <w:r w:rsidRPr="008D6AB4">
        <w:t xml:space="preserve">11 Wickham H, Averick M, Bryan J, Chang W, McGowan LD, François R </w:t>
      </w:r>
      <w:r w:rsidRPr="008D6AB4">
        <w:rPr>
          <w:i/>
        </w:rPr>
        <w:t>et al.</w:t>
      </w:r>
      <w:r w:rsidRPr="008D6AB4">
        <w:t xml:space="preserve"> Welcome to the tidyverse. </w:t>
      </w:r>
      <w:r w:rsidRPr="008D6AB4">
        <w:rPr>
          <w:i/>
        </w:rPr>
        <w:t>Journal of Open Source Software</w:t>
      </w:r>
      <w:r w:rsidRPr="008D6AB4">
        <w:t xml:space="preserve"> 2019; 4:1686.</w:t>
      </w:r>
    </w:p>
    <w:p w:rsidR="004C03BC" w:rsidRPr="008D6AB4" w:rsidRDefault="00ED6C82">
      <w:pPr>
        <w:pStyle w:val="Bibliography"/>
      </w:pPr>
      <w:bookmarkStart w:id="28" w:name="ref-cite_table.glue"/>
      <w:bookmarkEnd w:id="27"/>
      <w:r w:rsidRPr="008D6AB4">
        <w:t xml:space="preserve">12 Jaeger B. </w:t>
      </w:r>
      <w:r w:rsidRPr="008D6AB4">
        <w:rPr>
          <w:i/>
        </w:rPr>
        <w:t>table.glue: Make and apply customized rounding specifications for tables</w:t>
      </w:r>
      <w:r w:rsidRPr="008D6AB4">
        <w:t>.; 2020. doi:</w:t>
      </w:r>
      <w:hyperlink r:id="rId18">
        <w:r w:rsidRPr="008D6AB4">
          <w:rPr>
            <w:rStyle w:val="Hyperlink"/>
            <w:color w:val="auto"/>
          </w:rPr>
          <w:t>10.5281/zenodo.4107159</w:t>
        </w:r>
      </w:hyperlink>
    </w:p>
    <w:p w:rsidR="004C03BC" w:rsidRPr="008D6AB4" w:rsidRDefault="00ED6C82">
      <w:pPr>
        <w:pStyle w:val="Bibliography"/>
      </w:pPr>
      <w:bookmarkStart w:id="29" w:name="ref-colantonio20182017"/>
      <w:bookmarkEnd w:id="28"/>
      <w:r w:rsidRPr="008D6AB4">
        <w:t xml:space="preserve">13 Colantonio LD, Booth JN, Bress AP, Whelton PK, Shimbo D, Levitan EB </w:t>
      </w:r>
      <w:r w:rsidRPr="008D6AB4">
        <w:rPr>
          <w:i/>
        </w:rPr>
        <w:t>et al.</w:t>
      </w:r>
      <w:r w:rsidRPr="008D6AB4">
        <w:t xml:space="preserve"> 2017 American college of cardiology/American heart association blood pressure treatment guideline </w:t>
      </w:r>
      <w:r w:rsidRPr="008D6AB4">
        <w:lastRenderedPageBreak/>
        <w:t xml:space="preserve">recommendations and cardiovascular risk. </w:t>
      </w:r>
      <w:r w:rsidRPr="008D6AB4">
        <w:rPr>
          <w:i/>
        </w:rPr>
        <w:t>Journal of the American College of Cardiology</w:t>
      </w:r>
      <w:r w:rsidRPr="008D6AB4">
        <w:t xml:space="preserve"> 2018; 72:1187–1197.</w:t>
      </w:r>
    </w:p>
    <w:p w:rsidR="004C03BC" w:rsidRPr="008D6AB4" w:rsidRDefault="00ED6C82">
      <w:pPr>
        <w:pStyle w:val="Bibliography"/>
      </w:pPr>
      <w:bookmarkStart w:id="30" w:name="ref-jaeger2019cardiovascular"/>
      <w:bookmarkEnd w:id="29"/>
      <w:r w:rsidRPr="008D6AB4">
        <w:t xml:space="preserve">14 Jaeger BC, Anstey DE, Bress AP, Booth III JN, Butler M, Clark III D </w:t>
      </w:r>
      <w:r w:rsidRPr="008D6AB4">
        <w:rPr>
          <w:i/>
        </w:rPr>
        <w:t>et al.</w:t>
      </w:r>
      <w:r w:rsidRPr="008D6AB4">
        <w:t xml:space="preserve"> Cardiovascular disease and mortality in adults aged ≥60 years according to recommendations by the American college of cardiology/American heart association and American college of physicians/American academy of family physicians. </w:t>
      </w:r>
      <w:r w:rsidRPr="008D6AB4">
        <w:rPr>
          <w:i/>
        </w:rPr>
        <w:t>Hypertension</w:t>
      </w:r>
      <w:r w:rsidRPr="008D6AB4">
        <w:t xml:space="preserve"> 2019; 73:327–334.</w:t>
      </w:r>
    </w:p>
    <w:p w:rsidR="004C03BC" w:rsidRPr="008D6AB4" w:rsidRDefault="00ED6C82">
      <w:pPr>
        <w:pStyle w:val="Bibliography"/>
      </w:pPr>
      <w:bookmarkStart w:id="31" w:name="ref-herrett2019eligibility"/>
      <w:bookmarkEnd w:id="30"/>
      <w:r w:rsidRPr="008D6AB4">
        <w:t xml:space="preserve">15 Herrett E, Gadd S, Jackson R, Bhaskaran K, Williamson E, Staa T van </w:t>
      </w:r>
      <w:r w:rsidRPr="008D6AB4">
        <w:rPr>
          <w:i/>
        </w:rPr>
        <w:t>et al.</w:t>
      </w:r>
      <w:r w:rsidRPr="008D6AB4">
        <w:t xml:space="preserve"> Eligibility and subsequent burden of cardiovascular disease of four strategies for blood pressure-lowering treatment: A retrospective cohort study. </w:t>
      </w:r>
      <w:r w:rsidRPr="008D6AB4">
        <w:rPr>
          <w:i/>
        </w:rPr>
        <w:t>The Lancet</w:t>
      </w:r>
      <w:r w:rsidRPr="008D6AB4">
        <w:t xml:space="preserve"> 2019; 394:663–671.</w:t>
      </w:r>
    </w:p>
    <w:p w:rsidR="004C03BC" w:rsidRPr="008D6AB4" w:rsidRDefault="00ED6C82">
      <w:pPr>
        <w:pStyle w:val="Bibliography"/>
      </w:pPr>
      <w:bookmarkStart w:id="32" w:name="ref-schrier2002effects"/>
      <w:bookmarkEnd w:id="31"/>
      <w:r w:rsidRPr="008D6AB4">
        <w:t xml:space="preserve">16 Schrier RW, Estacio RO, Esler A, Mehler P. Effects of aggressive blood pressure control in normotensive type 2 diabetic patients on albuminuria, retinopathy and strokes. </w:t>
      </w:r>
      <w:r w:rsidRPr="008D6AB4">
        <w:rPr>
          <w:i/>
        </w:rPr>
        <w:t>Kidney international</w:t>
      </w:r>
      <w:r w:rsidRPr="008D6AB4">
        <w:t xml:space="preserve"> 2002; 61:1086–1097.</w:t>
      </w:r>
    </w:p>
    <w:p w:rsidR="004C03BC" w:rsidRPr="008D6AB4" w:rsidRDefault="00ED6C82">
      <w:pPr>
        <w:pStyle w:val="Bibliography"/>
      </w:pPr>
      <w:bookmarkStart w:id="33" w:name="ref-cheung2017effects"/>
      <w:bookmarkEnd w:id="32"/>
      <w:r w:rsidRPr="008D6AB4">
        <w:t xml:space="preserve">17 Cheung AK, Rahman M, Reboussin DM, Craven TE, Greene T, Kimmel PL </w:t>
      </w:r>
      <w:r w:rsidRPr="008D6AB4">
        <w:rPr>
          <w:i/>
        </w:rPr>
        <w:t>et al.</w:t>
      </w:r>
      <w:r w:rsidRPr="008D6AB4">
        <w:t xml:space="preserve"> Effects of intensive blood pressure control in chronic kidney disease. </w:t>
      </w:r>
      <w:r w:rsidRPr="008D6AB4">
        <w:rPr>
          <w:i/>
        </w:rPr>
        <w:t>Journal of the American Society of Nephrology</w:t>
      </w:r>
      <w:r w:rsidRPr="008D6AB4">
        <w:t xml:space="preserve"> 2017; 28:2812–2823.</w:t>
      </w:r>
    </w:p>
    <w:p w:rsidR="004C03BC" w:rsidRPr="008D6AB4" w:rsidRDefault="00ED6C82">
      <w:pPr>
        <w:pStyle w:val="Bibliography"/>
      </w:pPr>
      <w:bookmarkStart w:id="34" w:name="ref-sprint2015randomized"/>
      <w:bookmarkEnd w:id="33"/>
      <w:r w:rsidRPr="008D6AB4">
        <w:t xml:space="preserve">18 SPRINT Research Group. A randomized trial of intensive versus standard blood-pressure control. </w:t>
      </w:r>
      <w:r w:rsidRPr="008D6AB4">
        <w:rPr>
          <w:i/>
        </w:rPr>
        <w:t>New England Journal of Medicine</w:t>
      </w:r>
      <w:r w:rsidRPr="008D6AB4">
        <w:t xml:space="preserve"> 2015; 373:2103–2116.</w:t>
      </w:r>
    </w:p>
    <w:p w:rsidR="004C03BC" w:rsidRPr="008D6AB4" w:rsidRDefault="00ED6C82">
      <w:pPr>
        <w:pStyle w:val="Bibliography"/>
      </w:pPr>
      <w:bookmarkStart w:id="35" w:name="ref-ettehad2016blood"/>
      <w:bookmarkEnd w:id="34"/>
      <w:r w:rsidRPr="008D6AB4">
        <w:t xml:space="preserve">19 Ettehad D, Emdin CA, Kiran A, Anderson SG, Callender T, Emberson J </w:t>
      </w:r>
      <w:r w:rsidRPr="008D6AB4">
        <w:rPr>
          <w:i/>
        </w:rPr>
        <w:t>et al.</w:t>
      </w:r>
      <w:r w:rsidRPr="008D6AB4">
        <w:t xml:space="preserve"> Blood pressure lowering for prevention of cardiovascular disease and death: A systematic review and meta-analysis. </w:t>
      </w:r>
      <w:r w:rsidRPr="008D6AB4">
        <w:rPr>
          <w:i/>
        </w:rPr>
        <w:t>The Lancet</w:t>
      </w:r>
      <w:r w:rsidRPr="008D6AB4">
        <w:t xml:space="preserve"> 2016; 387:957–967.</w:t>
      </w:r>
    </w:p>
    <w:p w:rsidR="004C03BC" w:rsidRPr="008D6AB4" w:rsidRDefault="00ED6C82">
      <w:pPr>
        <w:pStyle w:val="Bibliography"/>
      </w:pPr>
      <w:bookmarkStart w:id="36" w:name="ref-bundy2017systolic"/>
      <w:bookmarkEnd w:id="35"/>
      <w:r w:rsidRPr="008D6AB4">
        <w:t xml:space="preserve">20 Bundy JD, Li C, Stuchlik P, Bu X, Kelly TN, Mills KT </w:t>
      </w:r>
      <w:r w:rsidRPr="008D6AB4">
        <w:rPr>
          <w:i/>
        </w:rPr>
        <w:t>et al.</w:t>
      </w:r>
      <w:r w:rsidRPr="008D6AB4">
        <w:t xml:space="preserve"> Systolic blood pressure reduction and risk of cardiovascular disease and mortality: A systematic review and network meta-analysis. </w:t>
      </w:r>
      <w:r w:rsidRPr="008D6AB4">
        <w:rPr>
          <w:i/>
        </w:rPr>
        <w:t>JAMA cardiology</w:t>
      </w:r>
      <w:r w:rsidRPr="008D6AB4">
        <w:t xml:space="preserve"> 2017; 2:775–781.</w:t>
      </w:r>
    </w:p>
    <w:p w:rsidR="004C03BC" w:rsidRPr="008D6AB4" w:rsidRDefault="00ED6C82">
      <w:pPr>
        <w:pStyle w:val="Bibliography"/>
      </w:pPr>
      <w:bookmarkStart w:id="37" w:name="ref-reboussin2018systematic"/>
      <w:bookmarkEnd w:id="36"/>
      <w:r w:rsidRPr="008D6AB4">
        <w:t xml:space="preserve">21 Reboussin DM, Allen NB, Griswold ME, Guallar E, Hong Y, Lackland DT </w:t>
      </w:r>
      <w:r w:rsidRPr="008D6AB4">
        <w:rPr>
          <w:i/>
        </w:rPr>
        <w:t>et al.</w:t>
      </w:r>
      <w:r w:rsidRPr="008D6AB4">
        <w:t xml:space="preserve"> 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 </w:t>
      </w:r>
      <w:r w:rsidRPr="008D6AB4">
        <w:rPr>
          <w:i/>
        </w:rPr>
        <w:t>Journal of the American College of Cardiology</w:t>
      </w:r>
      <w:r w:rsidRPr="008D6AB4">
        <w:t xml:space="preserve"> 2018; 71:2176–2198.</w:t>
      </w:r>
    </w:p>
    <w:p w:rsidR="004C03BC" w:rsidRPr="008D6AB4" w:rsidRDefault="00ED6C82">
      <w:pPr>
        <w:pStyle w:val="Bibliography"/>
      </w:pPr>
      <w:bookmarkStart w:id="38" w:name="ref-coresh2004evidence"/>
      <w:bookmarkEnd w:id="37"/>
      <w:r w:rsidRPr="008D6AB4">
        <w:t xml:space="preserve">22 Coresh J, Astor B, Sarnak MJ. Evidence for increased cardiovascular disease risk in patients with chronic kidney disease. </w:t>
      </w:r>
      <w:r w:rsidRPr="008D6AB4">
        <w:rPr>
          <w:i/>
        </w:rPr>
        <w:t>Current opinion in nephrology and hypertension</w:t>
      </w:r>
      <w:r w:rsidRPr="008D6AB4">
        <w:t xml:space="preserve"> 2004; 13:73–81.</w:t>
      </w:r>
    </w:p>
    <w:p w:rsidR="004C03BC" w:rsidRPr="008D6AB4" w:rsidRDefault="00ED6C82">
      <w:pPr>
        <w:pStyle w:val="Bibliography"/>
      </w:pPr>
      <w:bookmarkStart w:id="39" w:name="ref-chronic2010association"/>
      <w:bookmarkEnd w:id="38"/>
      <w:r w:rsidRPr="008D6AB4">
        <w:t xml:space="preserve">23 Chronic Kidney Disease Prognosis Consortium and others. Association of estimated glomerular filtration rate and albuminuria with all-cause and cardiovascular mortality in general population cohorts: A collaborative meta-analysis. </w:t>
      </w:r>
      <w:r w:rsidRPr="008D6AB4">
        <w:rPr>
          <w:i/>
        </w:rPr>
        <w:t>The Lancet</w:t>
      </w:r>
      <w:r w:rsidRPr="008D6AB4">
        <w:t xml:space="preserve"> 2010; 375:2073–2081.</w:t>
      </w:r>
    </w:p>
    <w:p w:rsidR="004C03BC" w:rsidRPr="008D6AB4" w:rsidRDefault="00ED6C82">
      <w:pPr>
        <w:pStyle w:val="Bibliography"/>
      </w:pPr>
      <w:bookmarkStart w:id="40" w:name="ref-grundy1999diabetes"/>
      <w:bookmarkEnd w:id="39"/>
      <w:r w:rsidRPr="008D6AB4">
        <w:t xml:space="preserve">24 Grundy SM, Benjamin IJ, Burke GL, Chait A, Eckel RH, Howard BV </w:t>
      </w:r>
      <w:r w:rsidRPr="008D6AB4">
        <w:rPr>
          <w:i/>
        </w:rPr>
        <w:t>et al.</w:t>
      </w:r>
      <w:r w:rsidRPr="008D6AB4">
        <w:t xml:space="preserve"> Diabetes and cardiovascular disease: A statement for healthcare professionals from the American heart association. </w:t>
      </w:r>
      <w:r w:rsidRPr="008D6AB4">
        <w:rPr>
          <w:i/>
        </w:rPr>
        <w:t>Circulation</w:t>
      </w:r>
      <w:r w:rsidRPr="008D6AB4">
        <w:t xml:space="preserve"> 1999; 100:1134–1146.</w:t>
      </w:r>
    </w:p>
    <w:p w:rsidR="004C03BC" w:rsidRPr="008D6AB4" w:rsidRDefault="00ED6C82">
      <w:pPr>
        <w:pStyle w:val="Bibliography"/>
      </w:pPr>
      <w:bookmarkStart w:id="41" w:name="ref-lakatta2002age"/>
      <w:bookmarkEnd w:id="40"/>
      <w:r w:rsidRPr="008D6AB4">
        <w:t xml:space="preserve">25 Lakatta EG. Age-associated cardiovascular changes in health: Impact on cardiovascular disease in older persons. </w:t>
      </w:r>
      <w:r w:rsidRPr="008D6AB4">
        <w:rPr>
          <w:i/>
        </w:rPr>
        <w:t>Heart failure reviews</w:t>
      </w:r>
      <w:r w:rsidRPr="008D6AB4">
        <w:t xml:space="preserve"> 2002; 7:29–49.</w:t>
      </w:r>
    </w:p>
    <w:p w:rsidR="004C03BC" w:rsidRPr="008D6AB4" w:rsidRDefault="00ED6C82">
      <w:pPr>
        <w:pStyle w:val="Bibliography"/>
      </w:pPr>
      <w:bookmarkStart w:id="42" w:name="ref-lloyd2006prediction"/>
      <w:bookmarkEnd w:id="41"/>
      <w:r w:rsidRPr="008D6AB4">
        <w:lastRenderedPageBreak/>
        <w:t xml:space="preserve">26 Lloyd-Jones DM, Leip EP, Larson MG, d’Agostino RB, Beiser A, Wilson P </w:t>
      </w:r>
      <w:r w:rsidRPr="008D6AB4">
        <w:rPr>
          <w:i/>
        </w:rPr>
        <w:t>et al.</w:t>
      </w:r>
      <w:r w:rsidRPr="008D6AB4">
        <w:t xml:space="preserve"> Prediction of lifetime risk for cardiovascular disease by risk factor burden at 50 years of age. </w:t>
      </w:r>
      <w:r w:rsidRPr="008D6AB4">
        <w:rPr>
          <w:i/>
        </w:rPr>
        <w:t>Circulation</w:t>
      </w:r>
      <w:r w:rsidRPr="008D6AB4">
        <w:t xml:space="preserve"> 2006; 113:791–798.</w:t>
      </w:r>
    </w:p>
    <w:p w:rsidR="004C03BC" w:rsidRPr="008D6AB4" w:rsidRDefault="00ED6C82">
      <w:pPr>
        <w:pStyle w:val="Bibliography"/>
      </w:pPr>
      <w:bookmarkStart w:id="43" w:name="ref-hippisley2010derivation"/>
      <w:bookmarkEnd w:id="42"/>
      <w:r w:rsidRPr="008D6AB4">
        <w:t xml:space="preserve">27 Hippisley-Cox J, Coupland C, Robson J, Brindle P. Derivation, validation, and evaluation of a new QRISK model to estimate lifetime risk of cardiovascular disease: Cohort study using QResearch database. </w:t>
      </w:r>
      <w:r w:rsidRPr="008D6AB4">
        <w:rPr>
          <w:i/>
        </w:rPr>
        <w:t>BMJ</w:t>
      </w:r>
      <w:r w:rsidRPr="008D6AB4">
        <w:t xml:space="preserve"> 2010; 341.</w:t>
      </w:r>
    </w:p>
    <w:p w:rsidR="004C03BC" w:rsidRPr="008D6AB4" w:rsidRDefault="00ED6C82">
      <w:pPr>
        <w:pStyle w:val="Bibliography"/>
      </w:pPr>
      <w:bookmarkStart w:id="44" w:name="ref-allen2014blood"/>
      <w:bookmarkEnd w:id="43"/>
      <w:r w:rsidRPr="008D6AB4">
        <w:t xml:space="preserve">28 Allen NB, Siddique J, Wilkins JT, Shay C, Lewis CE, Goff DC </w:t>
      </w:r>
      <w:r w:rsidRPr="008D6AB4">
        <w:rPr>
          <w:i/>
        </w:rPr>
        <w:t>et al.</w:t>
      </w:r>
      <w:r w:rsidRPr="008D6AB4">
        <w:t xml:space="preserve"> Blood pressure trajectories in early adulthood and subclinical atherosclerosis in middle age. </w:t>
      </w:r>
      <w:r w:rsidRPr="008D6AB4">
        <w:rPr>
          <w:i/>
        </w:rPr>
        <w:t>Jama</w:t>
      </w:r>
      <w:r w:rsidRPr="008D6AB4">
        <w:t xml:space="preserve"> 2014; 311:490–497.</w:t>
      </w:r>
      <w:bookmarkEnd w:id="17"/>
      <w:bookmarkEnd w:id="44"/>
    </w:p>
    <w:sectPr w:rsidR="004C03BC" w:rsidRPr="008D6AB4">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68" w:rsidRDefault="00AC2768">
      <w:pPr>
        <w:spacing w:after="0"/>
      </w:pPr>
      <w:r>
        <w:separator/>
      </w:r>
    </w:p>
  </w:endnote>
  <w:endnote w:type="continuationSeparator" w:id="0">
    <w:p w:rsidR="00AC2768" w:rsidRDefault="00AC2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ED6C82">
        <w:pPr>
          <w:pStyle w:val="Footer"/>
        </w:pPr>
        <w:r>
          <w:fldChar w:fldCharType="begin"/>
        </w:r>
        <w:r>
          <w:instrText xml:space="preserve"> PAGE   \* MERGEFORMAT </w:instrText>
        </w:r>
        <w:r>
          <w:fldChar w:fldCharType="separate"/>
        </w:r>
        <w:r w:rsidR="008D6AB4">
          <w:rPr>
            <w:noProof/>
          </w:rPr>
          <w:t>20</w:t>
        </w:r>
        <w:r>
          <w:rPr>
            <w:noProof/>
          </w:rPr>
          <w:fldChar w:fldCharType="end"/>
        </w:r>
      </w:p>
    </w:sdtContent>
  </w:sdt>
  <w:p w:rsidR="00314C34" w:rsidRDefault="00AC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68" w:rsidRDefault="00AC2768">
      <w:r>
        <w:separator/>
      </w:r>
    </w:p>
  </w:footnote>
  <w:footnote w:type="continuationSeparator" w:id="0">
    <w:p w:rsidR="00AC2768" w:rsidRDefault="00AC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B5458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C03BC"/>
    <w:rsid w:val="004E29B3"/>
    <w:rsid w:val="00530038"/>
    <w:rsid w:val="00590D07"/>
    <w:rsid w:val="00784D58"/>
    <w:rsid w:val="008D6863"/>
    <w:rsid w:val="008D6AB4"/>
    <w:rsid w:val="00AC2768"/>
    <w:rsid w:val="00B86B75"/>
    <w:rsid w:val="00BC48D5"/>
    <w:rsid w:val="00C36279"/>
    <w:rsid w:val="00E315A3"/>
    <w:rsid w:val="00ED6C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1E299-27D3-48B8-AEA6-BA44CFFC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6360</Words>
  <Characters>36256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2</cp:revision>
  <dcterms:created xsi:type="dcterms:W3CDTF">2021-06-14T20:38:00Z</dcterms:created>
  <dcterms:modified xsi:type="dcterms:W3CDTF">2021-06-14T20:38:00Z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