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218C" w:rsidRDefault="00265C63">
      <w:pPr>
        <w:pStyle w:val="Title"/>
      </w:pPr>
      <w:r>
        <w:t>Predicted cardiovascular risk for US adults with diabetes, chronic kidney disease, and ≥65 years of age</w:t>
      </w:r>
    </w:p>
    <w:p w:rsidR="00F6218C" w:rsidRDefault="00265C63">
      <w:pPr>
        <w:pStyle w:val="Subtitle"/>
      </w:pPr>
      <w:r>
        <w:t>Response to reviewers</w:t>
      </w:r>
    </w:p>
    <w:p w:rsidR="00F6218C" w:rsidRDefault="00265C63">
      <w:pPr>
        <w:pStyle w:val="Date"/>
      </w:pPr>
      <w:r>
        <w:t>2021-06-17</w:t>
      </w:r>
    </w:p>
    <w:p w:rsidR="00F6218C" w:rsidRDefault="00265C63">
      <w:pPr>
        <w:pStyle w:val="Heading1"/>
      </w:pPr>
      <w:bookmarkStart w:id="0" w:name="reviewer-1"/>
      <w:r>
        <w:t>Reviewer 1</w:t>
      </w:r>
      <w:bookmarkEnd w:id="0"/>
    </w:p>
    <w:p w:rsidR="00F6218C" w:rsidRDefault="00265C63">
      <w:pPr>
        <w:pStyle w:val="FirstParagraph"/>
      </w:pPr>
      <w:r>
        <w:rPr>
          <w:b/>
        </w:rPr>
        <w:t>Summary</w:t>
      </w:r>
      <w:r>
        <w:t>: Authors used the NHANES database to assess the prevalence of elevated 10-year predicted risk according to the ASCVD risk score in various groups of blood pressure. The paper is well-written and provides data supporting the recommendations made by the AHA</w:t>
      </w:r>
      <w:r>
        <w:t>/ACC Guidelines when to initiate antihypertensive medication.</w:t>
      </w:r>
    </w:p>
    <w:p w:rsidR="00F6218C" w:rsidRDefault="00265C63">
      <w:pPr>
        <w:pStyle w:val="BodyText"/>
      </w:pPr>
      <w:r>
        <w:rPr>
          <w:b/>
        </w:rPr>
        <w:t>Response</w:t>
      </w:r>
      <w:r>
        <w:t>: Thank you for your review and helpful feedback. We have responded to each of your comments below and included a list of relevant changes in the revised manuscript.</w:t>
      </w:r>
    </w:p>
    <w:p w:rsidR="00F6218C" w:rsidRDefault="00F6218C">
      <w:pPr>
        <w:pStyle w:val="BodyText"/>
      </w:pPr>
    </w:p>
    <w:p w:rsidR="00F6218C" w:rsidRDefault="00265C63">
      <w:pPr>
        <w:pStyle w:val="BodyText"/>
      </w:pPr>
      <w:r>
        <w:rPr>
          <w:b/>
        </w:rPr>
        <w:t>Comment 1</w:t>
      </w:r>
      <w:r>
        <w:t>: Introduc</w:t>
      </w:r>
      <w:r>
        <w:t>tion, The reference to specific section in the US GL appears superfluous.</w:t>
      </w:r>
    </w:p>
    <w:p w:rsidR="00F6218C" w:rsidRDefault="00265C63">
      <w:pPr>
        <w:pStyle w:val="BodyText"/>
      </w:pPr>
      <w:r>
        <w:rPr>
          <w:b/>
        </w:rPr>
        <w:t>Response</w:t>
      </w:r>
      <w:r>
        <w:t>: We agree that this reference is not needed. In the updated manuscript, the text “written in Sections 9.3, 9.6, and 10.3 of the guideline” has been removed from the first pa</w:t>
      </w:r>
      <w:r>
        <w:t>ragraph of the Introduction.</w:t>
      </w:r>
    </w:p>
    <w:p w:rsidR="00F6218C" w:rsidRDefault="00F6218C">
      <w:pPr>
        <w:pStyle w:val="BodyText"/>
      </w:pPr>
    </w:p>
    <w:p w:rsidR="00F6218C" w:rsidRDefault="00265C63">
      <w:pPr>
        <w:pStyle w:val="BodyText"/>
      </w:pPr>
      <w:r>
        <w:rPr>
          <w:b/>
        </w:rPr>
        <w:t>Comment 2</w:t>
      </w:r>
      <w:r>
        <w:t xml:space="preserve"> Methods, It should be clearly stated that the subgroups were non-exclusive.</w:t>
      </w:r>
    </w:p>
    <w:p w:rsidR="00F6218C" w:rsidRDefault="00265C63">
      <w:pPr>
        <w:pStyle w:val="BodyText"/>
      </w:pPr>
      <w:r>
        <w:rPr>
          <w:b/>
        </w:rPr>
        <w:t>Response</w:t>
      </w:r>
      <w:r>
        <w:t xml:space="preserve">: We think this is a helpful clarification to include and have modified the first sentence of the Statistical Analysis section (see </w:t>
      </w:r>
      <w:r>
        <w:t xml:space="preserve">page 9) to read as follows: “Analyses were conducted for </w:t>
      </w:r>
      <w:r>
        <w:lastRenderedPageBreak/>
        <w:t>the overall population and among non-exclusive subgroups of participants with diabetes, CKD, ≥ 65 years of age, and with any of these three characteristics.”</w:t>
      </w:r>
    </w:p>
    <w:p w:rsidR="00F6218C" w:rsidRDefault="00F6218C">
      <w:pPr>
        <w:pStyle w:val="BodyText"/>
      </w:pPr>
    </w:p>
    <w:p w:rsidR="00F6218C" w:rsidRDefault="00265C63">
      <w:pPr>
        <w:pStyle w:val="BodyText"/>
      </w:pPr>
      <w:r>
        <w:rPr>
          <w:b/>
        </w:rPr>
        <w:t>Comment 3</w:t>
      </w:r>
      <w:r>
        <w:t xml:space="preserve"> Results, It would be interesti</w:t>
      </w:r>
      <w:r>
        <w:t>ng to provide data on the number/characteristics of patients who would have received antihypertensive medication according to the ACC/AHA GL (stage 1 hypertension) but have an ASCVD risk score &lt;10% (and would not be treated according to the ESC/ESH GL).</w:t>
      </w:r>
    </w:p>
    <w:p w:rsidR="00F6218C" w:rsidRDefault="00265C63">
      <w:pPr>
        <w:pStyle w:val="BodyText"/>
      </w:pPr>
      <w:r>
        <w:rPr>
          <w:b/>
        </w:rPr>
        <w:t>Re</w:t>
      </w:r>
      <w:r>
        <w:rPr>
          <w:b/>
        </w:rPr>
        <w:t>sponse</w:t>
      </w:r>
      <w:r>
        <w:t>: We agree and have taken three steps in response:</w:t>
      </w:r>
    </w:p>
    <w:p w:rsidR="00F6218C" w:rsidRDefault="00265C63">
      <w:pPr>
        <w:pStyle w:val="BodyText"/>
      </w:pPr>
      <w:r>
        <w:rPr>
          <w:i/>
        </w:rPr>
        <w:t>Step 1</w:t>
      </w:r>
      <w:r>
        <w:t>: We computed the percentage of US adults without high ASCVD risk and with stage 1 hypertension who would be assumed to have high ASCVD risk by the ACC/AHA guideline. In the revised manuscript,</w:t>
      </w:r>
      <w:r>
        <w:t xml:space="preserve"> we have included this information. Specifically, on page 9-10, we write “The percentage of US adults with stage 1 hypertension incorrectly assumed to have high ASCVD risk by the ACC/AHA guideline due to diabetes, CKD, or age was also computed.” On page 11</w:t>
      </w:r>
      <w:r>
        <w:t>, we write “Among those without high ASCVD risk and with stage 1 hypertension, 17.8% were assumed to have high ASCVD risk by the ACC/AHA BP guideline.”</w:t>
      </w:r>
    </w:p>
    <w:p w:rsidR="00F6218C" w:rsidRDefault="00265C63">
      <w:pPr>
        <w:pStyle w:val="BodyText"/>
      </w:pPr>
      <w:r>
        <w:rPr>
          <w:i/>
        </w:rPr>
        <w:t>Step 2</w:t>
      </w:r>
      <w:r>
        <w:t>: We have computed the characteristics of US adults with stage 1 hypertension and 10-year predicte</w:t>
      </w:r>
      <w:r>
        <w:t>d ASCVD risk &lt; 10% (</w:t>
      </w:r>
      <w:r>
        <w:rPr>
          <w:b/>
        </w:rPr>
        <w:t>Table</w:t>
      </w:r>
      <w:r>
        <w:t>). Adults who would have been assumed to have high ASCVD risk by the ACC/AHA BP guideline are those with diabetes, CKD, or age ≥ 65 years in the far right column. While we believe these results are interesting, we have chosen not t</w:t>
      </w:r>
      <w:r>
        <w:t>o include them in the revised manuscript as they are similar to results in supplemental table 1, which describes the characteristics of US adults with stage 1 hypertension.</w:t>
      </w:r>
    </w:p>
    <w:p w:rsidR="00F6218C" w:rsidRDefault="00265C63">
      <w:pPr>
        <w:pStyle w:val="BodyText"/>
      </w:pPr>
      <w:r>
        <w:rPr>
          <w:i/>
        </w:rPr>
        <w:lastRenderedPageBreak/>
        <w:t>Step 3</w:t>
      </w:r>
      <w:r>
        <w:t xml:space="preserve">: We believe the 2018 ESC/ESH BP guideline is relevant to the current study, </w:t>
      </w:r>
      <w:r>
        <w:t>but we are unable to determine precisely who would or would not be recommended to initiate treatment by the ESC/ESH guideline in the current study. The ESC/ESH guideline leverages the Systematic COronary Risk Evaluation (SCORE) algorithm to predict 10-year</w:t>
      </w:r>
      <w:r>
        <w:t xml:space="preserve"> CVD mortality risk. SCORE is derived from European cohort studies and includes risk charts for low and high risk countries. Because the SCORE algorithm has not been validated in the United States and the United States is not listed as a low or high risk c</w:t>
      </w:r>
      <w:r>
        <w:t xml:space="preserve">ountry in the </w:t>
      </w:r>
      <w:hyperlink r:id="rId7">
        <w:r>
          <w:rPr>
            <w:rStyle w:val="Hyperlink"/>
          </w:rPr>
          <w:t>online calculator for SCORE</w:t>
        </w:r>
      </w:hyperlink>
      <w:r>
        <w:t>, the SCORE algorithm could not be properly applied to the current study’s cohort of US adults. Therefore</w:t>
      </w:r>
      <w:r>
        <w:t>, we have not classified who would or would not be recommended to initiate treatment based on the ESC/ESH guideline in the revised manuscript.</w:t>
      </w:r>
    </w:p>
    <w:p w:rsidR="00F6218C" w:rsidRDefault="00F6218C">
      <w:pPr>
        <w:pStyle w:val="BodyText"/>
      </w:pPr>
    </w:p>
    <w:p w:rsidR="00F6218C" w:rsidRDefault="00265C63">
      <w:pPr>
        <w:pStyle w:val="BodyText"/>
      </w:pPr>
      <w:r>
        <w:rPr>
          <w:b/>
        </w:rPr>
        <w:t>Comment 4</w:t>
      </w:r>
      <w:r>
        <w:t xml:space="preserve"> Discussion, Along the lines, please discuss the ESH/ESC GL in this context and what the data adds for </w:t>
      </w:r>
      <w:r>
        <w:t>the recommendation provided herein.</w:t>
      </w:r>
    </w:p>
    <w:p w:rsidR="00F6218C" w:rsidRDefault="00265C63">
      <w:pPr>
        <w:pStyle w:val="BodyText"/>
      </w:pPr>
      <w:r>
        <w:rPr>
          <w:b/>
        </w:rPr>
        <w:t>Response</w:t>
      </w:r>
      <w:r>
        <w:t>: We have added text that discusses components of the ESC/ESH guideline in the context of the current study. Specifically, on page 16, we write</w:t>
      </w:r>
    </w:p>
    <w:p w:rsidR="00F6218C" w:rsidRDefault="00265C63">
      <w:pPr>
        <w:pStyle w:val="BodyText"/>
      </w:pPr>
      <w:r>
        <w:t>“For example, the 2018 European Society of Cardiology (ESC) and Euro</w:t>
      </w:r>
      <w:r>
        <w:t>pean Society of Hypertension (ESH) BP guideline recommends considering initiation of antihypertensive medication for adults at very high risk of CVD with untreated SBP between 130 and 139 mm Hg or untreated DBP between 85 and 89 mm Hg. Adults with predicte</w:t>
      </w:r>
      <w:r>
        <w:t>d 10-year CVD mortality risk ≥ 10% according to the Systematic Coronary Risk Evaluation equations, severe CKD (eGFR &lt; 30 mL/min/1.73 m</w:t>
      </w:r>
      <w:r>
        <w:rPr>
          <w:vertAlign w:val="superscript"/>
        </w:rPr>
        <w:t>2</w:t>
      </w:r>
      <w:r>
        <w:t>), or diabetes with target organ damage are included in the very high CVD risk group.”</w:t>
      </w:r>
    </w:p>
    <w:p w:rsidR="00F6218C" w:rsidRDefault="00265C63">
      <w:pPr>
        <w:pStyle w:val="BodyText"/>
      </w:pPr>
      <w:r>
        <w:lastRenderedPageBreak/>
        <w:t xml:space="preserve">We have also included text in the </w:t>
      </w:r>
      <w:r>
        <w:t>discussion describing how data from the current study inform future studies on the recommendations provided in the ESC/ESH guideline (see pages 16-17):</w:t>
      </w:r>
    </w:p>
    <w:p w:rsidR="00F6218C" w:rsidRDefault="00265C63">
      <w:pPr>
        <w:pStyle w:val="BodyText"/>
      </w:pPr>
      <w:r>
        <w:t>“The current study found that many US adults with CKD (eGFR &lt;60 mL/min/1.73 m</w:t>
      </w:r>
      <w:r>
        <w:rPr>
          <w:vertAlign w:val="superscript"/>
        </w:rPr>
        <w:t>2</w:t>
      </w:r>
      <w:r>
        <w:t xml:space="preserve"> or albuminuria) or diabet</w:t>
      </w:r>
      <w:r>
        <w:t>es did not have high ASCVD risk, defined as clinical CVD or 10-year ASCVD risk ≥ 10% according to the Pooled Cohort Risk equations. Future studies may assess generalization of the current study’s findings to the ESC/ESH guideline by estimating the proporti</w:t>
      </w:r>
      <w:r>
        <w:t>on of European adults with diabetes and target organ damage or severe CKD that have clinical CVD or 10-year CVD mortality risk ≥ 10% according to the Systematic Coronary Risk Evaluation equations.”</w:t>
      </w:r>
    </w:p>
    <w:p w:rsidR="00F6218C" w:rsidRDefault="00265C63">
      <w:r>
        <w:br w:type="page"/>
      </w:r>
    </w:p>
    <w:p w:rsidR="00F6218C" w:rsidRDefault="00265C63">
      <w:pPr>
        <w:pStyle w:val="BodyText"/>
        <w:pBdr>
          <w:top w:val="none" w:sz="0" w:space="0" w:color="000000"/>
          <w:left w:val="none" w:sz="0" w:space="0" w:color="000000"/>
          <w:bottom w:val="none" w:sz="0" w:space="0" w:color="000000"/>
          <w:right w:val="none" w:sz="0" w:space="0" w:color="000000"/>
        </w:pBdr>
        <w:spacing w:before="0" w:after="0" w:line="240" w:lineRule="auto"/>
      </w:pPr>
      <w:r>
        <w:rPr>
          <w:b/>
        </w:rPr>
        <w:lastRenderedPageBreak/>
        <w:t>Table</w:t>
      </w:r>
      <w:r>
        <w:t xml:space="preserve">: Characteristics of US adults without high atherosclerotic cardiovascular disease risk and with stage 1 hypertension, overall and for subgroups defined by diabetes, chronic kidney disease, and ≥ 65 years of age. </w:t>
      </w:r>
    </w:p>
    <w:tbl>
      <w:tblPr>
        <w:tblW w:w="0" w:type="auto"/>
        <w:jc w:val="center"/>
        <w:tblLayout w:type="fixed"/>
        <w:tblLook w:val="0420" w:firstRow="1" w:lastRow="0" w:firstColumn="0" w:lastColumn="0" w:noHBand="0" w:noVBand="1"/>
      </w:tblPr>
      <w:tblGrid>
        <w:gridCol w:w="2520"/>
        <w:gridCol w:w="1656"/>
        <w:gridCol w:w="1656"/>
        <w:gridCol w:w="1656"/>
        <w:gridCol w:w="1656"/>
        <w:gridCol w:w="1656"/>
      </w:tblGrid>
      <w:tr w:rsidR="00F6218C">
        <w:trPr>
          <w:cantSplit/>
          <w:tblHeader/>
          <w:jc w:val="center"/>
        </w:trPr>
        <w:tc>
          <w:tcPr>
            <w:tcW w:w="4176"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6218C" w:rsidRDefault="00F6218C">
            <w:pPr>
              <w:spacing w:before="100" w:after="100"/>
              <w:ind w:left="100" w:right="100"/>
            </w:pPr>
          </w:p>
        </w:tc>
        <w:tc>
          <w:tcPr>
            <w:tcW w:w="6624" w:type="dxa"/>
            <w:gridSpan w:val="4"/>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6218C" w:rsidRDefault="00265C63">
            <w:pPr>
              <w:spacing w:before="100" w:after="100"/>
              <w:ind w:left="100" w:right="100"/>
              <w:jc w:val="center"/>
            </w:pPr>
            <w:r>
              <w:rPr>
                <w:rFonts w:ascii="Arial" w:eastAsia="Arial" w:hAnsi="Arial" w:cs="Arial"/>
                <w:b/>
                <w:color w:val="000000"/>
                <w:sz w:val="22"/>
                <w:szCs w:val="22"/>
              </w:rPr>
              <w:t>Sub-groups</w:t>
            </w:r>
          </w:p>
        </w:tc>
      </w:tr>
      <w:tr w:rsidR="00F6218C">
        <w:trPr>
          <w:cantSplit/>
          <w:tblHeader/>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6218C" w:rsidRDefault="00265C63">
            <w:pPr>
              <w:spacing w:before="100" w:after="100"/>
              <w:ind w:left="100" w:right="100"/>
            </w:pPr>
            <w:r>
              <w:rPr>
                <w:rFonts w:ascii="Arial" w:eastAsia="Arial" w:hAnsi="Arial" w:cs="Arial"/>
                <w:b/>
                <w:color w:val="000000"/>
                <w:sz w:val="22"/>
                <w:szCs w:val="22"/>
              </w:rPr>
              <w:t>Characteristic</w:t>
            </w:r>
            <w:r>
              <w:rPr>
                <w:rFonts w:ascii="Arial" w:eastAsia="Arial" w:hAnsi="Arial" w:cs="Arial"/>
                <w:b/>
                <w:color w:val="000000"/>
                <w:sz w:val="22"/>
                <w:szCs w:val="22"/>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6218C" w:rsidRDefault="00265C63">
            <w:pPr>
              <w:spacing w:before="100" w:after="100"/>
              <w:ind w:left="100" w:right="100"/>
              <w:jc w:val="center"/>
            </w:pPr>
            <w:r>
              <w:rPr>
                <w:rFonts w:ascii="Arial" w:eastAsia="Arial" w:hAnsi="Arial" w:cs="Arial"/>
                <w:b/>
                <w:color w:val="000000"/>
                <w:sz w:val="22"/>
                <w:szCs w:val="22"/>
              </w:rPr>
              <w:t xml:space="preserve">Overall </w:t>
            </w:r>
            <w:r>
              <w:rPr>
                <w:rFonts w:ascii="Arial" w:eastAsia="Arial" w:hAnsi="Arial" w:cs="Arial"/>
                <w:b/>
                <w:color w:val="000000"/>
                <w:sz w:val="22"/>
                <w:szCs w:val="22"/>
              </w:rPr>
              <w:br/>
              <w:t xml:space="preserve">N = </w:t>
            </w:r>
            <w:r>
              <w:rPr>
                <w:rFonts w:ascii="Arial" w:eastAsia="Arial" w:hAnsi="Arial" w:cs="Arial"/>
                <w:b/>
                <w:color w:val="000000"/>
                <w:sz w:val="22"/>
                <w:szCs w:val="22"/>
              </w:rPr>
              <w:t>915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6218C" w:rsidRDefault="00265C63">
            <w:pPr>
              <w:spacing w:before="100" w:after="100"/>
              <w:ind w:left="100" w:right="100"/>
              <w:jc w:val="center"/>
            </w:pPr>
            <w:r>
              <w:rPr>
                <w:rFonts w:ascii="Arial" w:eastAsia="Arial" w:hAnsi="Arial" w:cs="Arial"/>
                <w:b/>
                <w:color w:val="000000"/>
                <w:sz w:val="22"/>
                <w:szCs w:val="22"/>
              </w:rPr>
              <w:t xml:space="preserve">Diabetes </w:t>
            </w:r>
            <w:r>
              <w:rPr>
                <w:rFonts w:ascii="Arial" w:eastAsia="Arial" w:hAnsi="Arial" w:cs="Arial"/>
                <w:b/>
                <w:color w:val="000000"/>
                <w:sz w:val="22"/>
                <w:szCs w:val="22"/>
              </w:rPr>
              <w:br/>
              <w:t>N = 84</w:t>
            </w:r>
            <w:r>
              <w:rPr>
                <w:rFonts w:ascii="Arial" w:eastAsia="Arial" w:hAnsi="Arial" w:cs="Arial"/>
                <w:b/>
                <w:color w:val="000000"/>
                <w:sz w:val="22"/>
                <w:szCs w:val="22"/>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6218C" w:rsidRDefault="00265C63">
            <w:pPr>
              <w:spacing w:before="100" w:after="100"/>
              <w:ind w:left="100" w:right="100"/>
              <w:jc w:val="center"/>
            </w:pPr>
            <w:r>
              <w:rPr>
                <w:rFonts w:ascii="Arial" w:eastAsia="Arial" w:hAnsi="Arial" w:cs="Arial"/>
                <w:b/>
                <w:color w:val="000000"/>
                <w:sz w:val="22"/>
                <w:szCs w:val="22"/>
              </w:rPr>
              <w:t xml:space="preserve">CKD </w:t>
            </w:r>
            <w:r>
              <w:rPr>
                <w:rFonts w:ascii="Arial" w:eastAsia="Arial" w:hAnsi="Arial" w:cs="Arial"/>
                <w:b/>
                <w:color w:val="000000"/>
                <w:sz w:val="22"/>
                <w:szCs w:val="22"/>
              </w:rPr>
              <w:br/>
              <w:t>N = 97</w:t>
            </w:r>
            <w:r>
              <w:rPr>
                <w:rFonts w:ascii="Arial" w:eastAsia="Arial" w:hAnsi="Arial" w:cs="Arial"/>
                <w:b/>
                <w:color w:val="000000"/>
                <w:sz w:val="22"/>
                <w:szCs w:val="22"/>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6218C" w:rsidRDefault="00265C63">
            <w:pPr>
              <w:spacing w:before="100" w:after="100"/>
              <w:ind w:left="100" w:right="100"/>
              <w:jc w:val="center"/>
            </w:pPr>
            <w:r>
              <w:rPr>
                <w:rFonts w:ascii="Arial" w:eastAsia="Arial" w:hAnsi="Arial" w:cs="Arial"/>
                <w:b/>
                <w:color w:val="000000"/>
                <w:sz w:val="22"/>
                <w:szCs w:val="22"/>
              </w:rPr>
              <w:t xml:space="preserve">Age 65+ years </w:t>
            </w:r>
            <w:r>
              <w:rPr>
                <w:rFonts w:ascii="Arial" w:eastAsia="Arial" w:hAnsi="Arial" w:cs="Arial"/>
                <w:b/>
                <w:color w:val="000000"/>
                <w:sz w:val="22"/>
                <w:szCs w:val="22"/>
              </w:rPr>
              <w:br/>
              <w:t>N = 46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6218C" w:rsidRDefault="00265C63">
            <w:pPr>
              <w:spacing w:before="100" w:after="100"/>
              <w:ind w:left="100" w:right="100"/>
              <w:jc w:val="center"/>
            </w:pPr>
            <w:r>
              <w:rPr>
                <w:rFonts w:ascii="Arial" w:eastAsia="Arial" w:hAnsi="Arial" w:cs="Arial"/>
                <w:b/>
                <w:color w:val="000000"/>
                <w:sz w:val="22"/>
                <w:szCs w:val="22"/>
              </w:rPr>
              <w:t xml:space="preserve">Diabetes, CKD, or age 65+ years </w:t>
            </w:r>
            <w:r>
              <w:rPr>
                <w:rFonts w:ascii="Arial" w:eastAsia="Arial" w:hAnsi="Arial" w:cs="Arial"/>
                <w:b/>
                <w:color w:val="000000"/>
                <w:sz w:val="22"/>
                <w:szCs w:val="22"/>
              </w:rPr>
              <w:br/>
              <w:t>N = 192</w:t>
            </w:r>
          </w:p>
        </w:tc>
      </w:tr>
      <w:tr w:rsidR="00F6218C">
        <w:trPr>
          <w:cantSplit/>
          <w:jc w:val="center"/>
        </w:trPr>
        <w:tc>
          <w:tcPr>
            <w:tcW w:w="252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6218C" w:rsidRDefault="00265C63">
            <w:pPr>
              <w:spacing w:before="100" w:after="100"/>
              <w:ind w:left="100" w:right="100"/>
            </w:pPr>
            <w:r>
              <w:rPr>
                <w:rFonts w:ascii="Arial" w:eastAsia="Arial" w:hAnsi="Arial" w:cs="Arial"/>
                <w:color w:val="000000"/>
                <w:sz w:val="22"/>
                <w:szCs w:val="22"/>
              </w:rPr>
              <w:t>Age, years</w:t>
            </w:r>
          </w:p>
        </w:tc>
        <w:tc>
          <w:tcPr>
            <w:tcW w:w="1656"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6218C" w:rsidRDefault="00265C63">
            <w:pPr>
              <w:spacing w:before="100" w:after="100"/>
              <w:ind w:left="100" w:right="100"/>
              <w:jc w:val="center"/>
            </w:pPr>
            <w:r>
              <w:rPr>
                <w:rFonts w:ascii="Arial" w:eastAsia="Arial" w:hAnsi="Arial" w:cs="Arial"/>
                <w:color w:val="000000"/>
                <w:sz w:val="22"/>
                <w:szCs w:val="22"/>
              </w:rPr>
              <w:t>51.1 (0.4)</w:t>
            </w:r>
          </w:p>
        </w:tc>
        <w:tc>
          <w:tcPr>
            <w:tcW w:w="1656"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6218C" w:rsidRDefault="00265C63">
            <w:pPr>
              <w:spacing w:before="100" w:after="100"/>
              <w:ind w:left="100" w:right="100"/>
              <w:jc w:val="center"/>
            </w:pPr>
            <w:r>
              <w:rPr>
                <w:rFonts w:ascii="Arial" w:eastAsia="Arial" w:hAnsi="Arial" w:cs="Arial"/>
                <w:color w:val="000000"/>
                <w:sz w:val="22"/>
                <w:szCs w:val="22"/>
              </w:rPr>
              <w:t>49.5 (1.0)</w:t>
            </w:r>
          </w:p>
        </w:tc>
        <w:tc>
          <w:tcPr>
            <w:tcW w:w="1656"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6218C" w:rsidRDefault="00265C63">
            <w:pPr>
              <w:spacing w:before="100" w:after="100"/>
              <w:ind w:left="100" w:right="100"/>
              <w:jc w:val="center"/>
            </w:pPr>
            <w:r>
              <w:rPr>
                <w:rFonts w:ascii="Arial" w:eastAsia="Arial" w:hAnsi="Arial" w:cs="Arial"/>
                <w:color w:val="000000"/>
                <w:sz w:val="22"/>
                <w:szCs w:val="22"/>
              </w:rPr>
              <w:t>53.8 (1.4)</w:t>
            </w:r>
          </w:p>
        </w:tc>
        <w:tc>
          <w:tcPr>
            <w:tcW w:w="1656"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6218C" w:rsidRDefault="00265C63">
            <w:pPr>
              <w:spacing w:before="100" w:after="100"/>
              <w:ind w:left="100" w:right="100"/>
              <w:jc w:val="center"/>
            </w:pPr>
            <w:r>
              <w:rPr>
                <w:rFonts w:ascii="Arial" w:eastAsia="Arial" w:hAnsi="Arial" w:cs="Arial"/>
                <w:color w:val="000000"/>
                <w:sz w:val="22"/>
                <w:szCs w:val="22"/>
              </w:rPr>
              <w:t>66.9 (0.3)</w:t>
            </w:r>
          </w:p>
        </w:tc>
        <w:tc>
          <w:tcPr>
            <w:tcW w:w="1656"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6218C" w:rsidRDefault="00265C63">
            <w:pPr>
              <w:spacing w:before="100" w:after="100"/>
              <w:ind w:left="100" w:right="100"/>
              <w:jc w:val="center"/>
            </w:pPr>
            <w:r>
              <w:rPr>
                <w:rFonts w:ascii="Arial" w:eastAsia="Arial" w:hAnsi="Arial" w:cs="Arial"/>
                <w:color w:val="000000"/>
                <w:sz w:val="22"/>
                <w:szCs w:val="22"/>
              </w:rPr>
              <w:t>55.4 (1.1)</w:t>
            </w:r>
          </w:p>
        </w:tc>
      </w:tr>
      <w:tr w:rsidR="00F6218C">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6218C" w:rsidRDefault="00265C63">
            <w:pPr>
              <w:spacing w:before="100" w:after="100"/>
              <w:ind w:left="100" w:right="100"/>
            </w:pPr>
            <w:r>
              <w:rPr>
                <w:rFonts w:ascii="Arial" w:eastAsia="Arial" w:hAnsi="Arial" w:cs="Arial"/>
                <w:color w:val="000000"/>
                <w:sz w:val="22"/>
                <w:szCs w:val="22"/>
              </w:rPr>
              <w:t>Male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6218C" w:rsidRDefault="00265C63">
            <w:pPr>
              <w:spacing w:before="100" w:after="100"/>
              <w:ind w:left="100" w:right="100"/>
              <w:jc w:val="center"/>
            </w:pPr>
            <w:r>
              <w:rPr>
                <w:rFonts w:ascii="Arial" w:eastAsia="Arial" w:hAnsi="Arial" w:cs="Arial"/>
                <w:color w:val="000000"/>
                <w:sz w:val="22"/>
                <w:szCs w:val="22"/>
              </w:rPr>
              <w:t>46.3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6218C" w:rsidRDefault="00265C63">
            <w:pPr>
              <w:spacing w:before="100" w:after="100"/>
              <w:ind w:left="100" w:right="100"/>
              <w:jc w:val="center"/>
            </w:pPr>
            <w:r>
              <w:rPr>
                <w:rFonts w:ascii="Arial" w:eastAsia="Arial" w:hAnsi="Arial" w:cs="Arial"/>
                <w:color w:val="000000"/>
                <w:sz w:val="22"/>
                <w:szCs w:val="22"/>
              </w:rPr>
              <w:t>42.4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6218C" w:rsidRDefault="00265C63">
            <w:pPr>
              <w:spacing w:before="100" w:after="100"/>
              <w:ind w:left="100" w:right="100"/>
              <w:jc w:val="center"/>
            </w:pPr>
            <w:r>
              <w:rPr>
                <w:rFonts w:ascii="Arial" w:eastAsia="Arial" w:hAnsi="Arial" w:cs="Arial"/>
                <w:color w:val="000000"/>
                <w:sz w:val="22"/>
                <w:szCs w:val="22"/>
              </w:rPr>
              <w:t>35.2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6218C" w:rsidRDefault="00265C63">
            <w:pPr>
              <w:spacing w:before="100" w:after="100"/>
              <w:ind w:left="100" w:right="100"/>
              <w:jc w:val="center"/>
            </w:pPr>
            <w:r>
              <w:rPr>
                <w:rFonts w:ascii="Arial" w:eastAsia="Arial" w:hAnsi="Arial" w:cs="Arial"/>
                <w:color w:val="000000"/>
                <w:sz w:val="22"/>
                <w:szCs w:val="22"/>
              </w:rPr>
              <w:t>10.2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6218C" w:rsidRDefault="00265C63">
            <w:pPr>
              <w:spacing w:before="100" w:after="100"/>
              <w:ind w:left="100" w:right="100"/>
              <w:jc w:val="center"/>
            </w:pPr>
            <w:r>
              <w:rPr>
                <w:rFonts w:ascii="Arial" w:eastAsia="Arial" w:hAnsi="Arial" w:cs="Arial"/>
                <w:color w:val="000000"/>
                <w:sz w:val="22"/>
                <w:szCs w:val="22"/>
              </w:rPr>
              <w:t>30.4</w:t>
            </w:r>
          </w:p>
        </w:tc>
      </w:tr>
      <w:tr w:rsidR="00F6218C">
        <w:trPr>
          <w:cantSplit/>
          <w:jc w:val="center"/>
        </w:trPr>
        <w:tc>
          <w:tcPr>
            <w:tcW w:w="10800" w:type="dxa"/>
            <w:gridSpan w:val="6"/>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6218C" w:rsidRDefault="00265C63">
            <w:pPr>
              <w:spacing w:before="100" w:after="100"/>
              <w:ind w:left="100" w:right="100"/>
            </w:pPr>
            <w:r>
              <w:rPr>
                <w:rFonts w:ascii="Arial" w:eastAsia="Arial" w:hAnsi="Arial" w:cs="Arial"/>
                <w:color w:val="000000"/>
                <w:sz w:val="22"/>
                <w:szCs w:val="22"/>
              </w:rPr>
              <w:t>Race / ethnicity</w:t>
            </w:r>
          </w:p>
        </w:tc>
      </w:tr>
      <w:tr w:rsidR="00F6218C">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6218C" w:rsidRDefault="00265C63">
            <w:pPr>
              <w:spacing w:before="100" w:after="100"/>
              <w:ind w:left="200" w:right="100"/>
            </w:pPr>
            <w:r>
              <w:rPr>
                <w:rFonts w:ascii="Arial" w:eastAsia="Arial" w:hAnsi="Arial" w:cs="Arial"/>
                <w:color w:val="000000"/>
                <w:sz w:val="22"/>
                <w:szCs w:val="22"/>
              </w:rPr>
              <w:t>Non-Hispanic White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6218C" w:rsidRDefault="00265C63">
            <w:pPr>
              <w:spacing w:before="100" w:after="100"/>
              <w:ind w:left="100" w:right="100"/>
              <w:jc w:val="center"/>
            </w:pPr>
            <w:r>
              <w:rPr>
                <w:rFonts w:ascii="Arial" w:eastAsia="Arial" w:hAnsi="Arial" w:cs="Arial"/>
                <w:color w:val="000000"/>
                <w:sz w:val="22"/>
                <w:szCs w:val="22"/>
              </w:rPr>
              <w:t>65.8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6218C" w:rsidRDefault="00265C63">
            <w:pPr>
              <w:spacing w:before="100" w:after="100"/>
              <w:ind w:left="100" w:right="100"/>
              <w:jc w:val="center"/>
            </w:pPr>
            <w:r>
              <w:rPr>
                <w:rFonts w:ascii="Arial" w:eastAsia="Arial" w:hAnsi="Arial" w:cs="Arial"/>
                <w:color w:val="000000"/>
                <w:sz w:val="22"/>
                <w:szCs w:val="22"/>
              </w:rPr>
              <w:t>58.8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6218C" w:rsidRDefault="00265C63">
            <w:pPr>
              <w:spacing w:before="100" w:after="100"/>
              <w:ind w:left="100" w:right="100"/>
              <w:jc w:val="center"/>
            </w:pPr>
            <w:r>
              <w:rPr>
                <w:rFonts w:ascii="Arial" w:eastAsia="Arial" w:hAnsi="Arial" w:cs="Arial"/>
                <w:color w:val="000000"/>
                <w:sz w:val="22"/>
                <w:szCs w:val="22"/>
              </w:rPr>
              <w:t>59.9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6218C" w:rsidRDefault="00265C63">
            <w:pPr>
              <w:spacing w:before="100" w:after="100"/>
              <w:ind w:left="100" w:right="100"/>
              <w:jc w:val="center"/>
            </w:pPr>
            <w:r>
              <w:rPr>
                <w:rFonts w:ascii="Arial" w:eastAsia="Arial" w:hAnsi="Arial" w:cs="Arial"/>
                <w:color w:val="000000"/>
                <w:sz w:val="22"/>
                <w:szCs w:val="22"/>
              </w:rPr>
              <w:t>86.4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6218C" w:rsidRDefault="00265C63">
            <w:pPr>
              <w:spacing w:before="100" w:after="100"/>
              <w:ind w:left="100" w:right="100"/>
              <w:jc w:val="center"/>
            </w:pPr>
            <w:r>
              <w:rPr>
                <w:rFonts w:ascii="Arial" w:eastAsia="Arial" w:hAnsi="Arial" w:cs="Arial"/>
                <w:color w:val="000000"/>
                <w:sz w:val="22"/>
                <w:szCs w:val="22"/>
              </w:rPr>
              <w:t>65.2</w:t>
            </w:r>
          </w:p>
        </w:tc>
      </w:tr>
      <w:tr w:rsidR="00F6218C">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6218C" w:rsidRDefault="00265C63">
            <w:pPr>
              <w:spacing w:before="100" w:after="100"/>
              <w:ind w:left="200" w:right="100"/>
            </w:pPr>
            <w:r>
              <w:rPr>
                <w:rFonts w:ascii="Arial" w:eastAsia="Arial" w:hAnsi="Arial" w:cs="Arial"/>
                <w:color w:val="000000"/>
                <w:sz w:val="22"/>
                <w:szCs w:val="22"/>
              </w:rPr>
              <w:t>Non-Hispanic Black</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6218C" w:rsidRDefault="00265C63">
            <w:pPr>
              <w:spacing w:before="100" w:after="100"/>
              <w:ind w:left="100" w:right="100"/>
              <w:jc w:val="center"/>
            </w:pPr>
            <w:r>
              <w:rPr>
                <w:rFonts w:ascii="Arial" w:eastAsia="Arial" w:hAnsi="Arial" w:cs="Arial"/>
                <w:color w:val="000000"/>
                <w:sz w:val="22"/>
                <w:szCs w:val="22"/>
              </w:rPr>
              <w:t>9.7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6218C" w:rsidRDefault="00265C63">
            <w:pPr>
              <w:spacing w:before="100" w:after="100"/>
              <w:ind w:left="100" w:right="100"/>
              <w:jc w:val="center"/>
            </w:pPr>
            <w:r>
              <w:rPr>
                <w:rFonts w:ascii="Arial" w:eastAsia="Arial" w:hAnsi="Arial" w:cs="Arial"/>
                <w:color w:val="000000"/>
                <w:sz w:val="22"/>
                <w:szCs w:val="22"/>
              </w:rPr>
              <w:t>12.0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6218C" w:rsidRDefault="00265C63">
            <w:pPr>
              <w:spacing w:before="100" w:after="100"/>
              <w:ind w:left="100" w:right="100"/>
              <w:jc w:val="center"/>
            </w:pPr>
            <w:r>
              <w:rPr>
                <w:rFonts w:ascii="Arial" w:eastAsia="Arial" w:hAnsi="Arial" w:cs="Arial"/>
                <w:color w:val="000000"/>
                <w:sz w:val="22"/>
                <w:szCs w:val="22"/>
              </w:rPr>
              <w:t>9.9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6218C" w:rsidRDefault="00265C63">
            <w:pPr>
              <w:spacing w:before="100" w:after="100"/>
              <w:ind w:left="100" w:right="100"/>
              <w:jc w:val="center"/>
            </w:pPr>
            <w:r>
              <w:rPr>
                <w:rFonts w:ascii="Arial" w:eastAsia="Arial" w:hAnsi="Arial" w:cs="Arial"/>
                <w:color w:val="000000"/>
                <w:sz w:val="22"/>
                <w:szCs w:val="22"/>
              </w:rPr>
              <w:t>3.9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6218C" w:rsidRDefault="00265C63">
            <w:pPr>
              <w:spacing w:before="100" w:after="100"/>
              <w:ind w:left="100" w:right="100"/>
              <w:jc w:val="center"/>
            </w:pPr>
            <w:r>
              <w:rPr>
                <w:rFonts w:ascii="Arial" w:eastAsia="Arial" w:hAnsi="Arial" w:cs="Arial"/>
                <w:color w:val="000000"/>
                <w:sz w:val="22"/>
                <w:szCs w:val="22"/>
              </w:rPr>
              <w:t>10.0</w:t>
            </w:r>
          </w:p>
        </w:tc>
      </w:tr>
      <w:tr w:rsidR="00F6218C">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6218C" w:rsidRDefault="00265C63">
            <w:pPr>
              <w:spacing w:before="100" w:after="100"/>
              <w:ind w:left="200" w:right="100"/>
            </w:pPr>
            <w:r>
              <w:rPr>
                <w:rFonts w:ascii="Arial" w:eastAsia="Arial" w:hAnsi="Arial" w:cs="Arial"/>
                <w:color w:val="000000"/>
                <w:sz w:val="22"/>
                <w:szCs w:val="22"/>
              </w:rPr>
              <w:t>Hispanic</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6218C" w:rsidRDefault="00265C63">
            <w:pPr>
              <w:spacing w:before="100" w:after="100"/>
              <w:ind w:left="100" w:right="100"/>
              <w:jc w:val="center"/>
            </w:pPr>
            <w:r>
              <w:rPr>
                <w:rFonts w:ascii="Arial" w:eastAsia="Arial" w:hAnsi="Arial" w:cs="Arial"/>
                <w:color w:val="000000"/>
                <w:sz w:val="22"/>
                <w:szCs w:val="22"/>
              </w:rPr>
              <w:t>14.4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6218C" w:rsidRDefault="00265C63">
            <w:pPr>
              <w:spacing w:before="100" w:after="100"/>
              <w:ind w:left="100" w:right="100"/>
              <w:jc w:val="center"/>
            </w:pPr>
            <w:r>
              <w:rPr>
                <w:rFonts w:ascii="Arial" w:eastAsia="Arial" w:hAnsi="Arial" w:cs="Arial"/>
                <w:color w:val="000000"/>
                <w:sz w:val="22"/>
                <w:szCs w:val="22"/>
              </w:rPr>
              <w:t>21.9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6218C" w:rsidRDefault="00265C63">
            <w:pPr>
              <w:spacing w:before="100" w:after="100"/>
              <w:ind w:left="100" w:right="100"/>
              <w:jc w:val="center"/>
            </w:pPr>
            <w:r>
              <w:rPr>
                <w:rFonts w:ascii="Arial" w:eastAsia="Arial" w:hAnsi="Arial" w:cs="Arial"/>
                <w:color w:val="000000"/>
                <w:sz w:val="22"/>
                <w:szCs w:val="22"/>
              </w:rPr>
              <w:t>19.5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6218C" w:rsidRDefault="00265C63">
            <w:pPr>
              <w:spacing w:before="100" w:after="100"/>
              <w:ind w:left="100" w:right="100"/>
              <w:jc w:val="center"/>
            </w:pPr>
            <w:r>
              <w:rPr>
                <w:rFonts w:ascii="Arial" w:eastAsia="Arial" w:hAnsi="Arial" w:cs="Arial"/>
                <w:color w:val="000000"/>
                <w:sz w:val="22"/>
                <w:szCs w:val="22"/>
              </w:rPr>
              <w:t>6.9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6218C" w:rsidRDefault="00265C63">
            <w:pPr>
              <w:spacing w:before="100" w:after="100"/>
              <w:ind w:left="100" w:right="100"/>
              <w:jc w:val="center"/>
            </w:pPr>
            <w:r>
              <w:rPr>
                <w:rFonts w:ascii="Arial" w:eastAsia="Arial" w:hAnsi="Arial" w:cs="Arial"/>
                <w:color w:val="000000"/>
                <w:sz w:val="22"/>
                <w:szCs w:val="22"/>
              </w:rPr>
              <w:t>16.7</w:t>
            </w:r>
          </w:p>
        </w:tc>
      </w:tr>
      <w:tr w:rsidR="00F6218C">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6218C" w:rsidRDefault="00265C63">
            <w:pPr>
              <w:spacing w:before="100" w:after="100"/>
              <w:ind w:left="200" w:right="100"/>
            </w:pPr>
            <w:r>
              <w:rPr>
                <w:rFonts w:ascii="Arial" w:eastAsia="Arial" w:hAnsi="Arial" w:cs="Arial"/>
                <w:color w:val="000000"/>
                <w:sz w:val="22"/>
                <w:szCs w:val="22"/>
              </w:rPr>
              <w:t>Non-Hispanic Asian</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6218C" w:rsidRDefault="00265C63">
            <w:pPr>
              <w:spacing w:before="100" w:after="100"/>
              <w:ind w:left="100" w:right="100"/>
              <w:jc w:val="center"/>
            </w:pPr>
            <w:r>
              <w:rPr>
                <w:rFonts w:ascii="Arial" w:eastAsia="Arial" w:hAnsi="Arial" w:cs="Arial"/>
                <w:color w:val="000000"/>
                <w:sz w:val="22"/>
                <w:szCs w:val="22"/>
              </w:rPr>
              <w:t>6.4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6218C" w:rsidRDefault="00265C63">
            <w:pPr>
              <w:spacing w:before="100" w:after="100"/>
              <w:ind w:left="100" w:right="100"/>
              <w:jc w:val="center"/>
            </w:pPr>
            <w:r>
              <w:rPr>
                <w:rFonts w:ascii="Arial" w:eastAsia="Arial" w:hAnsi="Arial" w:cs="Arial"/>
                <w:color w:val="000000"/>
                <w:sz w:val="22"/>
                <w:szCs w:val="22"/>
              </w:rPr>
              <w:t>6.2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6218C" w:rsidRDefault="00265C63">
            <w:pPr>
              <w:spacing w:before="100" w:after="100"/>
              <w:ind w:left="100" w:right="100"/>
              <w:jc w:val="center"/>
            </w:pPr>
            <w:r>
              <w:rPr>
                <w:rFonts w:ascii="Arial" w:eastAsia="Arial" w:hAnsi="Arial" w:cs="Arial"/>
                <w:color w:val="000000"/>
                <w:sz w:val="22"/>
                <w:szCs w:val="22"/>
              </w:rPr>
              <w:t>7.1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6218C" w:rsidRDefault="00265C63">
            <w:pPr>
              <w:spacing w:before="100" w:after="100"/>
              <w:ind w:left="100" w:right="100"/>
              <w:jc w:val="center"/>
            </w:pPr>
            <w:r>
              <w:rPr>
                <w:rFonts w:ascii="Arial" w:eastAsia="Arial" w:hAnsi="Arial" w:cs="Arial"/>
                <w:color w:val="000000"/>
                <w:sz w:val="22"/>
                <w:szCs w:val="22"/>
              </w:rPr>
              <w:t>2.0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6218C" w:rsidRDefault="00265C63">
            <w:pPr>
              <w:spacing w:before="100" w:after="100"/>
              <w:ind w:left="100" w:right="100"/>
              <w:jc w:val="center"/>
            </w:pPr>
            <w:r>
              <w:rPr>
                <w:rFonts w:ascii="Arial" w:eastAsia="Arial" w:hAnsi="Arial" w:cs="Arial"/>
                <w:color w:val="000000"/>
                <w:sz w:val="22"/>
                <w:szCs w:val="22"/>
              </w:rPr>
              <w:t>5.8</w:t>
            </w:r>
          </w:p>
        </w:tc>
      </w:tr>
      <w:tr w:rsidR="00F6218C">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6218C" w:rsidRDefault="00265C63">
            <w:pPr>
              <w:spacing w:before="100" w:after="100"/>
              <w:ind w:left="200" w:right="100"/>
            </w:pPr>
            <w:r>
              <w:rPr>
                <w:rFonts w:ascii="Arial" w:eastAsia="Arial" w:hAnsi="Arial" w:cs="Arial"/>
                <w:color w:val="000000"/>
                <w:sz w:val="22"/>
                <w:szCs w:val="22"/>
              </w:rPr>
              <w:t>Other Race/ethnicity - Including Multi-Racial</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6218C" w:rsidRDefault="00265C63">
            <w:pPr>
              <w:spacing w:before="100" w:after="100"/>
              <w:ind w:left="100" w:right="100"/>
              <w:jc w:val="center"/>
            </w:pPr>
            <w:r>
              <w:rPr>
                <w:rFonts w:ascii="Arial" w:eastAsia="Arial" w:hAnsi="Arial" w:cs="Arial"/>
                <w:color w:val="000000"/>
                <w:sz w:val="22"/>
                <w:szCs w:val="22"/>
              </w:rPr>
              <w:t>3.7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6218C" w:rsidRDefault="00265C63">
            <w:pPr>
              <w:spacing w:before="100" w:after="100"/>
              <w:ind w:left="100" w:right="100"/>
              <w:jc w:val="center"/>
            </w:pPr>
            <w:r>
              <w:rPr>
                <w:rFonts w:ascii="Arial" w:eastAsia="Arial" w:hAnsi="Arial" w:cs="Arial"/>
                <w:color w:val="000000"/>
                <w:sz w:val="22"/>
                <w:szCs w:val="22"/>
              </w:rPr>
              <w:t>1.2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6218C" w:rsidRDefault="00265C63">
            <w:pPr>
              <w:spacing w:before="100" w:after="100"/>
              <w:ind w:left="100" w:right="100"/>
              <w:jc w:val="center"/>
            </w:pPr>
            <w:r>
              <w:rPr>
                <w:rFonts w:ascii="Arial" w:eastAsia="Arial" w:hAnsi="Arial" w:cs="Arial"/>
                <w:color w:val="000000"/>
                <w:sz w:val="22"/>
                <w:szCs w:val="22"/>
              </w:rPr>
              <w:t>3.6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6218C" w:rsidRDefault="00265C63">
            <w:pPr>
              <w:spacing w:before="100" w:after="100"/>
              <w:ind w:left="100" w:right="100"/>
              <w:jc w:val="center"/>
            </w:pPr>
            <w:r>
              <w:rPr>
                <w:rFonts w:ascii="Arial" w:eastAsia="Arial" w:hAnsi="Arial" w:cs="Arial"/>
                <w:color w:val="000000"/>
                <w:sz w:val="22"/>
                <w:szCs w:val="22"/>
              </w:rPr>
              <w:t>0.7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6218C" w:rsidRDefault="00265C63">
            <w:pPr>
              <w:spacing w:before="100" w:after="100"/>
              <w:ind w:left="100" w:right="100"/>
              <w:jc w:val="center"/>
            </w:pPr>
            <w:r>
              <w:rPr>
                <w:rFonts w:ascii="Arial" w:eastAsia="Arial" w:hAnsi="Arial" w:cs="Arial"/>
                <w:color w:val="000000"/>
                <w:sz w:val="22"/>
                <w:szCs w:val="22"/>
              </w:rPr>
              <w:t>2.2</w:t>
            </w:r>
          </w:p>
        </w:tc>
      </w:tr>
      <w:tr w:rsidR="00F6218C">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6218C" w:rsidRDefault="00265C63">
            <w:pPr>
              <w:spacing w:before="100" w:after="100"/>
              <w:ind w:left="100" w:right="100"/>
            </w:pPr>
            <w:r>
              <w:rPr>
                <w:rFonts w:ascii="Arial" w:eastAsia="Arial" w:hAnsi="Arial" w:cs="Arial"/>
                <w:color w:val="000000"/>
                <w:sz w:val="22"/>
                <w:szCs w:val="22"/>
              </w:rPr>
              <w:t>Current smoker</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6218C" w:rsidRDefault="00265C63">
            <w:pPr>
              <w:spacing w:before="100" w:after="100"/>
              <w:ind w:left="100" w:right="100"/>
              <w:jc w:val="center"/>
            </w:pPr>
            <w:r>
              <w:rPr>
                <w:rFonts w:ascii="Arial" w:eastAsia="Arial" w:hAnsi="Arial" w:cs="Arial"/>
                <w:color w:val="000000"/>
                <w:sz w:val="22"/>
                <w:szCs w:val="22"/>
              </w:rPr>
              <w:t>16.2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6218C" w:rsidRDefault="00265C63">
            <w:pPr>
              <w:spacing w:before="100" w:after="100"/>
              <w:ind w:left="100" w:right="100"/>
              <w:jc w:val="center"/>
            </w:pPr>
            <w:r>
              <w:rPr>
                <w:rFonts w:ascii="Arial" w:eastAsia="Arial" w:hAnsi="Arial" w:cs="Arial"/>
                <w:color w:val="000000"/>
                <w:sz w:val="22"/>
                <w:szCs w:val="22"/>
              </w:rPr>
              <w:t>13.3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6218C" w:rsidRDefault="00265C63">
            <w:pPr>
              <w:spacing w:before="100" w:after="100"/>
              <w:ind w:left="100" w:right="100"/>
              <w:jc w:val="center"/>
            </w:pPr>
            <w:r>
              <w:rPr>
                <w:rFonts w:ascii="Arial" w:eastAsia="Arial" w:hAnsi="Arial" w:cs="Arial"/>
                <w:color w:val="000000"/>
                <w:sz w:val="22"/>
                <w:szCs w:val="22"/>
              </w:rPr>
              <w:t>12.5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6218C" w:rsidRDefault="00265C63">
            <w:pPr>
              <w:spacing w:before="100" w:after="100"/>
              <w:ind w:left="100" w:right="100"/>
              <w:jc w:val="center"/>
            </w:pPr>
            <w:r>
              <w:rPr>
                <w:rFonts w:ascii="Arial" w:eastAsia="Arial" w:hAnsi="Arial" w:cs="Arial"/>
                <w:color w:val="000000"/>
                <w:sz w:val="22"/>
                <w:szCs w:val="22"/>
              </w:rPr>
              <w:t>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6218C" w:rsidRDefault="00265C63">
            <w:pPr>
              <w:spacing w:before="100" w:after="100"/>
              <w:ind w:left="100" w:right="100"/>
              <w:jc w:val="center"/>
            </w:pPr>
            <w:r>
              <w:rPr>
                <w:rFonts w:ascii="Arial" w:eastAsia="Arial" w:hAnsi="Arial" w:cs="Arial"/>
                <w:color w:val="000000"/>
                <w:sz w:val="22"/>
                <w:szCs w:val="22"/>
              </w:rPr>
              <w:t>11.2</w:t>
            </w:r>
          </w:p>
        </w:tc>
      </w:tr>
      <w:tr w:rsidR="00F6218C">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6218C" w:rsidRDefault="00265C63">
            <w:pPr>
              <w:spacing w:before="100" w:after="100"/>
              <w:ind w:left="100" w:right="100"/>
            </w:pPr>
            <w:r>
              <w:rPr>
                <w:rFonts w:ascii="Arial" w:eastAsia="Arial" w:hAnsi="Arial" w:cs="Arial"/>
                <w:color w:val="000000"/>
                <w:sz w:val="22"/>
                <w:szCs w:val="22"/>
              </w:rPr>
              <w:t>Total cholesterol, mg/dl</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6218C" w:rsidRDefault="00265C63">
            <w:pPr>
              <w:spacing w:before="100" w:after="100"/>
              <w:ind w:left="100" w:right="100"/>
              <w:jc w:val="center"/>
            </w:pPr>
            <w:r>
              <w:rPr>
                <w:rFonts w:ascii="Arial" w:eastAsia="Arial" w:hAnsi="Arial" w:cs="Arial"/>
                <w:color w:val="000000"/>
                <w:sz w:val="22"/>
                <w:szCs w:val="22"/>
              </w:rPr>
              <w:t>203.7 (2.3)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6218C" w:rsidRDefault="00265C63">
            <w:pPr>
              <w:spacing w:before="100" w:after="100"/>
              <w:ind w:left="100" w:right="100"/>
              <w:jc w:val="center"/>
            </w:pPr>
            <w:r>
              <w:rPr>
                <w:rFonts w:ascii="Arial" w:eastAsia="Arial" w:hAnsi="Arial" w:cs="Arial"/>
                <w:color w:val="000000"/>
                <w:sz w:val="22"/>
                <w:szCs w:val="22"/>
              </w:rPr>
              <w:t>184.0 (7.2)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6218C" w:rsidRDefault="00265C63">
            <w:pPr>
              <w:spacing w:before="100" w:after="100"/>
              <w:ind w:left="100" w:right="100"/>
              <w:jc w:val="center"/>
            </w:pPr>
            <w:r>
              <w:rPr>
                <w:rFonts w:ascii="Arial" w:eastAsia="Arial" w:hAnsi="Arial" w:cs="Arial"/>
                <w:color w:val="000000"/>
                <w:sz w:val="22"/>
                <w:szCs w:val="22"/>
              </w:rPr>
              <w:t>193.3 (4.5)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6218C" w:rsidRDefault="00265C63">
            <w:pPr>
              <w:spacing w:before="100" w:after="100"/>
              <w:ind w:left="100" w:right="100"/>
              <w:jc w:val="center"/>
            </w:pPr>
            <w:r>
              <w:rPr>
                <w:rFonts w:ascii="Arial" w:eastAsia="Arial" w:hAnsi="Arial" w:cs="Arial"/>
                <w:color w:val="000000"/>
                <w:sz w:val="22"/>
                <w:szCs w:val="22"/>
              </w:rPr>
              <w:t>184.9 (9.1)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6218C" w:rsidRDefault="00265C63">
            <w:pPr>
              <w:spacing w:before="100" w:after="100"/>
              <w:ind w:left="100" w:right="100"/>
              <w:jc w:val="center"/>
            </w:pPr>
            <w:r>
              <w:rPr>
                <w:rFonts w:ascii="Arial" w:eastAsia="Arial" w:hAnsi="Arial" w:cs="Arial"/>
                <w:color w:val="000000"/>
                <w:sz w:val="22"/>
                <w:szCs w:val="22"/>
              </w:rPr>
              <w:t>189.8 (4.6)</w:t>
            </w:r>
          </w:p>
        </w:tc>
      </w:tr>
      <w:tr w:rsidR="00F6218C">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6218C" w:rsidRDefault="00265C63">
            <w:pPr>
              <w:spacing w:before="100" w:after="100"/>
              <w:ind w:left="100" w:right="100"/>
            </w:pPr>
            <w:r>
              <w:rPr>
                <w:rFonts w:ascii="Arial" w:eastAsia="Arial" w:hAnsi="Arial" w:cs="Arial"/>
                <w:color w:val="000000"/>
                <w:sz w:val="22"/>
                <w:szCs w:val="22"/>
              </w:rPr>
              <w:t>HDL-cholesterol, mg/dl</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6218C" w:rsidRDefault="00265C63">
            <w:pPr>
              <w:spacing w:before="100" w:after="100"/>
              <w:ind w:left="100" w:right="100"/>
              <w:jc w:val="center"/>
            </w:pPr>
            <w:r>
              <w:rPr>
                <w:rFonts w:ascii="Arial" w:eastAsia="Arial" w:hAnsi="Arial" w:cs="Arial"/>
                <w:color w:val="000000"/>
                <w:sz w:val="22"/>
                <w:szCs w:val="22"/>
              </w:rPr>
              <w:t>55.2 (0.9)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6218C" w:rsidRDefault="00265C63">
            <w:pPr>
              <w:spacing w:before="100" w:after="100"/>
              <w:ind w:left="100" w:right="100"/>
              <w:jc w:val="center"/>
            </w:pPr>
            <w:r>
              <w:rPr>
                <w:rFonts w:ascii="Arial" w:eastAsia="Arial" w:hAnsi="Arial" w:cs="Arial"/>
                <w:color w:val="000000"/>
                <w:sz w:val="22"/>
                <w:szCs w:val="22"/>
              </w:rPr>
              <w:t>48.4 (1.7)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6218C" w:rsidRDefault="00265C63">
            <w:pPr>
              <w:spacing w:before="100" w:after="100"/>
              <w:ind w:left="100" w:right="100"/>
              <w:jc w:val="center"/>
            </w:pPr>
            <w:r>
              <w:rPr>
                <w:rFonts w:ascii="Arial" w:eastAsia="Arial" w:hAnsi="Arial" w:cs="Arial"/>
                <w:color w:val="000000"/>
                <w:sz w:val="22"/>
                <w:szCs w:val="22"/>
              </w:rPr>
              <w:t>54.7 (2.5)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6218C" w:rsidRDefault="00265C63">
            <w:pPr>
              <w:spacing w:before="100" w:after="100"/>
              <w:ind w:left="100" w:right="100"/>
              <w:jc w:val="center"/>
            </w:pPr>
            <w:r>
              <w:rPr>
                <w:rFonts w:ascii="Arial" w:eastAsia="Arial" w:hAnsi="Arial" w:cs="Arial"/>
                <w:color w:val="000000"/>
                <w:sz w:val="22"/>
                <w:szCs w:val="22"/>
              </w:rPr>
              <w:t>59.2 (2.8)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6218C" w:rsidRDefault="00265C63">
            <w:pPr>
              <w:spacing w:before="100" w:after="100"/>
              <w:ind w:left="100" w:right="100"/>
              <w:jc w:val="center"/>
            </w:pPr>
            <w:r>
              <w:rPr>
                <w:rFonts w:ascii="Arial" w:eastAsia="Arial" w:hAnsi="Arial" w:cs="Arial"/>
                <w:color w:val="000000"/>
                <w:sz w:val="22"/>
                <w:szCs w:val="22"/>
              </w:rPr>
              <w:t>53.9 (1.6)</w:t>
            </w:r>
          </w:p>
        </w:tc>
      </w:tr>
      <w:tr w:rsidR="00F6218C">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6218C" w:rsidRDefault="00265C63">
            <w:pPr>
              <w:spacing w:before="100" w:after="100"/>
              <w:ind w:left="100" w:right="100"/>
            </w:pPr>
            <w:r>
              <w:rPr>
                <w:rFonts w:ascii="Arial" w:eastAsia="Arial" w:hAnsi="Arial" w:cs="Arial"/>
                <w:color w:val="000000"/>
                <w:sz w:val="22"/>
                <w:szCs w:val="22"/>
              </w:rPr>
              <w:t>Heart rate, beats per minute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6218C" w:rsidRDefault="00265C63">
            <w:pPr>
              <w:spacing w:before="100" w:after="100"/>
              <w:ind w:left="100" w:right="100"/>
              <w:jc w:val="center"/>
            </w:pPr>
            <w:r>
              <w:rPr>
                <w:rFonts w:ascii="Arial" w:eastAsia="Arial" w:hAnsi="Arial" w:cs="Arial"/>
                <w:color w:val="000000"/>
                <w:sz w:val="22"/>
                <w:szCs w:val="22"/>
              </w:rPr>
              <w:t>73.2 (0.5)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6218C" w:rsidRDefault="00265C63">
            <w:pPr>
              <w:spacing w:before="100" w:after="100"/>
              <w:ind w:left="100" w:right="100"/>
              <w:jc w:val="center"/>
            </w:pPr>
            <w:r>
              <w:rPr>
                <w:rFonts w:ascii="Arial" w:eastAsia="Arial" w:hAnsi="Arial" w:cs="Arial"/>
                <w:color w:val="000000"/>
                <w:sz w:val="22"/>
                <w:szCs w:val="22"/>
              </w:rPr>
              <w:t>75.9 (1.4)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6218C" w:rsidRDefault="00265C63">
            <w:pPr>
              <w:spacing w:before="100" w:after="100"/>
              <w:ind w:left="100" w:right="100"/>
              <w:jc w:val="center"/>
            </w:pPr>
            <w:r>
              <w:rPr>
                <w:rFonts w:ascii="Arial" w:eastAsia="Arial" w:hAnsi="Arial" w:cs="Arial"/>
                <w:color w:val="000000"/>
                <w:sz w:val="22"/>
                <w:szCs w:val="22"/>
              </w:rPr>
              <w:t>73.1 (1.6)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6218C" w:rsidRDefault="00265C63">
            <w:pPr>
              <w:spacing w:before="100" w:after="100"/>
              <w:ind w:left="100" w:right="100"/>
              <w:jc w:val="center"/>
            </w:pPr>
            <w:r>
              <w:rPr>
                <w:rFonts w:ascii="Arial" w:eastAsia="Arial" w:hAnsi="Arial" w:cs="Arial"/>
                <w:color w:val="000000"/>
                <w:sz w:val="22"/>
                <w:szCs w:val="22"/>
              </w:rPr>
              <w:t>70.1 (1.3)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6218C" w:rsidRDefault="00265C63">
            <w:pPr>
              <w:spacing w:before="100" w:after="100"/>
              <w:ind w:left="100" w:right="100"/>
              <w:jc w:val="center"/>
            </w:pPr>
            <w:r>
              <w:rPr>
                <w:rFonts w:ascii="Arial" w:eastAsia="Arial" w:hAnsi="Arial" w:cs="Arial"/>
                <w:color w:val="000000"/>
                <w:sz w:val="22"/>
                <w:szCs w:val="22"/>
              </w:rPr>
              <w:t>73.4 (1.0)</w:t>
            </w:r>
          </w:p>
        </w:tc>
      </w:tr>
      <w:tr w:rsidR="00F6218C">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6218C" w:rsidRDefault="00265C63">
            <w:pPr>
              <w:spacing w:before="100" w:after="100"/>
              <w:ind w:left="100" w:right="100"/>
            </w:pPr>
            <w:r>
              <w:rPr>
                <w:rFonts w:ascii="Arial" w:eastAsia="Arial" w:hAnsi="Arial" w:cs="Arial"/>
                <w:color w:val="000000"/>
                <w:sz w:val="22"/>
                <w:szCs w:val="22"/>
              </w:rPr>
              <w:t>Systolic blood pressure, mm Hg</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6218C" w:rsidRDefault="00265C63">
            <w:pPr>
              <w:spacing w:before="100" w:after="100"/>
              <w:ind w:left="100" w:right="100"/>
              <w:jc w:val="center"/>
            </w:pPr>
            <w:r>
              <w:rPr>
                <w:rFonts w:ascii="Arial" w:eastAsia="Arial" w:hAnsi="Arial" w:cs="Arial"/>
                <w:color w:val="000000"/>
                <w:sz w:val="22"/>
                <w:szCs w:val="22"/>
              </w:rPr>
              <w:t>128.8 (0.3)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6218C" w:rsidRDefault="00265C63">
            <w:pPr>
              <w:spacing w:before="100" w:after="100"/>
              <w:ind w:left="100" w:right="100"/>
              <w:jc w:val="center"/>
            </w:pPr>
            <w:r>
              <w:rPr>
                <w:rFonts w:ascii="Arial" w:eastAsia="Arial" w:hAnsi="Arial" w:cs="Arial"/>
                <w:color w:val="000000"/>
                <w:sz w:val="22"/>
                <w:szCs w:val="22"/>
              </w:rPr>
              <w:t>130.4 (1.0)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6218C" w:rsidRDefault="00265C63">
            <w:pPr>
              <w:spacing w:before="100" w:after="100"/>
              <w:ind w:left="100" w:right="100"/>
              <w:jc w:val="center"/>
            </w:pPr>
            <w:r>
              <w:rPr>
                <w:rFonts w:ascii="Arial" w:eastAsia="Arial" w:hAnsi="Arial" w:cs="Arial"/>
                <w:color w:val="000000"/>
                <w:sz w:val="22"/>
                <w:szCs w:val="22"/>
              </w:rPr>
              <w:t>130.8 (0.7)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6218C" w:rsidRDefault="00265C63">
            <w:pPr>
              <w:spacing w:before="100" w:after="100"/>
              <w:ind w:left="100" w:right="100"/>
              <w:jc w:val="center"/>
            </w:pPr>
            <w:r>
              <w:rPr>
                <w:rFonts w:ascii="Arial" w:eastAsia="Arial" w:hAnsi="Arial" w:cs="Arial"/>
                <w:color w:val="000000"/>
                <w:sz w:val="22"/>
                <w:szCs w:val="22"/>
              </w:rPr>
              <w:t>129.3 (1.4)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6218C" w:rsidRDefault="00265C63">
            <w:pPr>
              <w:spacing w:before="100" w:after="100"/>
              <w:ind w:left="100" w:right="100"/>
              <w:jc w:val="center"/>
            </w:pPr>
            <w:r>
              <w:rPr>
                <w:rFonts w:ascii="Arial" w:eastAsia="Arial" w:hAnsi="Arial" w:cs="Arial"/>
                <w:color w:val="000000"/>
                <w:sz w:val="22"/>
                <w:szCs w:val="22"/>
              </w:rPr>
              <w:t>129.8 (0.6)</w:t>
            </w:r>
          </w:p>
        </w:tc>
      </w:tr>
      <w:tr w:rsidR="00F6218C">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6218C" w:rsidRDefault="00265C63">
            <w:pPr>
              <w:spacing w:before="100" w:after="100"/>
              <w:ind w:left="100" w:right="100"/>
            </w:pPr>
            <w:r>
              <w:rPr>
                <w:rFonts w:ascii="Arial" w:eastAsia="Arial" w:hAnsi="Arial" w:cs="Arial"/>
                <w:color w:val="000000"/>
                <w:sz w:val="22"/>
                <w:szCs w:val="22"/>
              </w:rPr>
              <w:t>Diastolic blood pressure, mm Hg</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6218C" w:rsidRDefault="00265C63">
            <w:pPr>
              <w:spacing w:before="100" w:after="100"/>
              <w:ind w:left="100" w:right="100"/>
              <w:jc w:val="center"/>
            </w:pPr>
            <w:r>
              <w:rPr>
                <w:rFonts w:ascii="Arial" w:eastAsia="Arial" w:hAnsi="Arial" w:cs="Arial"/>
                <w:color w:val="000000"/>
                <w:sz w:val="22"/>
                <w:szCs w:val="22"/>
              </w:rPr>
              <w:t>79.7 (0.4)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6218C" w:rsidRDefault="00265C63">
            <w:pPr>
              <w:spacing w:before="100" w:after="100"/>
              <w:ind w:left="100" w:right="100"/>
              <w:jc w:val="center"/>
            </w:pPr>
            <w:r>
              <w:rPr>
                <w:rFonts w:ascii="Arial" w:eastAsia="Arial" w:hAnsi="Arial" w:cs="Arial"/>
                <w:color w:val="000000"/>
                <w:sz w:val="22"/>
                <w:szCs w:val="22"/>
              </w:rPr>
              <w:t>79.2 (1.2)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6218C" w:rsidRDefault="00265C63">
            <w:pPr>
              <w:spacing w:before="100" w:after="100"/>
              <w:ind w:left="100" w:right="100"/>
              <w:jc w:val="center"/>
            </w:pPr>
            <w:r>
              <w:rPr>
                <w:rFonts w:ascii="Arial" w:eastAsia="Arial" w:hAnsi="Arial" w:cs="Arial"/>
                <w:color w:val="000000"/>
                <w:sz w:val="22"/>
                <w:szCs w:val="22"/>
              </w:rPr>
              <w:t>77.2 (1.0)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6218C" w:rsidRDefault="00265C63">
            <w:pPr>
              <w:spacing w:before="100" w:after="100"/>
              <w:ind w:left="100" w:right="100"/>
              <w:jc w:val="center"/>
            </w:pPr>
            <w:r>
              <w:rPr>
                <w:rFonts w:ascii="Arial" w:eastAsia="Arial" w:hAnsi="Arial" w:cs="Arial"/>
                <w:color w:val="000000"/>
                <w:sz w:val="22"/>
                <w:szCs w:val="22"/>
              </w:rPr>
              <w:t>74.7 (1.8)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6218C" w:rsidRDefault="00265C63">
            <w:pPr>
              <w:spacing w:before="100" w:after="100"/>
              <w:ind w:left="100" w:right="100"/>
              <w:jc w:val="center"/>
            </w:pPr>
            <w:r>
              <w:rPr>
                <w:rFonts w:ascii="Arial" w:eastAsia="Arial" w:hAnsi="Arial" w:cs="Arial"/>
                <w:color w:val="000000"/>
                <w:sz w:val="22"/>
                <w:szCs w:val="22"/>
              </w:rPr>
              <w:t>77.6 (1.0)</w:t>
            </w:r>
          </w:p>
        </w:tc>
      </w:tr>
      <w:tr w:rsidR="00F6218C">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6218C" w:rsidRDefault="00265C63">
            <w:pPr>
              <w:spacing w:before="100" w:after="100"/>
              <w:ind w:left="100" w:right="100"/>
            </w:pPr>
            <w:r>
              <w:rPr>
                <w:rFonts w:ascii="Arial" w:eastAsia="Arial" w:hAnsi="Arial" w:cs="Arial"/>
                <w:color w:val="000000"/>
                <w:sz w:val="22"/>
                <w:szCs w:val="22"/>
              </w:rPr>
              <w:t>Antihypertensive medication use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6218C" w:rsidRDefault="00265C63">
            <w:pPr>
              <w:spacing w:before="100" w:after="100"/>
              <w:ind w:left="100" w:right="100"/>
              <w:jc w:val="center"/>
            </w:pPr>
            <w:r>
              <w:rPr>
                <w:rFonts w:ascii="Arial" w:eastAsia="Arial" w:hAnsi="Arial" w:cs="Arial"/>
                <w:color w:val="000000"/>
                <w:sz w:val="22"/>
                <w:szCs w:val="22"/>
              </w:rPr>
              <w:t>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6218C" w:rsidRDefault="00265C63">
            <w:pPr>
              <w:spacing w:before="100" w:after="100"/>
              <w:ind w:left="100" w:right="100"/>
              <w:jc w:val="center"/>
            </w:pPr>
            <w:r>
              <w:rPr>
                <w:rFonts w:ascii="Arial" w:eastAsia="Arial" w:hAnsi="Arial" w:cs="Arial"/>
                <w:color w:val="000000"/>
                <w:sz w:val="22"/>
                <w:szCs w:val="22"/>
              </w:rPr>
              <w:t>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6218C" w:rsidRDefault="00265C63">
            <w:pPr>
              <w:spacing w:before="100" w:after="100"/>
              <w:ind w:left="100" w:right="100"/>
              <w:jc w:val="center"/>
            </w:pPr>
            <w:r>
              <w:rPr>
                <w:rFonts w:ascii="Arial" w:eastAsia="Arial" w:hAnsi="Arial" w:cs="Arial"/>
                <w:color w:val="000000"/>
                <w:sz w:val="22"/>
                <w:szCs w:val="22"/>
              </w:rPr>
              <w:t>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6218C" w:rsidRDefault="00265C63">
            <w:pPr>
              <w:spacing w:before="100" w:after="100"/>
              <w:ind w:left="100" w:right="100"/>
              <w:jc w:val="center"/>
            </w:pPr>
            <w:r>
              <w:rPr>
                <w:rFonts w:ascii="Arial" w:eastAsia="Arial" w:hAnsi="Arial" w:cs="Arial"/>
                <w:color w:val="000000"/>
                <w:sz w:val="22"/>
                <w:szCs w:val="22"/>
              </w:rPr>
              <w:t>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6218C" w:rsidRDefault="00265C63">
            <w:pPr>
              <w:spacing w:before="100" w:after="100"/>
              <w:ind w:left="100" w:right="100"/>
              <w:jc w:val="center"/>
            </w:pPr>
            <w:r>
              <w:rPr>
                <w:rFonts w:ascii="Arial" w:eastAsia="Arial" w:hAnsi="Arial" w:cs="Arial"/>
                <w:color w:val="000000"/>
                <w:sz w:val="22"/>
                <w:szCs w:val="22"/>
              </w:rPr>
              <w:t>0.0</w:t>
            </w:r>
          </w:p>
        </w:tc>
      </w:tr>
      <w:tr w:rsidR="00F6218C">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6218C" w:rsidRDefault="00265C63">
            <w:pPr>
              <w:spacing w:before="100" w:after="100"/>
              <w:ind w:left="100" w:right="100"/>
            </w:pPr>
            <w:r>
              <w:rPr>
                <w:rFonts w:ascii="Arial" w:eastAsia="Arial" w:hAnsi="Arial" w:cs="Arial"/>
                <w:color w:val="000000"/>
                <w:sz w:val="22"/>
                <w:szCs w:val="22"/>
              </w:rPr>
              <w:t>Diabetes</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6218C" w:rsidRDefault="00265C63">
            <w:pPr>
              <w:spacing w:before="100" w:after="100"/>
              <w:ind w:left="100" w:right="100"/>
              <w:jc w:val="center"/>
            </w:pPr>
            <w:r>
              <w:rPr>
                <w:rFonts w:ascii="Arial" w:eastAsia="Arial" w:hAnsi="Arial" w:cs="Arial"/>
                <w:color w:val="000000"/>
                <w:sz w:val="22"/>
                <w:szCs w:val="22"/>
              </w:rPr>
              <w:t>7.3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6218C" w:rsidRDefault="00265C63">
            <w:pPr>
              <w:spacing w:before="100" w:after="100"/>
              <w:ind w:left="100" w:right="100"/>
              <w:jc w:val="center"/>
            </w:pPr>
            <w:r>
              <w:rPr>
                <w:rFonts w:ascii="Arial" w:eastAsia="Arial" w:hAnsi="Arial" w:cs="Arial"/>
                <w:color w:val="000000"/>
                <w:sz w:val="22"/>
                <w:szCs w:val="22"/>
              </w:rPr>
              <w:t>100.0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6218C" w:rsidRDefault="00265C63">
            <w:pPr>
              <w:spacing w:before="100" w:after="100"/>
              <w:ind w:left="100" w:right="100"/>
              <w:jc w:val="center"/>
            </w:pPr>
            <w:r>
              <w:rPr>
                <w:rFonts w:ascii="Arial" w:eastAsia="Arial" w:hAnsi="Arial" w:cs="Arial"/>
                <w:color w:val="000000"/>
                <w:sz w:val="22"/>
                <w:szCs w:val="22"/>
              </w:rPr>
              <w:t>26.5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6218C" w:rsidRDefault="00265C63">
            <w:pPr>
              <w:spacing w:before="100" w:after="100"/>
              <w:ind w:left="100" w:right="100"/>
              <w:jc w:val="center"/>
            </w:pPr>
            <w:r>
              <w:rPr>
                <w:rFonts w:ascii="Arial" w:eastAsia="Arial" w:hAnsi="Arial" w:cs="Arial"/>
                <w:color w:val="000000"/>
                <w:sz w:val="22"/>
                <w:szCs w:val="22"/>
              </w:rPr>
              <w:t>0.3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6218C" w:rsidRDefault="00265C63">
            <w:pPr>
              <w:spacing w:before="100" w:after="100"/>
              <w:ind w:left="100" w:right="100"/>
              <w:jc w:val="center"/>
            </w:pPr>
            <w:r>
              <w:rPr>
                <w:rFonts w:ascii="Arial" w:eastAsia="Arial" w:hAnsi="Arial" w:cs="Arial"/>
                <w:color w:val="000000"/>
                <w:sz w:val="22"/>
                <w:szCs w:val="22"/>
              </w:rPr>
              <w:t>41.2</w:t>
            </w:r>
          </w:p>
        </w:tc>
      </w:tr>
      <w:tr w:rsidR="00F6218C">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6218C" w:rsidRDefault="00265C63">
            <w:pPr>
              <w:spacing w:before="100" w:after="100"/>
              <w:ind w:left="100" w:right="100"/>
            </w:pPr>
            <w:r>
              <w:rPr>
                <w:rFonts w:ascii="Arial" w:eastAsia="Arial" w:hAnsi="Arial" w:cs="Arial"/>
                <w:color w:val="000000"/>
                <w:sz w:val="22"/>
                <w:szCs w:val="22"/>
              </w:rPr>
              <w:t>CKD</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6218C" w:rsidRDefault="00265C63">
            <w:pPr>
              <w:spacing w:before="100" w:after="100"/>
              <w:ind w:left="100" w:right="100"/>
              <w:jc w:val="center"/>
            </w:pPr>
            <w:r>
              <w:rPr>
                <w:rFonts w:ascii="Arial" w:eastAsia="Arial" w:hAnsi="Arial" w:cs="Arial"/>
                <w:color w:val="000000"/>
                <w:sz w:val="22"/>
                <w:szCs w:val="22"/>
              </w:rPr>
              <w:t>8.7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6218C" w:rsidRDefault="00265C63">
            <w:pPr>
              <w:spacing w:before="100" w:after="100"/>
              <w:ind w:left="100" w:right="100"/>
              <w:jc w:val="center"/>
            </w:pPr>
            <w:r>
              <w:rPr>
                <w:rFonts w:ascii="Arial" w:eastAsia="Arial" w:hAnsi="Arial" w:cs="Arial"/>
                <w:color w:val="000000"/>
                <w:sz w:val="22"/>
                <w:szCs w:val="22"/>
              </w:rPr>
              <w:t>31.7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6218C" w:rsidRDefault="00265C63">
            <w:pPr>
              <w:spacing w:before="100" w:after="100"/>
              <w:ind w:left="100" w:right="100"/>
              <w:jc w:val="center"/>
            </w:pPr>
            <w:r>
              <w:rPr>
                <w:rFonts w:ascii="Arial" w:eastAsia="Arial" w:hAnsi="Arial" w:cs="Arial"/>
                <w:color w:val="000000"/>
                <w:sz w:val="22"/>
                <w:szCs w:val="22"/>
              </w:rPr>
              <w:t>100.0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6218C" w:rsidRDefault="00265C63">
            <w:pPr>
              <w:spacing w:before="100" w:after="100"/>
              <w:ind w:left="100" w:right="100"/>
              <w:jc w:val="center"/>
            </w:pPr>
            <w:r>
              <w:rPr>
                <w:rFonts w:ascii="Arial" w:eastAsia="Arial" w:hAnsi="Arial" w:cs="Arial"/>
                <w:color w:val="000000"/>
                <w:sz w:val="22"/>
                <w:szCs w:val="22"/>
              </w:rPr>
              <w:t>29.2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6218C" w:rsidRDefault="00265C63">
            <w:pPr>
              <w:spacing w:before="100" w:after="100"/>
              <w:ind w:left="100" w:right="100"/>
              <w:jc w:val="center"/>
            </w:pPr>
            <w:r>
              <w:rPr>
                <w:rFonts w:ascii="Arial" w:eastAsia="Arial" w:hAnsi="Arial" w:cs="Arial"/>
                <w:color w:val="000000"/>
                <w:sz w:val="22"/>
                <w:szCs w:val="22"/>
              </w:rPr>
              <w:t>49.3</w:t>
            </w:r>
          </w:p>
        </w:tc>
      </w:tr>
      <w:tr w:rsidR="00F6218C">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6218C" w:rsidRDefault="00265C63">
            <w:pPr>
              <w:spacing w:before="100" w:after="100"/>
              <w:ind w:left="100" w:right="100"/>
            </w:pPr>
            <w:r>
              <w:rPr>
                <w:rFonts w:ascii="Arial" w:eastAsia="Arial" w:hAnsi="Arial" w:cs="Arial"/>
                <w:color w:val="000000"/>
                <w:sz w:val="22"/>
                <w:szCs w:val="22"/>
              </w:rPr>
              <w:t>Aged 65+ years</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6218C" w:rsidRDefault="00265C63">
            <w:pPr>
              <w:spacing w:before="100" w:after="100"/>
              <w:ind w:left="100" w:right="100"/>
              <w:jc w:val="center"/>
            </w:pPr>
            <w:r>
              <w:rPr>
                <w:rFonts w:ascii="Arial" w:eastAsia="Arial" w:hAnsi="Arial" w:cs="Arial"/>
                <w:color w:val="000000"/>
                <w:sz w:val="22"/>
                <w:szCs w:val="22"/>
              </w:rPr>
              <w:t>5.7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6218C" w:rsidRDefault="00265C63">
            <w:pPr>
              <w:spacing w:before="100" w:after="100"/>
              <w:ind w:left="100" w:right="100"/>
              <w:jc w:val="center"/>
            </w:pPr>
            <w:r>
              <w:rPr>
                <w:rFonts w:ascii="Arial" w:eastAsia="Arial" w:hAnsi="Arial" w:cs="Arial"/>
                <w:color w:val="000000"/>
                <w:sz w:val="22"/>
                <w:szCs w:val="22"/>
              </w:rPr>
              <w:t>0.3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6218C" w:rsidRDefault="00265C63">
            <w:pPr>
              <w:spacing w:before="100" w:after="100"/>
              <w:ind w:left="100" w:right="100"/>
              <w:jc w:val="center"/>
            </w:pPr>
            <w:r>
              <w:rPr>
                <w:rFonts w:ascii="Arial" w:eastAsia="Arial" w:hAnsi="Arial" w:cs="Arial"/>
                <w:color w:val="000000"/>
                <w:sz w:val="22"/>
                <w:szCs w:val="22"/>
              </w:rPr>
              <w:t>19.0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6218C" w:rsidRDefault="00265C63">
            <w:pPr>
              <w:spacing w:before="100" w:after="100"/>
              <w:ind w:left="100" w:right="100"/>
              <w:jc w:val="center"/>
            </w:pPr>
            <w:r>
              <w:rPr>
                <w:rFonts w:ascii="Arial" w:eastAsia="Arial" w:hAnsi="Arial" w:cs="Arial"/>
                <w:color w:val="000000"/>
                <w:sz w:val="22"/>
                <w:szCs w:val="22"/>
              </w:rPr>
              <w:t>100.0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6218C" w:rsidRDefault="00265C63">
            <w:pPr>
              <w:spacing w:before="100" w:after="100"/>
              <w:ind w:left="100" w:right="100"/>
              <w:jc w:val="center"/>
            </w:pPr>
            <w:r>
              <w:rPr>
                <w:rFonts w:ascii="Arial" w:eastAsia="Arial" w:hAnsi="Arial" w:cs="Arial"/>
                <w:color w:val="000000"/>
                <w:sz w:val="22"/>
                <w:szCs w:val="22"/>
              </w:rPr>
              <w:t>32.1</w:t>
            </w:r>
          </w:p>
        </w:tc>
      </w:tr>
      <w:tr w:rsidR="00F6218C">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6218C" w:rsidRDefault="00265C63">
            <w:pPr>
              <w:spacing w:before="100" w:after="100"/>
              <w:ind w:left="100" w:right="100"/>
            </w:pPr>
            <w:r>
              <w:rPr>
                <w:rFonts w:ascii="Arial" w:eastAsia="Arial" w:hAnsi="Arial" w:cs="Arial"/>
                <w:color w:val="000000"/>
                <w:sz w:val="22"/>
                <w:szCs w:val="22"/>
              </w:rPr>
              <w:lastRenderedPageBreak/>
              <w:t>Diabetes, chronic kidney disease, or age 65+ years</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6218C" w:rsidRDefault="00265C63">
            <w:pPr>
              <w:spacing w:before="100" w:after="100"/>
              <w:ind w:left="100" w:right="100"/>
              <w:jc w:val="center"/>
            </w:pPr>
            <w:r>
              <w:rPr>
                <w:rFonts w:ascii="Arial" w:eastAsia="Arial" w:hAnsi="Arial" w:cs="Arial"/>
                <w:color w:val="000000"/>
                <w:sz w:val="22"/>
                <w:szCs w:val="22"/>
              </w:rPr>
              <w:t>17.8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6218C" w:rsidRDefault="00265C63">
            <w:pPr>
              <w:spacing w:before="100" w:after="100"/>
              <w:ind w:left="100" w:right="100"/>
              <w:jc w:val="center"/>
            </w:pPr>
            <w:r>
              <w:rPr>
                <w:rFonts w:ascii="Arial" w:eastAsia="Arial" w:hAnsi="Arial" w:cs="Arial"/>
                <w:color w:val="000000"/>
                <w:sz w:val="22"/>
                <w:szCs w:val="22"/>
              </w:rPr>
              <w:t>100.0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6218C" w:rsidRDefault="00265C63">
            <w:pPr>
              <w:spacing w:before="100" w:after="100"/>
              <w:ind w:left="100" w:right="100"/>
              <w:jc w:val="center"/>
            </w:pPr>
            <w:r>
              <w:rPr>
                <w:rFonts w:ascii="Arial" w:eastAsia="Arial" w:hAnsi="Arial" w:cs="Arial"/>
                <w:color w:val="000000"/>
                <w:sz w:val="22"/>
                <w:szCs w:val="22"/>
              </w:rPr>
              <w:t>100.0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6218C" w:rsidRDefault="00265C63">
            <w:pPr>
              <w:spacing w:before="100" w:after="100"/>
              <w:ind w:left="100" w:right="100"/>
              <w:jc w:val="center"/>
            </w:pPr>
            <w:r>
              <w:rPr>
                <w:rFonts w:ascii="Arial" w:eastAsia="Arial" w:hAnsi="Arial" w:cs="Arial"/>
                <w:color w:val="000000"/>
                <w:sz w:val="22"/>
                <w:szCs w:val="22"/>
              </w:rPr>
              <w:t>100.0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6218C" w:rsidRDefault="00265C63">
            <w:pPr>
              <w:spacing w:before="100" w:after="100"/>
              <w:ind w:left="100" w:right="100"/>
              <w:jc w:val="center"/>
            </w:pPr>
            <w:r>
              <w:rPr>
                <w:rFonts w:ascii="Arial" w:eastAsia="Arial" w:hAnsi="Arial" w:cs="Arial"/>
                <w:color w:val="000000"/>
                <w:sz w:val="22"/>
                <w:szCs w:val="22"/>
              </w:rPr>
              <w:t>100.0</w:t>
            </w:r>
          </w:p>
        </w:tc>
      </w:tr>
      <w:tr w:rsidR="00F6218C">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6218C" w:rsidRDefault="00265C63">
            <w:pPr>
              <w:spacing w:before="100" w:after="100"/>
              <w:ind w:left="100" w:right="100"/>
            </w:pPr>
            <w:r>
              <w:rPr>
                <w:rFonts w:ascii="Arial" w:eastAsia="Arial" w:hAnsi="Arial" w:cs="Arial"/>
                <w:color w:val="000000"/>
                <w:sz w:val="22"/>
                <w:szCs w:val="22"/>
              </w:rPr>
              <w:t>Clinical CVD</w:t>
            </w:r>
            <w:r>
              <w:rPr>
                <w:rFonts w:ascii="Arial" w:eastAsia="Arial" w:hAnsi="Arial" w:cs="Arial"/>
                <w:color w:val="000000"/>
                <w:sz w:val="22"/>
                <w:szCs w:val="22"/>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6218C" w:rsidRDefault="00265C63">
            <w:pPr>
              <w:spacing w:before="100" w:after="100"/>
              <w:ind w:left="100" w:right="100"/>
              <w:jc w:val="center"/>
            </w:pPr>
            <w:r>
              <w:rPr>
                <w:rFonts w:ascii="Arial" w:eastAsia="Arial" w:hAnsi="Arial" w:cs="Arial"/>
                <w:color w:val="000000"/>
                <w:sz w:val="22"/>
                <w:szCs w:val="22"/>
              </w:rPr>
              <w:t>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6218C" w:rsidRDefault="00265C63">
            <w:pPr>
              <w:spacing w:before="100" w:after="100"/>
              <w:ind w:left="100" w:right="100"/>
              <w:jc w:val="center"/>
            </w:pPr>
            <w:r>
              <w:rPr>
                <w:rFonts w:ascii="Arial" w:eastAsia="Arial" w:hAnsi="Arial" w:cs="Arial"/>
                <w:color w:val="000000"/>
                <w:sz w:val="22"/>
                <w:szCs w:val="22"/>
              </w:rPr>
              <w:t>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6218C" w:rsidRDefault="00265C63">
            <w:pPr>
              <w:spacing w:before="100" w:after="100"/>
              <w:ind w:left="100" w:right="100"/>
              <w:jc w:val="center"/>
            </w:pPr>
            <w:r>
              <w:rPr>
                <w:rFonts w:ascii="Arial" w:eastAsia="Arial" w:hAnsi="Arial" w:cs="Arial"/>
                <w:color w:val="000000"/>
                <w:sz w:val="22"/>
                <w:szCs w:val="22"/>
              </w:rPr>
              <w:t>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6218C" w:rsidRDefault="00265C63">
            <w:pPr>
              <w:spacing w:before="100" w:after="100"/>
              <w:ind w:left="100" w:right="100"/>
              <w:jc w:val="center"/>
            </w:pPr>
            <w:r>
              <w:rPr>
                <w:rFonts w:ascii="Arial" w:eastAsia="Arial" w:hAnsi="Arial" w:cs="Arial"/>
                <w:color w:val="000000"/>
                <w:sz w:val="22"/>
                <w:szCs w:val="22"/>
              </w:rPr>
              <w:t>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F6218C" w:rsidRDefault="00265C63">
            <w:pPr>
              <w:spacing w:before="100" w:after="100"/>
              <w:ind w:left="100" w:right="100"/>
              <w:jc w:val="center"/>
            </w:pPr>
            <w:r>
              <w:rPr>
                <w:rFonts w:ascii="Arial" w:eastAsia="Arial" w:hAnsi="Arial" w:cs="Arial"/>
                <w:color w:val="000000"/>
                <w:sz w:val="22"/>
                <w:szCs w:val="22"/>
              </w:rPr>
              <w:t>0.0</w:t>
            </w:r>
          </w:p>
        </w:tc>
      </w:tr>
      <w:tr w:rsidR="00F6218C">
        <w:trPr>
          <w:cantSplit/>
          <w:jc w:val="center"/>
        </w:trPr>
        <w:tc>
          <w:tcPr>
            <w:tcW w:w="10800" w:type="dxa"/>
            <w:gridSpan w:val="6"/>
            <w:shd w:val="clear" w:color="auto" w:fill="FFFFFF"/>
            <w:tcMar>
              <w:top w:w="0" w:type="dxa"/>
              <w:left w:w="0" w:type="dxa"/>
              <w:bottom w:w="0" w:type="dxa"/>
              <w:right w:w="0" w:type="dxa"/>
            </w:tcMar>
            <w:vAlign w:val="center"/>
          </w:tcPr>
          <w:p w:rsidR="00F6218C" w:rsidRDefault="00265C63">
            <w:pPr>
              <w:spacing w:before="100" w:after="100"/>
              <w:ind w:left="100" w:right="100"/>
            </w:pPr>
            <w:r>
              <w:rPr>
                <w:rFonts w:ascii="Arial" w:eastAsia="Arial" w:hAnsi="Arial" w:cs="Arial"/>
                <w:color w:val="000000"/>
                <w:sz w:val="22"/>
                <w:szCs w:val="22"/>
                <w:vertAlign w:val="superscript"/>
              </w:rPr>
              <w:t>*</w:t>
            </w:r>
            <w:r>
              <w:rPr>
                <w:rFonts w:ascii="Arial" w:eastAsia="Arial" w:hAnsi="Arial" w:cs="Arial"/>
                <w:color w:val="000000"/>
                <w:sz w:val="22"/>
                <w:szCs w:val="22"/>
              </w:rPr>
              <w:t>Table values are mean (standard error) or proportion.</w:t>
            </w:r>
          </w:p>
        </w:tc>
      </w:tr>
      <w:tr w:rsidR="00F6218C">
        <w:trPr>
          <w:cantSplit/>
          <w:jc w:val="center"/>
        </w:trPr>
        <w:tc>
          <w:tcPr>
            <w:tcW w:w="10800" w:type="dxa"/>
            <w:gridSpan w:val="6"/>
            <w:shd w:val="clear" w:color="auto" w:fill="FFFFFF"/>
            <w:tcMar>
              <w:top w:w="0" w:type="dxa"/>
              <w:left w:w="0" w:type="dxa"/>
              <w:bottom w:w="0" w:type="dxa"/>
              <w:right w:w="0" w:type="dxa"/>
            </w:tcMar>
            <w:vAlign w:val="center"/>
          </w:tcPr>
          <w:p w:rsidR="00F6218C" w:rsidRDefault="00265C63">
            <w:pPr>
              <w:spacing w:before="100" w:after="100"/>
              <w:ind w:left="100" w:right="100"/>
            </w:pPr>
            <w:r>
              <w:rPr>
                <w:rFonts w:ascii="Arial" w:eastAsia="Arial" w:hAnsi="Arial" w:cs="Arial"/>
                <w:color w:val="000000"/>
                <w:sz w:val="22"/>
                <w:szCs w:val="22"/>
                <w:vertAlign w:val="superscript"/>
              </w:rPr>
              <w:t>†</w:t>
            </w:r>
            <w:r>
              <w:rPr>
                <w:rFonts w:ascii="Arial" w:eastAsia="Arial" w:hAnsi="Arial" w:cs="Arial"/>
                <w:color w:val="000000"/>
                <w:sz w:val="22"/>
                <w:szCs w:val="22"/>
              </w:rPr>
              <w:t>Diabetes was defined by fasting serum glucose ≥ 126 mg/dL, non-fasting glucose ≥ 200 mg/dL, glycated hemoglobin (HbA1c) ≥ 6.5%, or self-reported use of insulin or oral glucose lowering medication.</w:t>
            </w:r>
          </w:p>
        </w:tc>
      </w:tr>
      <w:tr w:rsidR="00F6218C">
        <w:trPr>
          <w:cantSplit/>
          <w:jc w:val="center"/>
        </w:trPr>
        <w:tc>
          <w:tcPr>
            <w:tcW w:w="10800" w:type="dxa"/>
            <w:gridSpan w:val="6"/>
            <w:shd w:val="clear" w:color="auto" w:fill="FFFFFF"/>
            <w:tcMar>
              <w:top w:w="0" w:type="dxa"/>
              <w:left w:w="0" w:type="dxa"/>
              <w:bottom w:w="0" w:type="dxa"/>
              <w:right w:w="0" w:type="dxa"/>
            </w:tcMar>
            <w:vAlign w:val="center"/>
          </w:tcPr>
          <w:p w:rsidR="00F6218C" w:rsidRDefault="00265C63">
            <w:pPr>
              <w:spacing w:before="100" w:after="100"/>
              <w:ind w:left="100" w:right="100"/>
            </w:pPr>
            <w:r>
              <w:rPr>
                <w:rFonts w:ascii="Arial" w:eastAsia="Arial" w:hAnsi="Arial" w:cs="Arial"/>
                <w:color w:val="000000"/>
                <w:sz w:val="22"/>
                <w:szCs w:val="22"/>
                <w:vertAlign w:val="superscript"/>
              </w:rPr>
              <w:t>‡</w:t>
            </w:r>
            <w:r>
              <w:rPr>
                <w:rFonts w:ascii="Arial" w:eastAsia="Arial" w:hAnsi="Arial" w:cs="Arial"/>
                <w:color w:val="000000"/>
                <w:sz w:val="22"/>
                <w:szCs w:val="22"/>
              </w:rPr>
              <w:t>Chronic kidney disease is defined by an albumin-to-creatinine ratio ≥ 30 mg/g or an estimated glomerular filtration rate &lt; 60 ml/min/1.73m²</w:t>
            </w:r>
          </w:p>
        </w:tc>
      </w:tr>
      <w:tr w:rsidR="00F6218C">
        <w:trPr>
          <w:cantSplit/>
          <w:jc w:val="center"/>
        </w:trPr>
        <w:tc>
          <w:tcPr>
            <w:tcW w:w="10800" w:type="dxa"/>
            <w:gridSpan w:val="6"/>
            <w:shd w:val="clear" w:color="auto" w:fill="FFFFFF"/>
            <w:tcMar>
              <w:top w:w="0" w:type="dxa"/>
              <w:left w:w="0" w:type="dxa"/>
              <w:bottom w:w="0" w:type="dxa"/>
              <w:right w:w="0" w:type="dxa"/>
            </w:tcMar>
            <w:vAlign w:val="center"/>
          </w:tcPr>
          <w:p w:rsidR="00F6218C" w:rsidRDefault="00265C63">
            <w:pPr>
              <w:spacing w:before="100" w:after="100"/>
              <w:ind w:left="100" w:right="100"/>
            </w:pPr>
            <w:r>
              <w:rPr>
                <w:rFonts w:ascii="Arial" w:eastAsia="Arial" w:hAnsi="Arial" w:cs="Arial"/>
                <w:color w:val="000000"/>
                <w:sz w:val="22"/>
                <w:szCs w:val="22"/>
                <w:vertAlign w:val="superscript"/>
              </w:rPr>
              <w:t>§</w:t>
            </w:r>
            <w:r>
              <w:rPr>
                <w:rFonts w:ascii="Arial" w:eastAsia="Arial" w:hAnsi="Arial" w:cs="Arial"/>
                <w:color w:val="000000"/>
                <w:sz w:val="22"/>
                <w:szCs w:val="22"/>
              </w:rPr>
              <w:t>Clinical cardiovascular disease was defined by self-report of previous heart failure, coronary heart disease, stro</w:t>
            </w:r>
            <w:r>
              <w:rPr>
                <w:rFonts w:ascii="Arial" w:eastAsia="Arial" w:hAnsi="Arial" w:cs="Arial"/>
                <w:color w:val="000000"/>
                <w:sz w:val="22"/>
                <w:szCs w:val="22"/>
              </w:rPr>
              <w:t>ke, or myocardial infarction</w:t>
            </w:r>
          </w:p>
        </w:tc>
      </w:tr>
      <w:tr w:rsidR="00F6218C">
        <w:trPr>
          <w:cantSplit/>
          <w:jc w:val="center"/>
        </w:trPr>
        <w:tc>
          <w:tcPr>
            <w:tcW w:w="10800" w:type="dxa"/>
            <w:gridSpan w:val="6"/>
            <w:shd w:val="clear" w:color="auto" w:fill="FFFFFF"/>
            <w:tcMar>
              <w:top w:w="0" w:type="dxa"/>
              <w:left w:w="0" w:type="dxa"/>
              <w:bottom w:w="0" w:type="dxa"/>
              <w:right w:w="0" w:type="dxa"/>
            </w:tcMar>
            <w:vAlign w:val="center"/>
          </w:tcPr>
          <w:p w:rsidR="00F6218C" w:rsidRDefault="00265C63">
            <w:pPr>
              <w:spacing w:before="100" w:after="100"/>
              <w:ind w:left="100" w:right="100"/>
            </w:pPr>
            <w:r>
              <w:rPr>
                <w:rFonts w:ascii="Arial" w:eastAsia="Arial" w:hAnsi="Arial" w:cs="Arial"/>
                <w:color w:val="000000"/>
                <w:sz w:val="22"/>
                <w:szCs w:val="22"/>
              </w:rPr>
              <w:t>CKD = chronic kidney disease; CVD = cardiovascular disease; HDL = high density lipoprotein</w:t>
            </w:r>
          </w:p>
        </w:tc>
      </w:tr>
    </w:tbl>
    <w:p w:rsidR="00F6218C" w:rsidRDefault="00265C63">
      <w:r>
        <w:br w:type="page"/>
      </w:r>
    </w:p>
    <w:p w:rsidR="00F6218C" w:rsidRDefault="00265C63">
      <w:pPr>
        <w:pStyle w:val="Heading1"/>
      </w:pPr>
      <w:bookmarkStart w:id="1" w:name="reviewer-2"/>
      <w:r>
        <w:lastRenderedPageBreak/>
        <w:t>Reviewer 2</w:t>
      </w:r>
      <w:bookmarkEnd w:id="1"/>
    </w:p>
    <w:p w:rsidR="00F6218C" w:rsidRDefault="00265C63">
      <w:pPr>
        <w:pStyle w:val="FirstParagraph"/>
      </w:pPr>
      <w:r>
        <w:rPr>
          <w:b/>
        </w:rPr>
        <w:t>Summary</w:t>
      </w:r>
      <w:r>
        <w:t>: Jaeger et al. estimated the proportion of US adults with diabetes, chronic kidney disease,or ≥ 65 years of age that have high cardiovascular risk. The analysis was conducted for all US adults and among those with stage 1 hypertension. It was based on dat</w:t>
      </w:r>
      <w:r>
        <w:t>a from 3 cycles of the US National Health and Nutrition Examination Survey (NHANES).</w:t>
      </w:r>
    </w:p>
    <w:p w:rsidR="00F6218C" w:rsidRDefault="00265C63">
      <w:pPr>
        <w:pStyle w:val="BodyText"/>
      </w:pPr>
      <w:r>
        <w:rPr>
          <w:b/>
        </w:rPr>
        <w:t>Response</w:t>
      </w:r>
      <w:r>
        <w:t>: Thank you for your review and helpful feedback. We have responded to each of your comments below and included a list of relevant changes in the revised manuscrip</w:t>
      </w:r>
      <w:r>
        <w:t>t.</w:t>
      </w:r>
    </w:p>
    <w:p w:rsidR="00F6218C" w:rsidRDefault="00F6218C">
      <w:pPr>
        <w:pStyle w:val="BodyText"/>
      </w:pPr>
    </w:p>
    <w:p w:rsidR="00F6218C" w:rsidRDefault="00265C63">
      <w:pPr>
        <w:pStyle w:val="BodyText"/>
      </w:pPr>
      <w:r>
        <w:rPr>
          <w:b/>
        </w:rPr>
        <w:t>Comment 1</w:t>
      </w:r>
      <w:r>
        <w:t>: Clinical CVD was self-reported, and the analysis did not take into account target organ damage, which is a strong predictor of cardiovascular risk. It should be identified as a potential limitation of the study.</w:t>
      </w:r>
    </w:p>
    <w:p w:rsidR="00F6218C" w:rsidRDefault="00265C63">
      <w:pPr>
        <w:pStyle w:val="BodyText"/>
      </w:pPr>
      <w:r>
        <w:rPr>
          <w:b/>
        </w:rPr>
        <w:t>Response</w:t>
      </w:r>
      <w:r>
        <w:t>: We agree and have a</w:t>
      </w:r>
      <w:r>
        <w:t>dded text in the Discussion section to clarify this limitation. Specifically, on page 17, we write</w:t>
      </w:r>
    </w:p>
    <w:p w:rsidR="00F6218C" w:rsidRDefault="00265C63">
      <w:pPr>
        <w:pStyle w:val="BodyText"/>
      </w:pPr>
      <w:r>
        <w:t xml:space="preserve">“Clinical CVD status may also have been mis-classified as it was determined by self-report rather than diagnostic imaging. The current analysis also did not </w:t>
      </w:r>
      <w:r>
        <w:t>account for target organ damage, which is a strong predictor of CVD risk.”</w:t>
      </w:r>
    </w:p>
    <w:p w:rsidR="00F6218C" w:rsidRDefault="00F6218C">
      <w:pPr>
        <w:pStyle w:val="BodyText"/>
      </w:pPr>
    </w:p>
    <w:p w:rsidR="00F6218C" w:rsidRDefault="00265C63">
      <w:pPr>
        <w:pStyle w:val="BodyText"/>
      </w:pPr>
      <w:r>
        <w:rPr>
          <w:b/>
        </w:rPr>
        <w:t>Comment 2A</w:t>
      </w:r>
      <w:r>
        <w:t>: Table 1 presents only total and HDL cholesterol values. However, cardiovascular risk is primarily driven by LDL cholesterol.</w:t>
      </w:r>
    </w:p>
    <w:p w:rsidR="00F6218C" w:rsidRDefault="00265C63">
      <w:pPr>
        <w:pStyle w:val="BodyText"/>
      </w:pPr>
      <w:r>
        <w:rPr>
          <w:b/>
        </w:rPr>
        <w:t>Response</w:t>
      </w:r>
      <w:r>
        <w:t>: Thank you for this comment. In th</w:t>
      </w:r>
      <w:r>
        <w:t xml:space="preserve">e current analysis, we studied predicted ASCVD risk according to the Pooled Cohort Risk prediction equations rather than observed CVD events. </w:t>
      </w:r>
      <w:r>
        <w:lastRenderedPageBreak/>
        <w:t xml:space="preserve">The Pooled Cohort Risk equations predict 10-year risk for ASCVD using multiple variables, including HDL and total </w:t>
      </w:r>
      <w:r>
        <w:t>cholesterol but not LDL cholesterol. Since LDL cholesterol does not influence 10-year risk for ASCVD according to the Pooled Cohort Risk equations, we did not include LDL as a study variable.</w:t>
      </w:r>
    </w:p>
    <w:p w:rsidR="00F6218C" w:rsidRDefault="00F6218C">
      <w:pPr>
        <w:pStyle w:val="BodyText"/>
      </w:pPr>
    </w:p>
    <w:p w:rsidR="00F6218C" w:rsidRDefault="00265C63">
      <w:pPr>
        <w:pStyle w:val="BodyText"/>
      </w:pPr>
      <w:r>
        <w:rPr>
          <w:b/>
        </w:rPr>
        <w:t>Comment 2B</w:t>
      </w:r>
      <w:r>
        <w:t>: How many patients were treated with statins?</w:t>
      </w:r>
    </w:p>
    <w:p w:rsidR="00F6218C" w:rsidRDefault="00265C63">
      <w:pPr>
        <w:pStyle w:val="BodyText"/>
      </w:pPr>
      <w:r>
        <w:rPr>
          <w:b/>
        </w:rPr>
        <w:t>Respon</w:t>
      </w:r>
      <w:r>
        <w:rPr>
          <w:b/>
        </w:rPr>
        <w:t>se</w:t>
      </w:r>
      <w:r>
        <w:t>: We are happy to answer this question. All NHANES participants were eligible to complete an interview with a trained survey interviewer involving dietary Supplements and prescription medications. The questions related to prescription medications cover t</w:t>
      </w:r>
      <w:r>
        <w:t>he use of prescription medications during a one-month period prior to the survey date. During the interview, generic names and codes of prescriptions taken by the participant during the previous month were recorded. We linked these codes to statin medicati</w:t>
      </w:r>
      <w:r>
        <w:t>ons (Atorvastatin, Atorvast, Fluvastatin, Lovastatin, Pitavastatin, Pravastatin, Rosuvastatin, and Simvastatin) to determine whether participants were taking a statin. Data from participants included in the current study indicate that 25.8% of US adults ag</w:t>
      </w:r>
      <w:r>
        <w:t>es 40-79 years used a statin from 2013 to 2018. In case the reviewer would also like to assess the unweighted count, a total of 2,377 of 8,803 participants had at least one prescription that was a statin in the current study. Statin usage clearly impacts C</w:t>
      </w:r>
      <w:r>
        <w:t xml:space="preserve">VD risk, but only plays a role in the Pooled Cohort risk equations for 10-year ASCVD risk if a statin user responds ‘yes’ to the question ‘Are you receiving treatment for high blood pressure?’ due to their statin use. Since we have already partitioned the </w:t>
      </w:r>
      <w:r>
        <w:t>sample based on self-reported usage of medication to lower blood pressure, we have not included additional data on statin use in the revised manuscript.</w:t>
      </w:r>
    </w:p>
    <w:p w:rsidR="00F6218C" w:rsidRDefault="00F6218C">
      <w:pPr>
        <w:pStyle w:val="BodyText"/>
      </w:pPr>
    </w:p>
    <w:p w:rsidR="00F6218C" w:rsidRDefault="00265C63">
      <w:pPr>
        <w:pStyle w:val="BodyText"/>
      </w:pPr>
      <w:r>
        <w:rPr>
          <w:b/>
        </w:rPr>
        <w:t>Comment 3</w:t>
      </w:r>
      <w:r>
        <w:t>: The current US definition and staging of hypertension are different than in all other countries. This issue should be addressed in the discussion.</w:t>
      </w:r>
    </w:p>
    <w:p w:rsidR="00F6218C" w:rsidRDefault="00265C63">
      <w:pPr>
        <w:pStyle w:val="BodyText"/>
      </w:pPr>
      <w:r>
        <w:rPr>
          <w:b/>
        </w:rPr>
        <w:t>Response</w:t>
      </w:r>
      <w:r>
        <w:t>: We think this is a good topic to include in the Discussion and have included an additional paragr</w:t>
      </w:r>
      <w:r>
        <w:t>aph</w:t>
      </w:r>
      <w:r w:rsidR="00A6698B">
        <w:t xml:space="preserve"> </w:t>
      </w:r>
      <w:r w:rsidR="00A6698B" w:rsidRPr="00A6698B">
        <w:t>(see page 16)</w:t>
      </w:r>
      <w:bookmarkStart w:id="2" w:name="_GoBack"/>
      <w:bookmarkEnd w:id="2"/>
      <w:r>
        <w:t xml:space="preserve"> to address it: “The 2017 ACC/AHA BP guideline’s definition of hypertension and recommendations for initiating antihypertensive medication differ from other guidelines published from 2015-2020. For example, the 2018 European Society of Cardiology (ESC) </w:t>
      </w:r>
      <w:r>
        <w:t xml:space="preserve">and European Society of Hypertension (ESH) BP guideline recommends considering initiation of antihypertensive medication for adults at very high risk of CVD with untreated SBP between 130 and 139 mm Hg or untreated DBP between 85 and 89 mm Hg. Adults with </w:t>
      </w:r>
      <w:r>
        <w:t>predicted 10-year CVD mortality risk ≥ 10% according to the Systematic Coronary Risk Evaluation equations, severe CKD (eGFR &lt; 30 mL/min/1.73 m</w:t>
      </w:r>
      <w:r>
        <w:rPr>
          <w:vertAlign w:val="superscript"/>
        </w:rPr>
        <w:t>2</w:t>
      </w:r>
      <w:r>
        <w:t>), or diabetes with target organ damage are included in the very high CVD risk group. The current study found tha</w:t>
      </w:r>
      <w:r>
        <w:t>t many US adults with CKD (eGFR &lt;60 mL/min/1.73 m</w:t>
      </w:r>
      <w:r>
        <w:rPr>
          <w:vertAlign w:val="superscript"/>
        </w:rPr>
        <w:t>2</w:t>
      </w:r>
      <w:r>
        <w:t xml:space="preserve"> or albuminuria) or diabetes did not have high ASCVD risk, defined as clinical CVD or 10-year ASCVD risk ≥ 10% according to the Pooled Cohort Risk equations. Future studies may assess generalization of the </w:t>
      </w:r>
      <w:r>
        <w:t>current study’s findings to the ESC/ESH guideline by estimating the proportion of European adults with diabetes and target organ damage or severe CKD that have clinical CVD or 10-year CVD mortality risk ≥ 10% according to the Systematic Coronary Risk Evalu</w:t>
      </w:r>
      <w:r>
        <w:t>ation equations.”</w:t>
      </w:r>
    </w:p>
    <w:p w:rsidR="00F6218C" w:rsidRDefault="00F6218C">
      <w:pPr>
        <w:pStyle w:val="BodyText"/>
      </w:pPr>
    </w:p>
    <w:p w:rsidR="00F6218C" w:rsidRDefault="00265C63">
      <w:pPr>
        <w:pStyle w:val="BodyText"/>
      </w:pPr>
      <w:r>
        <w:rPr>
          <w:b/>
        </w:rPr>
        <w:t>Comment 4</w:t>
      </w:r>
      <w:r>
        <w:t>: Table 1: Presentation of heart rate might provide additional insights into differentiation between 4 subgroups.</w:t>
      </w:r>
    </w:p>
    <w:p w:rsidR="00F6218C" w:rsidRDefault="00265C63">
      <w:pPr>
        <w:pStyle w:val="BodyText"/>
      </w:pPr>
      <w:r>
        <w:rPr>
          <w:b/>
        </w:rPr>
        <w:lastRenderedPageBreak/>
        <w:t>Response</w:t>
      </w:r>
      <w:r>
        <w:t>: We agree and have added heart rate in beats per minute to Table 1 and Table S1 of the revised manuscript</w:t>
      </w:r>
      <w:r>
        <w:t>.</w:t>
      </w:r>
    </w:p>
    <w:p w:rsidR="00F6218C" w:rsidRDefault="00F6218C">
      <w:pPr>
        <w:pStyle w:val="BodyText"/>
      </w:pPr>
    </w:p>
    <w:p w:rsidR="00F6218C" w:rsidRDefault="00265C63">
      <w:pPr>
        <w:pStyle w:val="BodyText"/>
      </w:pPr>
      <w:r>
        <w:rPr>
          <w:b/>
        </w:rPr>
        <w:t>Comment 5</w:t>
      </w:r>
      <w:r>
        <w:t>: Can you provide the number of drugs in treated patients?</w:t>
      </w:r>
    </w:p>
    <w:p w:rsidR="00F6218C" w:rsidRDefault="00265C63">
      <w:pPr>
        <w:pStyle w:val="BodyText"/>
      </w:pPr>
      <w:r>
        <w:rPr>
          <w:b/>
        </w:rPr>
        <w:t>Response</w:t>
      </w:r>
      <w:r>
        <w:t>: We are happy to provide these data for the reviewer. All NHANES participants were eligible to complete an interview with a trained survey interviewer involving dietary Supplem</w:t>
      </w:r>
      <w:r>
        <w:t>ents and prescription medications. The questions related to prescription medications cover the use of prescription medications during a one-month period prior to the survey date. During the interview, the number of prescription medications taken during the</w:t>
      </w:r>
      <w:r>
        <w:t xml:space="preserve"> previous month was assessed. Data from participants taking antihypertensive medication in the current analysis indicate that the mean (standard error) number of prescription medications taken for US adults from 2013 through 2018 was 4.9 (0.1), and the med</w:t>
      </w:r>
      <w:r>
        <w:t>ian (25</w:t>
      </w:r>
      <w:r>
        <w:rPr>
          <w:vertAlign w:val="superscript"/>
        </w:rPr>
        <w:t>th</w:t>
      </w:r>
      <w:r>
        <w:t>, 75</w:t>
      </w:r>
      <w:r>
        <w:rPr>
          <w:vertAlign w:val="superscript"/>
        </w:rPr>
        <w:t>th</w:t>
      </w:r>
      <w:r>
        <w:t xml:space="preserve"> percentile) was 4 (3, 7). Since these medication data are not limited to prescriptions written for lowering blood pressure, we have not included these results in the updated manuscript.</w:t>
      </w:r>
    </w:p>
    <w:p w:rsidR="00F6218C" w:rsidRDefault="00F6218C">
      <w:pPr>
        <w:pStyle w:val="BodyText"/>
      </w:pPr>
    </w:p>
    <w:p w:rsidR="00F6218C" w:rsidRDefault="00265C63">
      <w:pPr>
        <w:pStyle w:val="BodyText"/>
      </w:pPr>
      <w:r>
        <w:rPr>
          <w:b/>
        </w:rPr>
        <w:t>Comment 6</w:t>
      </w:r>
      <w:r>
        <w:t>: Table S1. Please provide data regarding an</w:t>
      </w:r>
      <w:r>
        <w:t>tihypertensive medication use.</w:t>
      </w:r>
    </w:p>
    <w:p w:rsidR="00F6218C" w:rsidRDefault="00265C63">
      <w:pPr>
        <w:pStyle w:val="BodyText"/>
      </w:pPr>
      <w:r>
        <w:rPr>
          <w:b/>
        </w:rPr>
        <w:t>Response</w:t>
      </w:r>
      <w:r>
        <w:t xml:space="preserve">: Thank you for this comment. We grouped study participants into 4 non-overlapping groups based on blood pressure. A fifth group contained participants who were taking antihypertensive medications. Therefore, none of </w:t>
      </w:r>
      <w:r>
        <w:t>the participants with stage 1 hypertension were taking antihypertensive medications. We apologize for the lack of clarity and have added the following footnote to Table S1 to indicate that participants with stage 1 hypertension were not taking antihyperten</w:t>
      </w:r>
      <w:r>
        <w:t xml:space="preserve">sive medication: “Stage 1 hypertension was defined as having untreated </w:t>
      </w:r>
      <w:r>
        <w:lastRenderedPageBreak/>
        <w:t>systolic blood pressure between 130 and 139 mm Hg with diastolic blood pressure &lt; 90 mm Hg or diastolic blood pressure between 80 and 89 mm Hg with systolic blood pressure &lt; 90 mm Hg”</w:t>
      </w:r>
    </w:p>
    <w:sectPr w:rsidR="00F6218C">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5C63" w:rsidRDefault="00265C63">
      <w:pPr>
        <w:spacing w:after="0"/>
      </w:pPr>
      <w:r>
        <w:separator/>
      </w:r>
    </w:p>
  </w:endnote>
  <w:endnote w:type="continuationSeparator" w:id="0">
    <w:p w:rsidR="00265C63" w:rsidRDefault="00265C6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265C6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7668065"/>
      <w:docPartObj>
        <w:docPartGallery w:val="Page Numbers (Bottom of Page)"/>
        <w:docPartUnique/>
      </w:docPartObj>
    </w:sdtPr>
    <w:sdtEndPr>
      <w:rPr>
        <w:noProof/>
      </w:rPr>
    </w:sdtEndPr>
    <w:sdtContent>
      <w:p w:rsidR="00314C34" w:rsidRDefault="00265C63">
        <w:pPr>
          <w:pStyle w:val="Footer"/>
        </w:pPr>
        <w:r>
          <w:fldChar w:fldCharType="begin"/>
        </w:r>
        <w:r>
          <w:instrText xml:space="preserve"> PAGE   \* MERGEFORMAT </w:instrText>
        </w:r>
        <w:r>
          <w:fldChar w:fldCharType="separate"/>
        </w:r>
        <w:r w:rsidR="00A6698B">
          <w:rPr>
            <w:noProof/>
          </w:rPr>
          <w:t>8</w:t>
        </w:r>
        <w:r>
          <w:rPr>
            <w:noProof/>
          </w:rPr>
          <w:fldChar w:fldCharType="end"/>
        </w:r>
      </w:p>
    </w:sdtContent>
  </w:sdt>
  <w:p w:rsidR="00314C34" w:rsidRDefault="00265C6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265C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5C63" w:rsidRDefault="00265C63">
      <w:r>
        <w:separator/>
      </w:r>
    </w:p>
  </w:footnote>
  <w:footnote w:type="continuationSeparator" w:id="0">
    <w:p w:rsidR="00265C63" w:rsidRDefault="00265C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265C6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265C6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265C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871827E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97EBA4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0A83C8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7021E6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EE8E67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20A35B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33805C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88E252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1B2CF9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088004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698EC27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docVars>
    <w:docVar w:name="StatTag Metadata" w:val="{&quot;MetadataFormatVersion&quot;:&quot;1.0.0&quot;,&quot;TagFormatVersion&quot;:&quot;1.0.0&quot;,&quot;StatTagVersion&quot;:&quot;StatTag v4.0.0&quot;,&quot;RepresentMissingValues&quot;:null,&quot;CustomMissingValue&quot;:null}"/>
  </w:docVars>
  <w:rsids>
    <w:rsidRoot w:val="00590D07"/>
    <w:rsid w:val="00011C8B"/>
    <w:rsid w:val="00265C63"/>
    <w:rsid w:val="004E29B3"/>
    <w:rsid w:val="00590D07"/>
    <w:rsid w:val="00784D58"/>
    <w:rsid w:val="008D6863"/>
    <w:rsid w:val="00A6698B"/>
    <w:rsid w:val="00B86B75"/>
    <w:rsid w:val="00BC48D5"/>
    <w:rsid w:val="00C36279"/>
    <w:rsid w:val="00E315A3"/>
    <w:rsid w:val="00F6218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C8C1"/>
  <w15:docId w15:val="{2632F7D7-97FC-4CDB-BED4-9376E1F7C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7E9C"/>
    <w:rPr>
      <w:rFonts w:ascii="Times New Roman" w:hAnsi="Times New Roman"/>
    </w:rPr>
  </w:style>
  <w:style w:type="paragraph" w:styleId="Heading1">
    <w:name w:val="heading 1"/>
    <w:basedOn w:val="Normal"/>
    <w:next w:val="BodyText"/>
    <w:uiPriority w:val="9"/>
    <w:qFormat/>
    <w:rsid w:val="00872DF2"/>
    <w:pPr>
      <w:keepNext/>
      <w:keepLines/>
      <w:spacing w:before="480" w:after="0" w:line="480" w:lineRule="auto"/>
      <w:outlineLvl w:val="0"/>
    </w:pPr>
    <w:rPr>
      <w:rFonts w:eastAsiaTheme="majorEastAsia" w:cstheme="majorBidi"/>
      <w:b/>
      <w:bCs/>
      <w:szCs w:val="32"/>
    </w:rPr>
  </w:style>
  <w:style w:type="paragraph" w:styleId="Heading2">
    <w:name w:val="heading 2"/>
    <w:basedOn w:val="Normal"/>
    <w:next w:val="BodyText"/>
    <w:uiPriority w:val="9"/>
    <w:unhideWhenUsed/>
    <w:qFormat/>
    <w:rsid w:val="005F0F61"/>
    <w:pPr>
      <w:keepNext/>
      <w:keepLines/>
      <w:spacing w:before="200" w:after="0" w:line="360" w:lineRule="auto"/>
      <w:outlineLvl w:val="1"/>
    </w:pPr>
    <w:rPr>
      <w:rFonts w:eastAsiaTheme="majorEastAsia" w:cstheme="majorBidi"/>
      <w:b/>
      <w:bCs/>
      <w:szCs w:val="32"/>
    </w:rPr>
  </w:style>
  <w:style w:type="paragraph" w:styleId="Heading3">
    <w:name w:val="heading 3"/>
    <w:basedOn w:val="Normal"/>
    <w:next w:val="BodyText"/>
    <w:uiPriority w:val="9"/>
    <w:unhideWhenUsed/>
    <w:qFormat/>
    <w:rsid w:val="00972032"/>
    <w:pPr>
      <w:keepNext/>
      <w:keepLines/>
      <w:spacing w:before="200" w:after="0" w:line="360" w:lineRule="auto"/>
      <w:outlineLvl w:val="2"/>
    </w:pPr>
    <w:rPr>
      <w:rFonts w:eastAsiaTheme="majorEastAsia" w:cstheme="majorBidi"/>
      <w:b/>
      <w:bCs/>
      <w:szCs w:val="28"/>
    </w:rPr>
  </w:style>
  <w:style w:type="paragraph" w:styleId="Heading4">
    <w:name w:val="heading 4"/>
    <w:basedOn w:val="Normal"/>
    <w:next w:val="BodyText"/>
    <w:uiPriority w:val="9"/>
    <w:unhideWhenUsed/>
    <w:qFormat/>
    <w:rsid w:val="00DB7E9C"/>
    <w:pPr>
      <w:keepNext/>
      <w:keepLines/>
      <w:spacing w:before="200" w:after="0"/>
      <w:outlineLvl w:val="3"/>
    </w:pPr>
    <w:rPr>
      <w:rFonts w:eastAsiaTheme="majorEastAsia" w:cstheme="majorBidi"/>
      <w:b/>
      <w:bCs/>
    </w:rPr>
  </w:style>
  <w:style w:type="paragraph" w:styleId="Heading5">
    <w:name w:val="heading 5"/>
    <w:basedOn w:val="Normal"/>
    <w:next w:val="BodyText"/>
    <w:uiPriority w:val="9"/>
    <w:unhideWhenUsed/>
    <w:qFormat/>
    <w:rsid w:val="00DB7E9C"/>
    <w:pPr>
      <w:keepNext/>
      <w:keepLines/>
      <w:spacing w:before="200" w:after="0"/>
      <w:outlineLvl w:val="4"/>
    </w:pPr>
    <w:rPr>
      <w:rFonts w:eastAsiaTheme="majorEastAsia" w:cstheme="majorBidi"/>
      <w:i/>
      <w:iCs/>
    </w:rPr>
  </w:style>
  <w:style w:type="paragraph" w:styleId="Heading6">
    <w:name w:val="heading 6"/>
    <w:basedOn w:val="Normal"/>
    <w:next w:val="BodyText"/>
    <w:uiPriority w:val="9"/>
    <w:unhideWhenUsed/>
    <w:qFormat/>
    <w:rsid w:val="00DB7E9C"/>
    <w:pPr>
      <w:keepNext/>
      <w:keepLines/>
      <w:spacing w:before="200" w:after="0"/>
      <w:outlineLvl w:val="5"/>
    </w:pPr>
    <w:rPr>
      <w:rFonts w:eastAsiaTheme="majorEastAsia" w:cstheme="majorBidi"/>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DB7E9C"/>
    <w:pPr>
      <w:spacing w:before="180" w:after="180" w:line="480" w:lineRule="auto"/>
    </w:pPr>
  </w:style>
  <w:style w:type="paragraph" w:customStyle="1" w:styleId="FirstParagraph">
    <w:name w:val="First Paragraph"/>
    <w:basedOn w:val="BodyText"/>
    <w:next w:val="BodyText"/>
    <w:qFormat/>
    <w:rsid w:val="001A3E5B"/>
  </w:style>
  <w:style w:type="paragraph" w:customStyle="1" w:styleId="Compact">
    <w:name w:val="Compact"/>
    <w:basedOn w:val="BodyText"/>
    <w:qFormat/>
    <w:pPr>
      <w:spacing w:before="36" w:after="36"/>
    </w:pPr>
  </w:style>
  <w:style w:type="paragraph" w:styleId="Title">
    <w:name w:val="Title"/>
    <w:basedOn w:val="Normal"/>
    <w:next w:val="BodyText"/>
    <w:qFormat/>
    <w:rsid w:val="00DB7E9C"/>
    <w:pPr>
      <w:keepNext/>
      <w:keepLines/>
      <w:spacing w:before="480" w:after="240"/>
      <w:jc w:val="center"/>
    </w:pPr>
    <w:rPr>
      <w:rFonts w:eastAsiaTheme="majorEastAsia" w:cstheme="majorBidi"/>
      <w:b/>
      <w:bCs/>
      <w:sz w:val="32"/>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DB7E9C"/>
    <w:pPr>
      <w:keepNext/>
      <w:keepLines/>
      <w:jc w:val="center"/>
    </w:pPr>
    <w:rPr>
      <w:rFonts w:ascii="Times New Roman" w:hAnsi="Times New Roman"/>
    </w:rPr>
  </w:style>
  <w:style w:type="paragraph" w:styleId="Date">
    <w:name w:val="Date"/>
    <w:next w:val="BodyText"/>
    <w:qFormat/>
    <w:rsid w:val="00DB7E9C"/>
    <w:pPr>
      <w:keepNext/>
      <w:keepLines/>
      <w:jc w:val="center"/>
    </w:pPr>
    <w:rPr>
      <w:rFonts w:ascii="Times New Roman" w:hAnsi="Times New Roman"/>
    </w:rPr>
  </w:style>
  <w:style w:type="paragraph" w:customStyle="1" w:styleId="Abstract">
    <w:name w:val="Abstract"/>
    <w:basedOn w:val="Normal"/>
    <w:next w:val="BodyText"/>
    <w:qFormat/>
    <w:rsid w:val="00DB7E9C"/>
    <w:pPr>
      <w:keepNext/>
      <w:keepLines/>
      <w:spacing w:before="300" w:after="300"/>
    </w:pPr>
    <w:rPr>
      <w:szCs w:val="20"/>
    </w:rPr>
  </w:style>
  <w:style w:type="paragraph" w:styleId="Bibliography">
    <w:name w:val="Bibliography"/>
    <w:basedOn w:val="Normal"/>
    <w:qFormat/>
    <w:rsid w:val="00DB7E9C"/>
  </w:style>
  <w:style w:type="paragraph" w:styleId="BlockText">
    <w:name w:val="Block Text"/>
    <w:basedOn w:val="BodyText"/>
    <w:next w:val="BodyText"/>
    <w:uiPriority w:val="9"/>
    <w:unhideWhenUsed/>
    <w:qFormat/>
    <w:rsid w:val="00DB7E9C"/>
    <w:pPr>
      <w:spacing w:before="100" w:after="100"/>
    </w:pPr>
    <w:rPr>
      <w:rFonts w:eastAsiaTheme="majorEastAsia" w:cstheme="majorBidi"/>
      <w:bCs/>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705EF3"/>
    <w:pPr>
      <w:keepNext/>
    </w:pPr>
    <w:rPr>
      <w:i w:val="0"/>
    </w:r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DB7E9C"/>
    <w:pPr>
      <w:spacing w:before="240" w:line="259" w:lineRule="auto"/>
      <w:outlineLvl w:val="9"/>
    </w:pPr>
    <w:rPr>
      <w:b w:val="0"/>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DB7E9C"/>
    <w:rPr>
      <w:rFonts w:ascii="Times New Roman" w:hAnsi="Times New Roman"/>
    </w:rPr>
  </w:style>
  <w:style w:type="paragraph" w:styleId="Header">
    <w:name w:val="header"/>
    <w:basedOn w:val="Normal"/>
    <w:link w:val="HeaderChar"/>
    <w:unhideWhenUsed/>
    <w:rsid w:val="00314C34"/>
    <w:pPr>
      <w:tabs>
        <w:tab w:val="center" w:pos="4680"/>
        <w:tab w:val="right" w:pos="9360"/>
      </w:tabs>
      <w:spacing w:after="0"/>
    </w:pPr>
  </w:style>
  <w:style w:type="character" w:customStyle="1" w:styleId="HeaderChar">
    <w:name w:val="Header Char"/>
    <w:basedOn w:val="DefaultParagraphFont"/>
    <w:link w:val="Header"/>
    <w:rsid w:val="00314C34"/>
    <w:rPr>
      <w:rFonts w:ascii="Calibri" w:hAnsi="Calibri"/>
      <w:sz w:val="22"/>
    </w:rPr>
  </w:style>
  <w:style w:type="paragraph" w:styleId="Footer">
    <w:name w:val="footer"/>
    <w:basedOn w:val="Normal"/>
    <w:link w:val="FooterChar"/>
    <w:uiPriority w:val="99"/>
    <w:unhideWhenUsed/>
    <w:rsid w:val="00314C34"/>
    <w:pPr>
      <w:tabs>
        <w:tab w:val="center" w:pos="4680"/>
        <w:tab w:val="right" w:pos="9360"/>
      </w:tabs>
      <w:spacing w:after="0"/>
    </w:pPr>
  </w:style>
  <w:style w:type="character" w:customStyle="1" w:styleId="FooterChar">
    <w:name w:val="Footer Char"/>
    <w:basedOn w:val="DefaultParagraphFont"/>
    <w:link w:val="Footer"/>
    <w:uiPriority w:val="99"/>
    <w:rsid w:val="00314C34"/>
    <w:rPr>
      <w:rFonts w:ascii="Calibri" w:hAnsi="Calibr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www.escardio.org/Education/Practice-Tools/CVD-prevention-toolbox/SCORE-Risk-Charts"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11</Pages>
  <Words>2150</Words>
  <Characters>12258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14380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Predicted cardiovascular risk for US adults with diabetes, chronic kidney disease, and ≥65 years of age</dc:title>
  <dc:creator/>
  <cp:keywords/>
  <cp:lastModifiedBy>Byron Jaeger</cp:lastModifiedBy>
  <cp:revision>2</cp:revision>
  <dcterms:created xsi:type="dcterms:W3CDTF">2021-06-17T18:49:00Z</dcterms:created>
  <dcterms:modified xsi:type="dcterms:W3CDTF">2021-06-17T21:21:00Z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2021-06-17</vt:lpwstr>
  </property>
  <property fmtid="{D5CDD505-2E9C-101B-9397-08002B2CF9AE}" pid="3" name="output">
    <vt:lpwstr/>
  </property>
  <property fmtid="{D5CDD505-2E9C-101B-9397-08002B2CF9AE}" pid="4" name="subtitle">
    <vt:lpwstr>Response to reviewers</vt:lpwstr>
  </property>
</Properties>
</file>