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2BB" w:rsidRDefault="00CA32BB" w:rsidP="00EA3E3B">
      <w:pPr>
        <w:jc w:val="center"/>
        <w:rPr>
          <w:b/>
        </w:rPr>
      </w:pPr>
      <w:r>
        <w:rPr>
          <w:b/>
        </w:rPr>
        <w:t xml:space="preserve">Predicted cardiovascular risk and blood pressure for Americans with diabetes, chronic kidney disease, and </w:t>
      </w:r>
      <w:r>
        <w:rPr>
          <w:rFonts w:cstheme="minorHAnsi"/>
          <w:b/>
        </w:rPr>
        <w:t>≥</w:t>
      </w:r>
      <w:r>
        <w:rPr>
          <w:b/>
        </w:rPr>
        <w:t>65 years of age</w:t>
      </w:r>
    </w:p>
    <w:p w:rsidR="002A5610" w:rsidRDefault="002A5610" w:rsidP="00EA3E3B">
      <w:pPr>
        <w:jc w:val="center"/>
        <w:rPr>
          <w:b/>
        </w:rPr>
      </w:pPr>
    </w:p>
    <w:p w:rsidR="00B57612" w:rsidRDefault="00C10CC8" w:rsidP="00A31CD3">
      <w:pPr>
        <w:jc w:val="center"/>
        <w:rPr>
          <w:b/>
        </w:rPr>
      </w:pPr>
      <w:r w:rsidRPr="00C10CC8">
        <w:rPr>
          <w:b/>
        </w:rPr>
        <w:t xml:space="preserve">Byron C. Jaeger, </w:t>
      </w:r>
      <w:r w:rsidR="00CA32BB" w:rsidRPr="00CA32BB">
        <w:rPr>
          <w:b/>
        </w:rPr>
        <w:t>Shakia T. Hardy,</w:t>
      </w:r>
      <w:r>
        <w:rPr>
          <w:b/>
        </w:rPr>
        <w:t xml:space="preserve"> </w:t>
      </w:r>
      <w:r w:rsidRPr="00C10CC8">
        <w:rPr>
          <w:b/>
        </w:rPr>
        <w:t>Paul Muntner</w:t>
      </w:r>
      <w:r>
        <w:rPr>
          <w:b/>
        </w:rPr>
        <w:t>,</w:t>
      </w:r>
      <w:r w:rsidR="00CA32BB">
        <w:rPr>
          <w:b/>
        </w:rPr>
        <w:t xml:space="preserve"> Paul Whelton </w:t>
      </w:r>
    </w:p>
    <w:p w:rsidR="00BC1BAA" w:rsidRDefault="00BC1BAA">
      <w:pPr>
        <w:rPr>
          <w:b/>
        </w:rPr>
      </w:pPr>
      <w:r>
        <w:rPr>
          <w:b/>
        </w:rPr>
        <w:br w:type="page"/>
      </w:r>
    </w:p>
    <w:p w:rsidR="00C10CC8" w:rsidRDefault="00C10CC8">
      <w:pPr>
        <w:rPr>
          <w:b/>
        </w:rPr>
      </w:pPr>
    </w:p>
    <w:p w:rsidR="00C10CC8" w:rsidRDefault="00C10CC8">
      <w:pPr>
        <w:rPr>
          <w:b/>
        </w:rPr>
      </w:pPr>
      <w:bookmarkStart w:id="0" w:name="_GoBack"/>
      <w:r>
        <w:rPr>
          <w:b/>
        </w:rPr>
        <w:t xml:space="preserve">Main idea: </w:t>
      </w:r>
    </w:p>
    <w:p w:rsidR="003449EA" w:rsidRDefault="00C10CC8">
      <w:r>
        <w:t xml:space="preserve">The 2017 ACC/AHA BP guideline states that </w:t>
      </w:r>
      <w:r w:rsidRPr="00C10CC8">
        <w:t>the absolute CVD risk reduction attributable to BP lowering is greater at greater absolute levels of CVD risk</w:t>
      </w:r>
      <w:r>
        <w:t xml:space="preserve"> (</w:t>
      </w:r>
      <w:r w:rsidR="00F91E3E">
        <w:t xml:space="preserve">see </w:t>
      </w:r>
      <w:r>
        <w:t xml:space="preserve">Section 8.1.1, first paragraph). </w:t>
      </w:r>
      <w:r w:rsidR="00F91E3E" w:rsidRPr="00F91E3E">
        <w:t xml:space="preserve">The guideline also </w:t>
      </w:r>
      <w:r w:rsidR="003449EA">
        <w:t>states</w:t>
      </w:r>
      <w:r w:rsidR="00F91E3E" w:rsidRPr="00F91E3E">
        <w:t xml:space="preserve"> </w:t>
      </w:r>
      <w:r w:rsidR="002F7257">
        <w:t xml:space="preserve">that </w:t>
      </w:r>
      <w:r w:rsidR="00F91E3E" w:rsidRPr="00F91E3E">
        <w:t>the</w:t>
      </w:r>
      <w:r w:rsidR="00F91E3E">
        <w:t xml:space="preserve"> vast majority of adults with diabetes</w:t>
      </w:r>
      <w:r w:rsidR="00D36D1C">
        <w:t>,</w:t>
      </w:r>
      <w:r w:rsidR="00F91E3E">
        <w:t xml:space="preserve"> chronic kidney disease</w:t>
      </w:r>
      <w:r w:rsidR="00D36D1C">
        <w:t xml:space="preserve">, or </w:t>
      </w:r>
      <w:r w:rsidR="00D36D1C" w:rsidRPr="00D36D1C">
        <w:t>≥65 years of age</w:t>
      </w:r>
      <w:r w:rsidR="00F91E3E">
        <w:t xml:space="preserve"> </w:t>
      </w:r>
      <w:r w:rsidR="00D36D1C">
        <w:t xml:space="preserve">have </w:t>
      </w:r>
      <w:r w:rsidR="00F91E3E" w:rsidRPr="00F91E3E">
        <w:t>a 10-year CVD risk ≥10%, placing them in the high risk categ</w:t>
      </w:r>
      <w:r w:rsidR="00D36D1C">
        <w:t xml:space="preserve">ory that requires initiation of </w:t>
      </w:r>
      <w:r w:rsidR="00F91E3E" w:rsidRPr="00F91E3E">
        <w:t>antihypertensive drug therapy at BP ≥ 130/80</w:t>
      </w:r>
      <w:r w:rsidR="00D36D1C">
        <w:t>*</w:t>
      </w:r>
      <w:r w:rsidR="00F91E3E" w:rsidRPr="00F91E3E">
        <w:t xml:space="preserve"> mm Hg</w:t>
      </w:r>
      <w:r w:rsidR="00F91E3E">
        <w:t xml:space="preserve"> (see Section 9.3, 9.6</w:t>
      </w:r>
      <w:r w:rsidR="00D36D1C">
        <w:t>, and 10.3.1</w:t>
      </w:r>
      <w:r w:rsidR="00AD2254">
        <w:t xml:space="preserve"> of ACC/AHA guidelines</w:t>
      </w:r>
      <w:r w:rsidR="00D36D1C">
        <w:t>:</w:t>
      </w:r>
      <w:r w:rsidR="00F91E3E">
        <w:t xml:space="preserve"> </w:t>
      </w:r>
      <w:r w:rsidR="002F7257">
        <w:t xml:space="preserve">treatment </w:t>
      </w:r>
      <w:r w:rsidR="00F91E3E">
        <w:t>recommendations paragraph).</w:t>
      </w:r>
      <w:r w:rsidR="003449EA">
        <w:t xml:space="preserve"> </w:t>
      </w:r>
      <w:r w:rsidR="007533DD">
        <w:t>However, d</w:t>
      </w:r>
      <w:r w:rsidR="003449EA">
        <w:t xml:space="preserve">ata from NHANES </w:t>
      </w:r>
      <w:r w:rsidR="007533DD">
        <w:t xml:space="preserve">show that US adults with stage 1 hypertension </w:t>
      </w:r>
      <w:r w:rsidR="007533DD" w:rsidRPr="007533DD">
        <w:t xml:space="preserve">and </w:t>
      </w:r>
      <w:r w:rsidR="007533DD">
        <w:t>diabetes or chronic kidney disease</w:t>
      </w:r>
      <w:r w:rsidR="003449EA" w:rsidRPr="003449EA">
        <w:t xml:space="preserve"> have heterogeneous predicted risk for CVD</w:t>
      </w:r>
      <w:r w:rsidR="002F7257">
        <w:t xml:space="preserve">. While adults with diabetes and chronic kidney disease have higher risk on average compared to those with no diabetes or chronic kidney disease, nationally representative survey data do not indicate that the vast majority of adults with these conditions </w:t>
      </w:r>
      <w:r w:rsidR="002F7257" w:rsidRPr="002F7257">
        <w:t>have a 10-year CVD risk ≥10%</w:t>
      </w:r>
      <w:r w:rsidR="002F7257">
        <w:t>.</w:t>
      </w:r>
    </w:p>
    <w:p w:rsidR="00263DE1" w:rsidRPr="00FA1A0D" w:rsidRDefault="00D36D1C" w:rsidP="00FA1A0D">
      <w:r>
        <w:t xml:space="preserve">* </w:t>
      </w:r>
      <w:r w:rsidR="00A44D5E">
        <w:t xml:space="preserve">For </w:t>
      </w:r>
      <w:r w:rsidR="00F91E3E" w:rsidRPr="00F91E3E">
        <w:t xml:space="preserve">adults </w:t>
      </w:r>
      <w:r w:rsidR="00A44D5E">
        <w:t xml:space="preserve">aged </w:t>
      </w:r>
      <w:r w:rsidRPr="00D36D1C">
        <w:t>≥65 years</w:t>
      </w:r>
      <w:r>
        <w:t xml:space="preserve"> </w:t>
      </w:r>
      <w:r w:rsidR="00A44D5E">
        <w:t>D</w:t>
      </w:r>
      <w:r>
        <w:t xml:space="preserve">BP </w:t>
      </w:r>
      <w:r w:rsidR="00A44D5E">
        <w:t>is not used</w:t>
      </w:r>
      <w:r>
        <w:t>.</w:t>
      </w:r>
    </w:p>
    <w:bookmarkEnd w:id="0"/>
    <w:p w:rsidR="00B221E7" w:rsidRDefault="00B43768">
      <w:r>
        <w:br w:type="page"/>
      </w:r>
    </w:p>
    <w:p w:rsidR="00B221E7" w:rsidRDefault="00B43768">
      <w:r>
        <w:lastRenderedPageBreak/>
        <w:t>Table 1: Characteristics of US adults overall and with diabetes, chronic kidney disease, ≥ 65 years of age, and any of the preceding conditions</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B221E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221E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000000"/>
              </w:rPr>
              <w:t>Sub-groups</w:t>
            </w:r>
          </w:p>
        </w:tc>
      </w:tr>
      <w:tr w:rsidR="00B221E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Chronic kidney disease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4,183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56.7 (0.22)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60.3 (0.35)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61.8 (0.42)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70.6 (0.14)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64.2 (0.25)</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48.0</w:t>
            </w:r>
          </w:p>
        </w:tc>
      </w:tr>
      <w:tr w:rsidR="00B221E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Race / ethnicity</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11.7</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5.2</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68.8</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10.9</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Other Race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197.0 (0.92)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183.2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194.6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188.9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191.1 (1.2)</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54.9 (0.36)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46.6 (0.51)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53.0 (0.85)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56.6 (0.72)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53.7 (0.48)</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126.0 (0.33)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130.5 (0.65)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134.2 (0.74)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131.8 (0.60)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131.0 (0.48)</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72.8 (0.28)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71.6 (0.39)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72.4 (0.37)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68.3 (0.40)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70.9 (0.35)</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52.1</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41.9</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34.3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61.9</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14.4</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19.3</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rPr>
              <w:t>CVD = cardiovascular disease; HDL = High density lipoprotein</w:t>
            </w:r>
          </w:p>
        </w:tc>
      </w:tr>
    </w:tbl>
    <w:p w:rsidR="00B221E7" w:rsidRDefault="00B43768">
      <w:r>
        <w:br w:type="page"/>
      </w:r>
    </w:p>
    <w:p w:rsidR="00B221E7" w:rsidRDefault="00B43768">
      <w:r>
        <w:lastRenderedPageBreak/>
        <w:t>Table 2: Estimated distribution of blood pressure categories among US adults, overall and for subgroups with diabetes, chronic kidney disease, ≥ 65 years of age, or any of the preceding three conditions.</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B221E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221E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000000"/>
              </w:rPr>
              <w:t>Sub-groups</w:t>
            </w:r>
          </w:p>
        </w:tc>
      </w:tr>
      <w:tr w:rsidR="00B221E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Chronic kidney disease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4,183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15.5</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10.4</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10.4</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11.7</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52.1</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bl>
    <w:p w:rsidR="00B221E7" w:rsidRDefault="00B43768">
      <w:r>
        <w:br w:type="page"/>
      </w:r>
    </w:p>
    <w:p w:rsidR="00B221E7" w:rsidRDefault="00B43768">
      <w:r>
        <w:lastRenderedPageBreak/>
        <w:t>Table 3: Predicted atherosclerotic cardiovascular risk among US adults with diabetes, chronic kidney disease, ≥ 65 years of age, and any of the preceding conditions, overall and by BP category.</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B221E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221E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000000"/>
              </w:rPr>
              <w:t>Sub-groups</w:t>
            </w:r>
          </w:p>
        </w:tc>
      </w:tr>
      <w:tr w:rsidR="00B221E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Chronic kidney disease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4,183</w:t>
            </w:r>
          </w:p>
        </w:tc>
      </w:tr>
      <w:tr w:rsidR="00B221E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i/>
                <w:color w:val="111111"/>
              </w:rPr>
              <w:t>Proportion (95% confidence interval) with predicted risk ≥ 10% or prevalent cardiovascular disease</w:t>
            </w:r>
            <w:r>
              <w:rPr>
                <w:rFonts w:ascii="Calibri" w:eastAsia="Calibri" w:hAnsi="Calibri" w:cs="Calibri"/>
                <w:i/>
                <w:color w:val="111111"/>
                <w:vertAlign w:val="superscript"/>
              </w:rPr>
              <w:t>§‖</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(34.7, 38.6)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72.5</w:t>
            </w:r>
            <w:r>
              <w:rPr>
                <w:rFonts w:ascii="Calibri" w:eastAsia="Calibri" w:hAnsi="Calibri" w:cs="Calibri"/>
                <w:color w:val="111111"/>
              </w:rPr>
              <w:br/>
              <w:t>(69.3, 75.6)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65.4</w:t>
            </w:r>
            <w:r>
              <w:rPr>
                <w:rFonts w:ascii="Calibri" w:eastAsia="Calibri" w:hAnsi="Calibri" w:cs="Calibri"/>
                <w:color w:val="111111"/>
              </w:rPr>
              <w:br/>
              <w:t>(61.7, 69.0)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83.8</w:t>
            </w:r>
            <w:r>
              <w:rPr>
                <w:rFonts w:ascii="Calibri" w:eastAsia="Calibri" w:hAnsi="Calibri" w:cs="Calibri"/>
                <w:color w:val="111111"/>
              </w:rPr>
              <w:br/>
              <w:t>(81.6, 86.0)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70.3</w:t>
            </w:r>
            <w:r>
              <w:rPr>
                <w:rFonts w:ascii="Calibri" w:eastAsia="Calibri" w:hAnsi="Calibri" w:cs="Calibri"/>
                <w:color w:val="111111"/>
              </w:rPr>
              <w:br/>
              <w:t>(68.0, 72.7)</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13.7</w:t>
            </w:r>
            <w:r>
              <w:rPr>
                <w:rFonts w:ascii="Calibri" w:eastAsia="Calibri" w:hAnsi="Calibri" w:cs="Calibri"/>
                <w:color w:val="111111"/>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46.8</w:t>
            </w:r>
            <w:r>
              <w:rPr>
                <w:rFonts w:ascii="Calibri" w:eastAsia="Calibri" w:hAnsi="Calibri" w:cs="Calibri"/>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32.3</w:t>
            </w:r>
            <w:r>
              <w:rPr>
                <w:rFonts w:ascii="Calibri" w:eastAsia="Calibri" w:hAnsi="Calibri" w:cs="Calibri"/>
                <w:color w:val="111111"/>
              </w:rPr>
              <w:br/>
              <w:t>(21.6, 43.0)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64.4</w:t>
            </w:r>
            <w:r>
              <w:rPr>
                <w:rFonts w:ascii="Calibri" w:eastAsia="Calibri" w:hAnsi="Calibri" w:cs="Calibri"/>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46.3</w:t>
            </w:r>
            <w:r>
              <w:rPr>
                <w:rFonts w:ascii="Calibri" w:eastAsia="Calibri" w:hAnsi="Calibri" w:cs="Calibri"/>
                <w:color w:val="111111"/>
              </w:rPr>
              <w:br/>
              <w:t>(40.5, 52.1)</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27.4</w:t>
            </w:r>
            <w:r>
              <w:rPr>
                <w:rFonts w:ascii="Calibri" w:eastAsia="Calibri" w:hAnsi="Calibri" w:cs="Calibri"/>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57.7</w:t>
            </w:r>
            <w:r>
              <w:rPr>
                <w:rFonts w:ascii="Calibri" w:eastAsia="Calibri" w:hAnsi="Calibri" w:cs="Calibri"/>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47.9</w:t>
            </w:r>
            <w:r>
              <w:rPr>
                <w:rFonts w:ascii="Calibri" w:eastAsia="Calibri" w:hAnsi="Calibri" w:cs="Calibri"/>
                <w:color w:val="111111"/>
              </w:rPr>
              <w:br/>
              <w:t>(36.9, 59.0)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69.8</w:t>
            </w:r>
            <w:r>
              <w:rPr>
                <w:rFonts w:ascii="Calibri" w:eastAsia="Calibri" w:hAnsi="Calibri" w:cs="Calibri"/>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57.9</w:t>
            </w:r>
            <w:r>
              <w:rPr>
                <w:rFonts w:ascii="Calibri" w:eastAsia="Calibri" w:hAnsi="Calibri" w:cs="Calibri"/>
                <w:color w:val="111111"/>
              </w:rPr>
              <w:br/>
              <w:t>(50.5, 65.3)</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24.3</w:t>
            </w:r>
            <w:r>
              <w:rPr>
                <w:rFonts w:ascii="Calibri" w:eastAsia="Calibri" w:hAnsi="Calibri" w:cs="Calibri"/>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55.0</w:t>
            </w:r>
            <w:r>
              <w:rPr>
                <w:rFonts w:ascii="Calibri" w:eastAsia="Calibri" w:hAnsi="Calibri" w:cs="Calibri"/>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(27.4, 49.6)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72.6</w:t>
            </w:r>
            <w:r>
              <w:rPr>
                <w:rFonts w:ascii="Calibri" w:eastAsia="Calibri" w:hAnsi="Calibri" w:cs="Calibri"/>
                <w:color w:val="111111"/>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55.2</w:t>
            </w:r>
            <w:r>
              <w:rPr>
                <w:rFonts w:ascii="Calibri" w:eastAsia="Calibri" w:hAnsi="Calibri" w:cs="Calibri"/>
                <w:color w:val="111111"/>
              </w:rPr>
              <w:br/>
              <w:t>(47.0, 63.3)</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45.7</w:t>
            </w:r>
            <w:r>
              <w:rPr>
                <w:rFonts w:ascii="Calibri" w:eastAsia="Calibri" w:hAnsi="Calibri" w:cs="Calibri"/>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79.0</w:t>
            </w:r>
            <w:r>
              <w:rPr>
                <w:rFonts w:ascii="Calibri" w:eastAsia="Calibri" w:hAnsi="Calibri" w:cs="Calibri"/>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65.6</w:t>
            </w:r>
            <w:r>
              <w:rPr>
                <w:rFonts w:ascii="Calibri" w:eastAsia="Calibri" w:hAnsi="Calibri" w:cs="Calibri"/>
                <w:color w:val="111111"/>
              </w:rPr>
              <w:br/>
              <w:t>(54.7, 76.4)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90.2</w:t>
            </w:r>
            <w:r>
              <w:rPr>
                <w:rFonts w:ascii="Calibri" w:eastAsia="Calibri" w:hAnsi="Calibri" w:cs="Calibri"/>
                <w:color w:val="111111"/>
              </w:rPr>
              <w:br/>
              <w:t>(83.8, 96.6)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75.6</w:t>
            </w:r>
            <w:r>
              <w:rPr>
                <w:rFonts w:ascii="Calibri" w:eastAsia="Calibri" w:hAnsi="Calibri" w:cs="Calibri"/>
                <w:color w:val="111111"/>
              </w:rPr>
              <w:br/>
              <w:t>(69.5, 81.7)</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61.9</w:t>
            </w:r>
            <w:r>
              <w:rPr>
                <w:rFonts w:ascii="Calibri" w:eastAsia="Calibri" w:hAnsi="Calibri" w:cs="Calibri"/>
                <w:color w:val="111111"/>
              </w:rPr>
              <w:br/>
              <w:t>(59.4, 64.5)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81.6</w:t>
            </w:r>
            <w:r>
              <w:rPr>
                <w:rFonts w:ascii="Calibri" w:eastAsia="Calibri" w:hAnsi="Calibri" w:cs="Calibri"/>
                <w:color w:val="111111"/>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79.9</w:t>
            </w:r>
            <w:r>
              <w:rPr>
                <w:rFonts w:ascii="Calibri" w:eastAsia="Calibri" w:hAnsi="Calibri" w:cs="Calibri"/>
                <w:color w:val="111111"/>
              </w:rPr>
              <w:br/>
              <w:t>(75.9, 84.0)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92.8</w:t>
            </w:r>
            <w:r>
              <w:rPr>
                <w:rFonts w:ascii="Calibri" w:eastAsia="Calibri" w:hAnsi="Calibri" w:cs="Calibri"/>
                <w:color w:val="111111"/>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81.8</w:t>
            </w:r>
            <w:r>
              <w:rPr>
                <w:rFonts w:ascii="Calibri" w:eastAsia="Calibri" w:hAnsi="Calibri" w:cs="Calibri"/>
                <w:color w:val="111111"/>
              </w:rPr>
              <w:br/>
              <w:t>(79.4, 84.2)</w:t>
            </w:r>
          </w:p>
        </w:tc>
      </w:tr>
      <w:tr w:rsidR="00B221E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i/>
                <w:color w:val="111111"/>
              </w:rPr>
              <w:t>Median (25th - 75th percentile) predicted risk</w:t>
            </w:r>
            <w:r>
              <w:rPr>
                <w:rFonts w:ascii="Calibri" w:eastAsia="Calibri" w:hAnsi="Calibri" w:cs="Calibri"/>
                <w:i/>
                <w:color w:val="111111"/>
                <w:vertAlign w:val="superscript"/>
              </w:rPr>
              <w:t>¶</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5.1</w:t>
            </w:r>
            <w:r>
              <w:rPr>
                <w:rFonts w:ascii="Calibri" w:eastAsia="Calibri" w:hAnsi="Calibri" w:cs="Calibri"/>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14.4</w:t>
            </w:r>
            <w:r>
              <w:rPr>
                <w:rFonts w:ascii="Calibri" w:eastAsia="Calibri" w:hAnsi="Calibri" w:cs="Calibri"/>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12.1</w:t>
            </w:r>
            <w:r>
              <w:rPr>
                <w:rFonts w:ascii="Calibri" w:eastAsia="Calibri" w:hAnsi="Calibri" w:cs="Calibri"/>
                <w:color w:val="111111"/>
              </w:rPr>
              <w:br/>
              <w:t>(4.8, 22.8)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17.9</w:t>
            </w:r>
            <w:r>
              <w:rPr>
                <w:rFonts w:ascii="Calibri" w:eastAsia="Calibri" w:hAnsi="Calibri" w:cs="Calibri"/>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13.6</w:t>
            </w:r>
            <w:r>
              <w:rPr>
                <w:rFonts w:ascii="Calibri" w:eastAsia="Calibri" w:hAnsi="Calibri" w:cs="Calibri"/>
                <w:color w:val="111111"/>
              </w:rPr>
              <w:br/>
              <w:t>(7.0, 22.3)</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2.0</w:t>
            </w:r>
            <w:r>
              <w:rPr>
                <w:rFonts w:ascii="Calibri" w:eastAsia="Calibri" w:hAnsi="Calibri" w:cs="Calibri"/>
                <w:color w:val="111111"/>
              </w:rPr>
              <w:br/>
              <w:t>(0.79, 4.8)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3.0</w:t>
            </w:r>
            <w:r>
              <w:rPr>
                <w:rFonts w:ascii="Calibri" w:eastAsia="Calibri" w:hAnsi="Calibri" w:cs="Calibri"/>
                <w:color w:val="111111"/>
              </w:rPr>
              <w:br/>
              <w:t>(0.96, 8.1)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10.6</w:t>
            </w:r>
            <w:r>
              <w:rPr>
                <w:rFonts w:ascii="Calibri" w:eastAsia="Calibri" w:hAnsi="Calibri" w:cs="Calibri"/>
                <w:color w:val="111111"/>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7.0</w:t>
            </w:r>
            <w:r>
              <w:rPr>
                <w:rFonts w:ascii="Calibri" w:eastAsia="Calibri" w:hAnsi="Calibri" w:cs="Calibri"/>
                <w:color w:val="111111"/>
              </w:rPr>
              <w:br/>
              <w:t>(3.3, 12.9)</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4.3</w:t>
            </w:r>
            <w:r>
              <w:rPr>
                <w:rFonts w:ascii="Calibri" w:eastAsia="Calibri" w:hAnsi="Calibri" w:cs="Calibri"/>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6.2</w:t>
            </w:r>
            <w:r>
              <w:rPr>
                <w:rFonts w:ascii="Calibri" w:eastAsia="Calibri" w:hAnsi="Calibri" w:cs="Calibri"/>
                <w:color w:val="111111"/>
              </w:rPr>
              <w:br/>
              <w:t>(1.5, 13.8)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14.6</w:t>
            </w:r>
            <w:r>
              <w:rPr>
                <w:rFonts w:ascii="Calibri" w:eastAsia="Calibri" w:hAnsi="Calibri" w:cs="Calibri"/>
                <w:color w:val="111111"/>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(5.8, 17.4)</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4.2</w:t>
            </w:r>
            <w:r>
              <w:rPr>
                <w:rFonts w:ascii="Calibri" w:eastAsia="Calibri" w:hAnsi="Calibri" w:cs="Calibri"/>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8.9</w:t>
            </w:r>
            <w:r>
              <w:rPr>
                <w:rFonts w:ascii="Calibri" w:eastAsia="Calibri" w:hAnsi="Calibri" w:cs="Calibri"/>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(2.6, 12.3)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13.8</w:t>
            </w:r>
            <w:r>
              <w:rPr>
                <w:rFonts w:ascii="Calibri" w:eastAsia="Calibri" w:hAnsi="Calibri" w:cs="Calibri"/>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9.8</w:t>
            </w:r>
            <w:r>
              <w:rPr>
                <w:rFonts w:ascii="Calibri" w:eastAsia="Calibri" w:hAnsi="Calibri" w:cs="Calibri"/>
                <w:color w:val="111111"/>
              </w:rPr>
              <w:br/>
              <w:t>(5.3, 16.6)</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8.1</w:t>
            </w:r>
            <w:r>
              <w:rPr>
                <w:rFonts w:ascii="Calibri" w:eastAsia="Calibri" w:hAnsi="Calibri" w:cs="Calibri"/>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18.8</w:t>
            </w:r>
            <w:r>
              <w:rPr>
                <w:rFonts w:ascii="Calibri" w:eastAsia="Calibri" w:hAnsi="Calibri" w:cs="Calibri"/>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13.9</w:t>
            </w:r>
            <w:r>
              <w:rPr>
                <w:rFonts w:ascii="Calibri" w:eastAsia="Calibri" w:hAnsi="Calibri" w:cs="Calibri"/>
                <w:color w:val="111111"/>
              </w:rPr>
              <w:br/>
              <w:t>(5.7, 21.3)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20.4</w:t>
            </w:r>
            <w:r>
              <w:rPr>
                <w:rFonts w:ascii="Calibri" w:eastAsia="Calibri" w:hAnsi="Calibri" w:cs="Calibri"/>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17.3</w:t>
            </w:r>
            <w:r>
              <w:rPr>
                <w:rFonts w:ascii="Calibri" w:eastAsia="Calibri" w:hAnsi="Calibri" w:cs="Calibri"/>
                <w:color w:val="111111"/>
              </w:rPr>
              <w:br/>
              <w:t>(9.2, 25.4)</w:t>
            </w:r>
          </w:p>
        </w:tc>
      </w:tr>
      <w:tr w:rsidR="00B221E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10.5</w:t>
            </w:r>
            <w:r>
              <w:rPr>
                <w:rFonts w:ascii="Calibri" w:eastAsia="Calibri" w:hAnsi="Calibri" w:cs="Calibri"/>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17.0</w:t>
            </w:r>
            <w:r>
              <w:rPr>
                <w:rFonts w:ascii="Calibri" w:eastAsia="Calibri" w:hAnsi="Calibri" w:cs="Calibri"/>
                <w:color w:val="111111"/>
              </w:rPr>
              <w:br/>
              <w:t>(9.0, 29.0)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21.2</w:t>
            </w:r>
            <w:r>
              <w:rPr>
                <w:rFonts w:ascii="Calibri" w:eastAsia="Calibri" w:hAnsi="Calibri" w:cs="Calibri"/>
                <w:color w:val="111111"/>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(10.1, 27.3)</w:t>
            </w:r>
          </w:p>
        </w:tc>
      </w:tr>
      <w:tr w:rsidR="00B221E7">
        <w:trPr>
          <w:cantSplit/>
          <w:jc w:val="center"/>
        </w:trPr>
        <w:tc>
          <w:tcPr>
            <w:tcW w:w="1116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B221E7">
        <w:trPr>
          <w:cantSplit/>
          <w:jc w:val="center"/>
        </w:trPr>
        <w:tc>
          <w:tcPr>
            <w:tcW w:w="1116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B221E7">
        <w:trPr>
          <w:cantSplit/>
          <w:jc w:val="center"/>
        </w:trPr>
        <w:tc>
          <w:tcPr>
            <w:tcW w:w="1116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lastRenderedPageBreak/>
              <w:t>‡</w:t>
            </w:r>
            <w:r>
              <w:rPr>
                <w:rFonts w:ascii="Calibri" w:eastAsia="Calibri" w:hAnsi="Calibri" w:cs="Calibri"/>
                <w:color w:val="000000"/>
              </w:rPr>
              <w:t>Chronic kidney disease is defined by an albumin-to-creatinine ratio ≥ 30 mg/dl or an estimated glomerular filtration rate &lt;60 ml/min/1.73m²</w:t>
            </w:r>
          </w:p>
        </w:tc>
      </w:tr>
      <w:tr w:rsidR="00B221E7">
        <w:trPr>
          <w:cantSplit/>
          <w:jc w:val="center"/>
        </w:trPr>
        <w:tc>
          <w:tcPr>
            <w:tcW w:w="1116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B221E7">
        <w:trPr>
          <w:cantSplit/>
          <w:jc w:val="center"/>
        </w:trPr>
        <w:tc>
          <w:tcPr>
            <w:tcW w:w="1116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Predicted risk for cardiovascular disease was computed using the Pooled Cohort Risk equations, based on the guideline by American College of Cardiology / American Heart Association, 2013</w:t>
            </w:r>
          </w:p>
        </w:tc>
      </w:tr>
      <w:tr w:rsidR="00B221E7">
        <w:trPr>
          <w:cantSplit/>
          <w:jc w:val="center"/>
        </w:trPr>
        <w:tc>
          <w:tcPr>
            <w:tcW w:w="1116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Data from survey participants with prevalent cardiovascular disease were not included for these statistics</w:t>
            </w:r>
          </w:p>
        </w:tc>
      </w:tr>
    </w:tbl>
    <w:p w:rsidR="00B221E7" w:rsidRDefault="00B43768">
      <w:r>
        <w:br w:type="page"/>
      </w:r>
    </w:p>
    <w:p w:rsidR="00B221E7" w:rsidRDefault="00B43768">
      <w:r>
        <w:lastRenderedPageBreak/>
        <w:t>Figure 1: Distribution of 10-year predicted atherosclerotic cardiovascular risk among survey participants with predicted risk &lt; 10% and diabetes, chronic kidney disease, ≥ 65 years of age, or any of the preceding conditions.</w:t>
      </w:r>
    </w:p>
    <w:p w:rsidR="00B221E7" w:rsidRDefault="00B43768">
      <w:r>
        <w:rPr>
          <w:noProof/>
        </w:rPr>
        <w:drawing>
          <wp:inline distT="0" distB="0" distL="0" distR="0">
            <wp:extent cx="54864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76200" cy="95250"/>
                    </a:xfrm>
                    <a:prstGeom prst="rect">
                      <a:avLst/>
                    </a:prstGeom>
                    <a:noFill/>
                  </pic:spPr>
                </pic:pic>
              </a:graphicData>
            </a:graphic>
          </wp:inline>
        </w:drawing>
      </w:r>
    </w:p>
    <w:p w:rsidR="00B221E7" w:rsidRDefault="00B43768">
      <w:r>
        <w:t>Results do not include data from survey participants with prevalent cardiovascular disease or 10-year predicted risk for atherosclerotic cardiovascular disease ≥ 10%.</w:t>
      </w:r>
    </w:p>
    <w:p w:rsidR="00B221E7" w:rsidRDefault="00B43768">
      <w:r>
        <w:lastRenderedPageBreak/>
        <w:br w:type="page"/>
      </w:r>
    </w:p>
    <w:p w:rsidR="00B221E7" w:rsidRDefault="00B43768">
      <w:r>
        <w:lastRenderedPageBreak/>
        <w:t>Figure 2: Probability of ten-year predicted risk for atherosclerotic cardiovascular disease ≥ 10% as a function of age for survey participants overall and among those with diabetes, chronic kidney disease, or both diabetes and chronic kidney disease.</w:t>
      </w:r>
    </w:p>
    <w:p w:rsidR="00B221E7" w:rsidRDefault="00B43768">
      <w:r>
        <w:rPr>
          <w:noProof/>
        </w:rPr>
        <w:drawing>
          <wp:inline distT="0" distB="0" distL="0" distR="0">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
                    <a:srcRect/>
                    <a:stretch>
                      <a:fillRect/>
                    </a:stretch>
                  </pic:blipFill>
                  <pic:spPr bwMode="auto">
                    <a:xfrm>
                      <a:off x="0" y="0"/>
                      <a:ext cx="76200" cy="82550"/>
                    </a:xfrm>
                    <a:prstGeom prst="rect">
                      <a:avLst/>
                    </a:prstGeom>
                    <a:noFill/>
                  </pic:spPr>
                </pic:pic>
              </a:graphicData>
            </a:graphic>
          </wp:inline>
        </w:drawing>
      </w:r>
    </w:p>
    <w:p w:rsidR="00B221E7" w:rsidRDefault="00B43768">
      <w:r>
        <w:t xml:space="preserve">* </w:t>
      </w:r>
      <w:proofErr w:type="gramStart"/>
      <w:r>
        <w:t>these</w:t>
      </w:r>
      <w:proofErr w:type="gramEnd"/>
      <w:r>
        <w:t xml:space="preserve"> values indicate the expected age where probability of having ≥10% predicted risk for atherosclerotic cardiovascular disease is ≥ 50%</w:t>
      </w:r>
    </w:p>
    <w:p w:rsidR="00B221E7" w:rsidRDefault="00B43768">
      <w:r>
        <w:br w:type="page"/>
      </w:r>
    </w:p>
    <w:p w:rsidR="00B221E7" w:rsidRDefault="00B43768">
      <w:pPr>
        <w:pStyle w:val="Header"/>
      </w:pPr>
      <w:r>
        <w:lastRenderedPageBreak/>
        <w:t>SUPPLEMENT</w:t>
      </w:r>
    </w:p>
    <w:p w:rsidR="00B221E7" w:rsidRDefault="00B43768">
      <w:r>
        <w:br w:type="page"/>
      </w:r>
    </w:p>
    <w:p w:rsidR="00B221E7" w:rsidRDefault="00B43768">
      <w:r>
        <w:lastRenderedPageBreak/>
        <w:t>Table S1: Participants included in the current analysis</w:t>
      </w:r>
    </w:p>
    <w:tbl>
      <w:tblPr>
        <w:tblW w:w="9792" w:type="dxa"/>
        <w:jc w:val="center"/>
        <w:tblLayout w:type="fixed"/>
        <w:tblLook w:val="0420" w:firstRow="1" w:lastRow="0" w:firstColumn="0" w:lastColumn="0" w:noHBand="0" w:noVBand="1"/>
      </w:tblPr>
      <w:tblGrid>
        <w:gridCol w:w="6480"/>
        <w:gridCol w:w="1656"/>
        <w:gridCol w:w="1656"/>
      </w:tblGrid>
      <w:tr w:rsidR="00B221E7">
        <w:trPr>
          <w:cantSplit/>
          <w:tblHeader/>
          <w:jc w:val="center"/>
        </w:trPr>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b/>
                <w:color w:val="111111"/>
              </w:rPr>
              <w:t>Criteria</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N included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N excluded</w:t>
            </w:r>
          </w:p>
        </w:tc>
      </w:tr>
      <w:tr w:rsidR="00B221E7">
        <w:trPr>
          <w:cantSplit/>
          <w:jc w:val="center"/>
        </w:trPr>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Participated in 2013-2014, 2015-2016, or 2017-2018 exam</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29,400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 xml:space="preserve">     0</w:t>
            </w:r>
          </w:p>
        </w:tc>
      </w:tr>
      <w:tr w:rsidR="00B221E7">
        <w:trPr>
          <w:cantSplit/>
          <w:jc w:val="center"/>
        </w:trPr>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Aged 40-79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10,308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19,092</w:t>
            </w:r>
          </w:p>
        </w:tc>
      </w:tr>
      <w:tr w:rsidR="00B221E7">
        <w:trPr>
          <w:cantSplit/>
          <w:jc w:val="center"/>
        </w:trPr>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Valid survey weight values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 xml:space="preserve"> 9,937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 xml:space="preserve">   371</w:t>
            </w:r>
          </w:p>
        </w:tc>
      </w:tr>
      <w:tr w:rsidR="00B221E7">
        <w:trPr>
          <w:cantSplit/>
          <w:jc w:val="center"/>
        </w:trPr>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3 or more systolic and diastolic blood pressure measurements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 xml:space="preserve"> 9,372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 xml:space="preserve">   565</w:t>
            </w:r>
          </w:p>
        </w:tc>
      </w:tr>
      <w:tr w:rsidR="00B221E7">
        <w:trPr>
          <w:cantSplit/>
          <w:jc w:val="center"/>
        </w:trPr>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Complete data for variables used in the pooled cohort risk equations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 xml:space="preserve">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 xml:space="preserve">   575</w:t>
            </w:r>
          </w:p>
        </w:tc>
      </w:tr>
    </w:tbl>
    <w:p w:rsidR="00B221E7" w:rsidRDefault="00B43768">
      <w:r>
        <w:br w:type="page"/>
      </w:r>
    </w:p>
    <w:p w:rsidR="00B221E7" w:rsidRDefault="00B43768">
      <w:r>
        <w:lastRenderedPageBreak/>
        <w:t>Table S2: Characteristics of US adults with stage 1 hypertension, overall and with diabetes, chronic kidney disease, ≥ 65 years of age, or any of the three preceding conditions</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B221E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221E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000000"/>
              </w:rPr>
              <w:t>Sub-groups</w:t>
            </w:r>
          </w:p>
        </w:tc>
      </w:tr>
      <w:tr w:rsidR="00B221E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204</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Chronic kidney disease </w:t>
            </w:r>
            <w:r>
              <w:rPr>
                <w:rFonts w:ascii="Calibri" w:eastAsia="Calibri" w:hAnsi="Calibri" w:cs="Calibri"/>
                <w:b/>
                <w:color w:val="111111"/>
              </w:rPr>
              <w:br/>
              <w:t>N = 155</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453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54.0 (0.41)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57.0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69.7 (0.45)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61.5 (0.78)</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51.9</w:t>
            </w:r>
          </w:p>
        </w:tc>
      </w:tr>
      <w:tr w:rsidR="00B221E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Race / ethnicity</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15.1</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6.0</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65.5</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200" w:right="100"/>
            </w:pPr>
            <w:r>
              <w:rPr>
                <w:rFonts w:ascii="Calibri" w:eastAsia="Calibri" w:hAnsi="Calibri" w:cs="Calibri"/>
                <w:color w:val="111111"/>
              </w:rPr>
              <w:t>Other Race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3.1</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198.4 (5.0)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195.8 (2.9)</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54.0 (0.73)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53.2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53.8 (1.0)</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129.6 (0.31)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131.1 (0.66)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131.2 (0.68)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132.5 (0.59)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131.3 (0.43)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78.6 (0.39)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76.7 (0.96)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76.5 (0.81)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75.3 (0.64)</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0.00</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42.4</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31.3</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54.2</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16.4</w:t>
            </w:r>
          </w:p>
        </w:tc>
      </w:tr>
      <w:tr w:rsidR="00B221E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221E7" w:rsidRDefault="00B43768">
            <w:pPr>
              <w:spacing w:before="40" w:after="40"/>
              <w:ind w:left="100" w:right="100"/>
              <w:jc w:val="center"/>
            </w:pPr>
            <w:r>
              <w:rPr>
                <w:rFonts w:ascii="Calibri" w:eastAsia="Calibri" w:hAnsi="Calibri" w:cs="Calibri"/>
                <w:color w:val="111111"/>
              </w:rPr>
              <w:t>11.4</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B221E7">
        <w:trPr>
          <w:cantSplit/>
          <w:jc w:val="center"/>
        </w:trPr>
        <w:tc>
          <w:tcPr>
            <w:tcW w:w="10800" w:type="dxa"/>
            <w:gridSpan w:val="6"/>
            <w:shd w:val="clear" w:color="auto" w:fill="FFFFFF"/>
            <w:tcMar>
              <w:top w:w="0" w:type="dxa"/>
              <w:left w:w="0" w:type="dxa"/>
              <w:bottom w:w="0" w:type="dxa"/>
              <w:right w:w="0" w:type="dxa"/>
            </w:tcMar>
            <w:vAlign w:val="center"/>
          </w:tcPr>
          <w:p w:rsidR="00B221E7" w:rsidRDefault="00B43768">
            <w:pPr>
              <w:spacing w:after="0"/>
            </w:pPr>
            <w:r>
              <w:rPr>
                <w:rFonts w:ascii="Calibri" w:eastAsia="Calibri" w:hAnsi="Calibri" w:cs="Calibri"/>
                <w:color w:val="000000"/>
              </w:rPr>
              <w:t>CVD = cardiovascular disease; HDL = High density lipoprotein</w:t>
            </w:r>
          </w:p>
        </w:tc>
      </w:tr>
    </w:tbl>
    <w:p w:rsidR="00B221E7" w:rsidRDefault="00B43768">
      <w:r>
        <w:br w:type="page"/>
      </w:r>
    </w:p>
    <w:p w:rsidR="00B221E7" w:rsidRDefault="00B43768">
      <w:r>
        <w:lastRenderedPageBreak/>
        <w:t>Figure S1: Distribution of 10-year predicted atherosclerotic cardiovascular risk among survey participants with stage 1 hypertension, predicted risk &lt; 10% and diabetes, chronic kidney disease, ≥ 65 years of age, or any of the preceding conditions.</w:t>
      </w:r>
    </w:p>
    <w:p w:rsidR="00B221E7" w:rsidRDefault="00B43768">
      <w:r>
        <w:rPr>
          <w:noProof/>
        </w:rPr>
        <w:drawing>
          <wp:inline distT="0" distB="0" distL="0" distR="0">
            <wp:extent cx="5486400" cy="685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
                    <a:srcRect/>
                    <a:stretch>
                      <a:fillRect/>
                    </a:stretch>
                  </pic:blipFill>
                  <pic:spPr bwMode="auto">
                    <a:xfrm>
                      <a:off x="0" y="0"/>
                      <a:ext cx="76200" cy="95250"/>
                    </a:xfrm>
                    <a:prstGeom prst="rect">
                      <a:avLst/>
                    </a:prstGeom>
                    <a:noFill/>
                  </pic:spPr>
                </pic:pic>
              </a:graphicData>
            </a:graphic>
          </wp:inline>
        </w:drawing>
      </w:r>
    </w:p>
    <w:p w:rsidR="00B221E7" w:rsidRDefault="00B43768">
      <w:r>
        <w:t>Results do not include data from survey participants with prevalent cardiovascular disease or 10-year predicted risk for atherosclerotic cardiovascular disease ≥ 10%.</w:t>
      </w:r>
    </w:p>
    <w:p w:rsidR="00B221E7" w:rsidRDefault="00B43768">
      <w:r>
        <w:lastRenderedPageBreak/>
        <w:br w:type="page"/>
      </w:r>
    </w:p>
    <w:p w:rsidR="00B221E7" w:rsidRDefault="00B43768">
      <w:r>
        <w:lastRenderedPageBreak/>
        <w:t>Figure S2: Probability of ten-year predicted risk for atherosclerotic cardiovascular disease ≥ 10% as a function of age for participants with stage 1 hypertension overall and among those with diabetes, chronic kidney disease, or both diabetes and chronic kidney disease.</w:t>
      </w:r>
    </w:p>
    <w:p w:rsidR="00B221E7" w:rsidRDefault="00B43768">
      <w:r>
        <w:rPr>
          <w:noProof/>
        </w:rPr>
        <w:drawing>
          <wp:inline distT="0" distB="0" distL="0" distR="0">
            <wp:extent cx="54864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9"/>
                    <a:srcRect/>
                    <a:stretch>
                      <a:fillRect/>
                    </a:stretch>
                  </pic:blipFill>
                  <pic:spPr bwMode="auto">
                    <a:xfrm>
                      <a:off x="0" y="0"/>
                      <a:ext cx="76200" cy="82550"/>
                    </a:xfrm>
                    <a:prstGeom prst="rect">
                      <a:avLst/>
                    </a:prstGeom>
                    <a:noFill/>
                  </pic:spPr>
                </pic:pic>
              </a:graphicData>
            </a:graphic>
          </wp:inline>
        </w:drawing>
      </w:r>
    </w:p>
    <w:p w:rsidR="00B221E7" w:rsidRDefault="00B43768">
      <w:r>
        <w:t xml:space="preserve">* </w:t>
      </w:r>
      <w:proofErr w:type="gramStart"/>
      <w:r>
        <w:t>these</w:t>
      </w:r>
      <w:proofErr w:type="gramEnd"/>
      <w:r>
        <w:t xml:space="preserve"> values indicate the expected age where probability of having ≥10% predicted risk for atherosclerotic cardiovascular disease is ≥ 50%</w:t>
      </w:r>
    </w:p>
    <w:sectPr w:rsidR="00B221E7" w:rsidSect="007B6C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F1C" w:rsidRDefault="00E52F1C" w:rsidP="00263DE1">
      <w:pPr>
        <w:spacing w:after="0" w:line="240" w:lineRule="auto"/>
      </w:pPr>
      <w:r>
        <w:separator/>
      </w:r>
    </w:p>
  </w:endnote>
  <w:endnote w:type="continuationSeparator" w:id="0">
    <w:p w:rsidR="00E52F1C" w:rsidRDefault="00E52F1C"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rsidR="00263DE1" w:rsidRDefault="00263DE1">
        <w:pPr>
          <w:pStyle w:val="Footer"/>
          <w:jc w:val="right"/>
        </w:pPr>
        <w:r>
          <w:fldChar w:fldCharType="begin"/>
        </w:r>
        <w:r>
          <w:instrText xml:space="preserve"> PAGE   \* MERGEFORMAT </w:instrText>
        </w:r>
        <w:r>
          <w:fldChar w:fldCharType="separate"/>
        </w:r>
        <w:r w:rsidR="00A44D5E">
          <w:rPr>
            <w:noProof/>
          </w:rPr>
          <w:t>15</w:t>
        </w:r>
        <w:r>
          <w:rPr>
            <w:noProof/>
          </w:rPr>
          <w:fldChar w:fldCharType="end"/>
        </w:r>
      </w:p>
    </w:sdtContent>
  </w:sdt>
  <w:p w:rsidR="00263DE1" w:rsidRDefault="0026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F1C" w:rsidRDefault="00E52F1C" w:rsidP="00263DE1">
      <w:pPr>
        <w:spacing w:after="0" w:line="240" w:lineRule="auto"/>
      </w:pPr>
      <w:r>
        <w:separator/>
      </w:r>
    </w:p>
  </w:footnote>
  <w:footnote w:type="continuationSeparator" w:id="0">
    <w:p w:rsidR="00E52F1C" w:rsidRDefault="00E52F1C"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13339F"/>
    <w:rsid w:val="00263DE1"/>
    <w:rsid w:val="002A5610"/>
    <w:rsid w:val="002F7257"/>
    <w:rsid w:val="003449EA"/>
    <w:rsid w:val="00431CFB"/>
    <w:rsid w:val="005072A5"/>
    <w:rsid w:val="005272E7"/>
    <w:rsid w:val="005F0DB5"/>
    <w:rsid w:val="006261D4"/>
    <w:rsid w:val="006E05E7"/>
    <w:rsid w:val="006E48DA"/>
    <w:rsid w:val="007533DD"/>
    <w:rsid w:val="0076242E"/>
    <w:rsid w:val="007B6C21"/>
    <w:rsid w:val="009D5C76"/>
    <w:rsid w:val="00A31CD3"/>
    <w:rsid w:val="00A44D5E"/>
    <w:rsid w:val="00AD2254"/>
    <w:rsid w:val="00AD44B5"/>
    <w:rsid w:val="00AE1447"/>
    <w:rsid w:val="00AF0C01"/>
    <w:rsid w:val="00B221E7"/>
    <w:rsid w:val="00B43768"/>
    <w:rsid w:val="00B57612"/>
    <w:rsid w:val="00B57872"/>
    <w:rsid w:val="00B6035B"/>
    <w:rsid w:val="00B624FA"/>
    <w:rsid w:val="00BC1BAA"/>
    <w:rsid w:val="00BE43D9"/>
    <w:rsid w:val="00C10CC8"/>
    <w:rsid w:val="00C75434"/>
    <w:rsid w:val="00CA32BB"/>
    <w:rsid w:val="00D10D3A"/>
    <w:rsid w:val="00D36D1C"/>
    <w:rsid w:val="00E04C51"/>
    <w:rsid w:val="00E52F1C"/>
    <w:rsid w:val="00EA3E3B"/>
    <w:rsid w:val="00F91E3E"/>
    <w:rsid w:val="00FA1A0D"/>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6091"/>
  <w15:chartTrackingRefBased/>
  <w15:docId w15:val="{8B137C7D-B789-418A-B791-AF69A39D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7</cp:revision>
  <dcterms:created xsi:type="dcterms:W3CDTF">2020-06-07T00:25:00Z</dcterms:created>
  <dcterms:modified xsi:type="dcterms:W3CDTF">2020-08-11T12:44:00Z</dcterms:modified>
</cp:coreProperties>
</file>