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48F" w:rsidRPr="008B348F" w:rsidRDefault="008B348F" w:rsidP="008B348F">
      <w:pPr>
        <w:jc w:val="center"/>
        <w:rPr>
          <w:b/>
        </w:rPr>
      </w:pPr>
      <w:r w:rsidRPr="008B348F">
        <w:rPr>
          <w:b/>
        </w:rPr>
        <w:t xml:space="preserve">Predicted cardiovascular risk and blood pressure for Americans with diabetes, chronic kidney disease, and </w:t>
      </w:r>
      <w:r w:rsidRPr="008B348F">
        <w:rPr>
          <w:rFonts w:cstheme="minorHAnsi"/>
          <w:b/>
        </w:rPr>
        <w:t>≥</w:t>
      </w:r>
      <w:r w:rsidRPr="008B348F">
        <w:rPr>
          <w:b/>
        </w:rPr>
        <w:t>65 years of age</w:t>
      </w:r>
    </w:p>
    <w:p w:rsidR="008B348F" w:rsidRPr="008B348F" w:rsidRDefault="008B348F" w:rsidP="008B348F">
      <w:pPr>
        <w:jc w:val="center"/>
        <w:rPr>
          <w:b/>
        </w:rPr>
      </w:pPr>
    </w:p>
    <w:p w:rsidR="008B348F" w:rsidRPr="008B348F" w:rsidRDefault="008B348F" w:rsidP="008B348F">
      <w:pPr>
        <w:jc w:val="center"/>
        <w:rPr>
          <w:b/>
        </w:rPr>
      </w:pPr>
      <w:r w:rsidRPr="008B348F">
        <w:rPr>
          <w:b/>
        </w:rPr>
        <w:t xml:space="preserve">Byron C. Jaeger, Shakia T. Hardy, Paul Muntner, Paul Whelton </w:t>
      </w:r>
    </w:p>
    <w:p w:rsidR="008B348F" w:rsidRPr="008B348F" w:rsidRDefault="008B348F" w:rsidP="008B348F">
      <w:pPr>
        <w:rPr>
          <w:b/>
        </w:rPr>
      </w:pPr>
      <w:r w:rsidRPr="008B348F">
        <w:rPr>
          <w:b/>
        </w:rPr>
        <w:br w:type="page"/>
      </w:r>
    </w:p>
    <w:p w:rsidR="008B348F" w:rsidRPr="008B348F" w:rsidRDefault="008B348F" w:rsidP="008B348F">
      <w:pPr>
        <w:rPr>
          <w:b/>
        </w:rPr>
      </w:pPr>
    </w:p>
    <w:p w:rsidR="00AD26CC" w:rsidRPr="008B348F" w:rsidRDefault="00AD26CC" w:rsidP="00AD26CC">
      <w:pPr>
        <w:rPr>
          <w:b/>
        </w:rPr>
      </w:pPr>
      <w:r w:rsidRPr="008B348F">
        <w:rPr>
          <w:b/>
        </w:rPr>
        <w:t xml:space="preserve">Main idea: </w:t>
      </w:r>
    </w:p>
    <w:p w:rsidR="00AD26CC" w:rsidRPr="007C4DC1" w:rsidRDefault="00AD26CC" w:rsidP="00AD26CC">
      <w:bookmarkStart w:id="0" w:name="_GoBack"/>
      <w:bookmarkEnd w:id="0"/>
      <w:r w:rsidRPr="007C4DC1">
        <w:t>The 2017 ACC/AHA BP guideline states that the absolute CVD risk reduction with antihypertensive medication is greater for adults with higher CVD risk (see Section 8.1.1, first paragraph). The guideline also states that the vast majority of adults with diabetes, chronic kidney disease, or ≥65 years of age have a 10-year CVD risk ≥10%, placing them in the high risk category and are recommended the initiation of antihypertensive drug therapy with SBP ≥ 130 mm Hg or DBP* ≥ 80 mm Hg (see Section 9.3, 9.6, and 10.3.1 of ACC/AHA guidelines: treatment recommendations paragraph). However, data from NHANES show that a substantial proportion of US adults with stage 1 hypertension and diabetes or chronic kidney disease do not have a high 10-year predicted risk for CVD. While adults with diabetes and chronic kidney disease have higher risk on average compared to those without diabetes or chronic kidney disease, nationally representative survey data do not indicate that the vast majority of adults with these conditions have a 10-year CVD risk ≥10%. Therefore, when considering whether to initiate or intensify treatment to lower BP</w:t>
      </w:r>
      <w:r w:rsidR="00014F62">
        <w:t xml:space="preserve"> for an adult patient with stage 1 hypertension</w:t>
      </w:r>
      <w:r>
        <w:t>, physicians who aim to</w:t>
      </w:r>
      <w:r w:rsidRPr="007C4DC1">
        <w:t xml:space="preserve"> direct these treatments to </w:t>
      </w:r>
      <w:r w:rsidR="00014F62">
        <w:t xml:space="preserve">those </w:t>
      </w:r>
      <w:r w:rsidRPr="007C4DC1">
        <w:t xml:space="preserve">at higher risk for CVD should calculate CVD risk </w:t>
      </w:r>
      <w:r>
        <w:t xml:space="preserve">for </w:t>
      </w:r>
      <w:r w:rsidR="00014F62">
        <w:t>patients</w:t>
      </w:r>
      <w:r>
        <w:t xml:space="preserve"> with diabetes or chronic kidney disease </w:t>
      </w:r>
      <w:r w:rsidRPr="007C4DC1">
        <w:t xml:space="preserve">rather than assuming it is high, particularly </w:t>
      </w:r>
      <w:r w:rsidR="00014F62">
        <w:t>for adults</w:t>
      </w:r>
      <w:r w:rsidRPr="007C4DC1">
        <w:t xml:space="preserve"> aged 40 to 55 years.   </w:t>
      </w:r>
    </w:p>
    <w:p w:rsidR="00AD26CC" w:rsidRPr="007C4DC1" w:rsidRDefault="00AD26CC" w:rsidP="00AD26CC">
      <w:r w:rsidRPr="007C4DC1">
        <w:t>* For adults aged ≥65 years DBP is not used.</w:t>
      </w:r>
    </w:p>
    <w:p w:rsidR="007E0AA3" w:rsidRDefault="008A77D1">
      <w:r>
        <w:br w:type="page"/>
      </w:r>
    </w:p>
    <w:p w:rsidR="007E0AA3" w:rsidRDefault="008A77D1">
      <w:r>
        <w:lastRenderedPageBreak/>
        <w:t>Table 1: Characteristics of US adults overa</w:t>
      </w:r>
      <w:r>
        <w:t>ll and with diabetes, chronic kidney disease, and ≥ 65 years of age.</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7E0AA3">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7E0AA3">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000000"/>
              </w:rPr>
              <w:t>Sub-groups</w:t>
            </w:r>
          </w:p>
        </w:tc>
      </w:tr>
      <w:tr w:rsidR="007E0AA3">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Chronic kidney disease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Any preceding condition </w:t>
            </w:r>
            <w:r>
              <w:rPr>
                <w:rFonts w:ascii="Calibri" w:eastAsia="Calibri" w:hAnsi="Calibri" w:cs="Calibri"/>
                <w:b/>
                <w:color w:val="111111"/>
              </w:rPr>
              <w:br/>
              <w:t>N = 4,183</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56.7 (0.2)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60.3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61.8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70.6 (0.1)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64.2 (0.3)</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48.2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48.0</w:t>
            </w:r>
          </w:p>
        </w:tc>
      </w:tr>
      <w:tr w:rsidR="007E0AA3">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Race / ethnicity</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200" w:right="100"/>
            </w:pPr>
            <w:r>
              <w:rPr>
                <w:rFonts w:ascii="Calibri" w:eastAsia="Calibri" w:hAnsi="Calibri" w:cs="Calibri"/>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63.4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68.8</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200" w:right="100"/>
            </w:pPr>
            <w:r>
              <w:rPr>
                <w:rFonts w:ascii="Calibri" w:eastAsia="Calibri" w:hAnsi="Calibri" w:cs="Calibri"/>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10.9</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200" w:right="100"/>
            </w:pPr>
            <w:r>
              <w:rPr>
                <w:rFonts w:ascii="Calibri" w:eastAsia="Calibri" w:hAnsi="Calibri" w:cs="Calibri"/>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11.7</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200" w:right="100"/>
            </w:pPr>
            <w:r>
              <w:rPr>
                <w:rFonts w:ascii="Calibri" w:eastAsia="Calibri" w:hAnsi="Calibri" w:cs="Calibri"/>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5.2</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200" w:right="100"/>
            </w:pPr>
            <w:r>
              <w:rPr>
                <w:rFonts w:ascii="Calibri" w:eastAsia="Calibri" w:hAnsi="Calibri" w:cs="Calibri"/>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3.3</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197.0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183.2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194.6 (1.8)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188.9 (1.3)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191.1 (1.2)</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54.9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46.6 (0.5)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53.0 (0.9)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56.6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53.7 (0.5)</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126.0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130.5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134.2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131.8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131.0 (0.5)</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72.8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71.6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72.4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68.3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70.9 (0.3)</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52.1</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17.2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38.3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24.7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41.9</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14.1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25.3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34.3</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25.4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61.9</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14.4</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Prevalent CVD</w:t>
            </w:r>
            <w:r>
              <w:rPr>
                <w:rFonts w:ascii="Calibri" w:eastAsia="Calibri" w:hAnsi="Calibri" w:cs="Calibri"/>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19.3</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error) or proportion.</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 xml:space="preserve">Chronic kidney disease is defined by an albumin-to-creatinine ratio ≥ 30 mg/dl </w:t>
            </w:r>
            <w:r>
              <w:rPr>
                <w:rFonts w:ascii="Calibri" w:eastAsia="Calibri" w:hAnsi="Calibri" w:cs="Calibri"/>
                <w:color w:val="000000"/>
              </w:rPr>
              <w:t>or an estimated glomerular filtration rate &lt;60 ml/min/1.73m²</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stroke, or myocardial infarction</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rPr>
              <w:t>CVD = cardiovascular disease; HDL = High density</w:t>
            </w:r>
            <w:r>
              <w:rPr>
                <w:rFonts w:ascii="Calibri" w:eastAsia="Calibri" w:hAnsi="Calibri" w:cs="Calibri"/>
                <w:color w:val="000000"/>
              </w:rPr>
              <w:t xml:space="preserve"> lipoprotein</w:t>
            </w:r>
          </w:p>
        </w:tc>
      </w:tr>
    </w:tbl>
    <w:p w:rsidR="007E0AA3" w:rsidRDefault="008A77D1">
      <w:r>
        <w:br w:type="page"/>
      </w:r>
    </w:p>
    <w:p w:rsidR="007E0AA3" w:rsidRDefault="008A77D1">
      <w:r>
        <w:lastRenderedPageBreak/>
        <w:t>Table 2: Estimated distribution of blood pressure categories among US adults, overall and for subgroups with diabetes, chronic kidney disease, and ≥ 65 years of age.</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7E0AA3">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7E0AA3">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000000"/>
              </w:rPr>
              <w:t>Sub-groups</w:t>
            </w:r>
          </w:p>
        </w:tc>
      </w:tr>
      <w:tr w:rsidR="007E0AA3">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b/>
                <w:color w:val="111111"/>
              </w:rPr>
              <w:t>Blood pressure category</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r>
            <w:r>
              <w:rPr>
                <w:rFonts w:ascii="Calibri" w:eastAsia="Calibri" w:hAnsi="Calibri" w:cs="Calibri"/>
                <w:b/>
                <w:color w:val="111111"/>
              </w:rP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Chronic kidney disease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Any preceding condition </w:t>
            </w:r>
            <w:r>
              <w:rPr>
                <w:rFonts w:ascii="Calibri" w:eastAsia="Calibri" w:hAnsi="Calibri" w:cs="Calibri"/>
                <w:b/>
                <w:color w:val="111111"/>
              </w:rPr>
              <w:br/>
              <w:t>N = 4,183</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12.1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15.5</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12.0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10.4</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10.4</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11.1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9.5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11.7</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55.9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52.1</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Normal blood pressure: systolic/diastolic blood pressure &lt; 120/80 mm Hg;</w:t>
            </w:r>
            <w:r>
              <w:rPr>
                <w:rFonts w:ascii="Calibri" w:eastAsia="Calibri" w:hAnsi="Calibri" w:cs="Calibri"/>
                <w:color w:val="000000"/>
              </w:rPr>
              <w:br/>
            </w:r>
            <w:r>
              <w:rPr>
                <w:rFonts w:ascii="Calibri" w:eastAsia="Calibri" w:hAnsi="Calibri" w:cs="Calibri"/>
                <w:color w:val="000000"/>
              </w:rPr>
              <w:t>Elevated blood pressure: systolic/diastolic blood pressure 120-129/&lt;80 mm Hg;</w:t>
            </w:r>
            <w:r>
              <w:rPr>
                <w:rFonts w:ascii="Calibri" w:eastAsia="Calibri" w:hAnsi="Calibri" w:cs="Calibri"/>
                <w:color w:val="000000"/>
              </w:rPr>
              <w:br/>
              <w:t>Stage 1 hypertension: systolic/diastolic blood pressure 130-139/80-89 mm Hg;</w:t>
            </w:r>
            <w:r>
              <w:rPr>
                <w:rFonts w:ascii="Calibri" w:eastAsia="Calibri" w:hAnsi="Calibri" w:cs="Calibri"/>
                <w:color w:val="000000"/>
              </w:rPr>
              <w:br/>
              <w:t>Stage 2 hypertension: systolic/diastolic blood pressure ≥ 140/90 mm Hg.</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w:t>
            </w:r>
            <w:r>
              <w:rPr>
                <w:rFonts w:ascii="Calibri" w:eastAsia="Calibri" w:hAnsi="Calibri" w:cs="Calibri"/>
                <w:color w:val="000000"/>
              </w:rPr>
              <w:t>ting serum glucose ≥ 126 mg/dL, non-fasting glucose ≥ 200 mg/dL, HbA1c ≥ 6.5%, or self-reported use of insulin or oral glucose lowering medication.</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 xml:space="preserve">Chronic kidney disease is defined by an albumin-to-creatinine ratio ≥ 30 mg/dl or an estimated glomerular </w:t>
            </w:r>
            <w:r>
              <w:rPr>
                <w:rFonts w:ascii="Calibri" w:eastAsia="Calibri" w:hAnsi="Calibri" w:cs="Calibri"/>
                <w:color w:val="000000"/>
              </w:rPr>
              <w:t>filtration rate &lt;60 ml/min/1.73m²</w:t>
            </w:r>
          </w:p>
        </w:tc>
      </w:tr>
    </w:tbl>
    <w:p w:rsidR="007E0AA3" w:rsidRDefault="008A77D1">
      <w:r>
        <w:br w:type="page"/>
      </w:r>
    </w:p>
    <w:p w:rsidR="007E0AA3" w:rsidRDefault="008A77D1">
      <w:r>
        <w:lastRenderedPageBreak/>
        <w:t>Table 3: Median predicted risk for cardiovascular disease and proportion of US adults with predicted risk ≥ 10% overall and among those with diabetes, chronic kidney disease, and ≥ 65 years of age, stratified by categor</w:t>
      </w:r>
      <w:r>
        <w:t>ization of blood pressure according to the 2017 American College of Cardiology / American Heart Association blood pressure guidelines.</w:t>
      </w:r>
    </w:p>
    <w:tbl>
      <w:tblPr>
        <w:tblW w:w="11160" w:type="dxa"/>
        <w:jc w:val="center"/>
        <w:tblLayout w:type="fixed"/>
        <w:tblLook w:val="0420" w:firstRow="1" w:lastRow="0" w:firstColumn="0" w:lastColumn="0" w:noHBand="0" w:noVBand="1"/>
      </w:tblPr>
      <w:tblGrid>
        <w:gridCol w:w="2880"/>
        <w:gridCol w:w="1656"/>
        <w:gridCol w:w="1656"/>
        <w:gridCol w:w="1656"/>
        <w:gridCol w:w="1656"/>
        <w:gridCol w:w="1656"/>
      </w:tblGrid>
      <w:tr w:rsidR="007E0AA3">
        <w:trPr>
          <w:cantSplit/>
          <w:tblHeader/>
          <w:jc w:val="center"/>
        </w:trPr>
        <w:tc>
          <w:tcPr>
            <w:tcW w:w="453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7E0AA3">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000000"/>
              </w:rPr>
              <w:t>Sub-groups</w:t>
            </w:r>
          </w:p>
        </w:tc>
      </w:tr>
      <w:tr w:rsidR="007E0AA3">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b/>
                <w:color w:val="111111"/>
              </w:rPr>
              <w:t>Blood pressure category</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8,797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1,998</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Chronic kidney disease </w:t>
            </w:r>
            <w:r>
              <w:rPr>
                <w:rFonts w:ascii="Calibri" w:eastAsia="Calibri" w:hAnsi="Calibri" w:cs="Calibri"/>
                <w:b/>
                <w:color w:val="111111"/>
              </w:rPr>
              <w:br/>
              <w:t>N = 1,566</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2,501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Any preceding condition </w:t>
            </w:r>
            <w:r>
              <w:rPr>
                <w:rFonts w:ascii="Calibri" w:eastAsia="Calibri" w:hAnsi="Calibri" w:cs="Calibri"/>
                <w:b/>
                <w:color w:val="111111"/>
              </w:rPr>
              <w:br/>
              <w:t>N = 4,183</w:t>
            </w:r>
          </w:p>
        </w:tc>
      </w:tr>
      <w:tr w:rsidR="007E0AA3">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i/>
                <w:color w:val="111111"/>
              </w:rPr>
              <w:t>Median (25th - 75th percentile) predicted risk</w:t>
            </w:r>
            <w:r>
              <w:rPr>
                <w:rFonts w:ascii="Calibri" w:eastAsia="Calibri" w:hAnsi="Calibri" w:cs="Calibri"/>
                <w:i/>
                <w:color w:val="111111"/>
                <w:vertAlign w:val="superscript"/>
              </w:rPr>
              <w:t>§‖</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5.1</w:t>
            </w:r>
            <w:r>
              <w:rPr>
                <w:rFonts w:ascii="Calibri" w:eastAsia="Calibri" w:hAnsi="Calibri" w:cs="Calibri"/>
                <w:color w:val="111111"/>
              </w:rPr>
              <w:br/>
              <w:t>(1.9, 11.4)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14.4</w:t>
            </w:r>
            <w:r>
              <w:rPr>
                <w:rFonts w:ascii="Calibri" w:eastAsia="Calibri" w:hAnsi="Calibri" w:cs="Calibri"/>
                <w:color w:val="111111"/>
              </w:rPr>
              <w:br/>
              <w:t>(7.0, 27.3)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12.1</w:t>
            </w:r>
            <w:r>
              <w:rPr>
                <w:rFonts w:ascii="Calibri" w:eastAsia="Calibri" w:hAnsi="Calibri" w:cs="Calibri"/>
                <w:color w:val="111111"/>
              </w:rPr>
              <w:br/>
              <w:t>(4.8, 22.8)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17.9</w:t>
            </w:r>
            <w:r>
              <w:rPr>
                <w:rFonts w:ascii="Calibri" w:eastAsia="Calibri" w:hAnsi="Calibri" w:cs="Calibri"/>
                <w:color w:val="111111"/>
              </w:rPr>
              <w:br/>
              <w:t>(11.2, 27.3)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13.6</w:t>
            </w:r>
            <w:r>
              <w:rPr>
                <w:rFonts w:ascii="Calibri" w:eastAsia="Calibri" w:hAnsi="Calibri" w:cs="Calibri"/>
                <w:color w:val="111111"/>
              </w:rPr>
              <w:br/>
              <w:t>(7.0, 22.3)</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2.0</w:t>
            </w:r>
            <w:r>
              <w:rPr>
                <w:rFonts w:ascii="Calibri" w:eastAsia="Calibri" w:hAnsi="Calibri" w:cs="Calibri"/>
                <w:color w:val="111111"/>
              </w:rPr>
              <w:br/>
              <w:t>(0.8, 4.8)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6.8</w:t>
            </w:r>
            <w:r>
              <w:rPr>
                <w:rFonts w:ascii="Calibri" w:eastAsia="Calibri" w:hAnsi="Calibri" w:cs="Calibri"/>
                <w:color w:val="111111"/>
              </w:rPr>
              <w:br/>
            </w:r>
            <w:r>
              <w:rPr>
                <w:rFonts w:ascii="Calibri" w:eastAsia="Calibri" w:hAnsi="Calibri" w:cs="Calibri"/>
                <w:color w:val="111111"/>
              </w:rPr>
              <w:t>(2.9, 15.8)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3.0</w:t>
            </w:r>
            <w:r>
              <w:rPr>
                <w:rFonts w:ascii="Calibri" w:eastAsia="Calibri" w:hAnsi="Calibri" w:cs="Calibri"/>
                <w:color w:val="111111"/>
              </w:rPr>
              <w:br/>
              <w:t>(1.0, 8.1)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10.6</w:t>
            </w:r>
            <w:r>
              <w:rPr>
                <w:rFonts w:ascii="Calibri" w:eastAsia="Calibri" w:hAnsi="Calibri" w:cs="Calibri"/>
                <w:color w:val="111111"/>
              </w:rPr>
              <w:br/>
              <w:t>(6.7, 16.0)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7.0</w:t>
            </w:r>
            <w:r>
              <w:rPr>
                <w:rFonts w:ascii="Calibri" w:eastAsia="Calibri" w:hAnsi="Calibri" w:cs="Calibri"/>
                <w:color w:val="111111"/>
              </w:rPr>
              <w:br/>
              <w:t>(3.3, 12.9)</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4.3</w:t>
            </w:r>
            <w:r>
              <w:rPr>
                <w:rFonts w:ascii="Calibri" w:eastAsia="Calibri" w:hAnsi="Calibri" w:cs="Calibri"/>
                <w:color w:val="111111"/>
              </w:rPr>
              <w:br/>
              <w:t>(1.9, 9.3)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11.4</w:t>
            </w:r>
            <w:r>
              <w:rPr>
                <w:rFonts w:ascii="Calibri" w:eastAsia="Calibri" w:hAnsi="Calibri" w:cs="Calibri"/>
                <w:color w:val="111111"/>
              </w:rPr>
              <w:br/>
              <w:t>(4.2, 17.3)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6.2</w:t>
            </w:r>
            <w:r>
              <w:rPr>
                <w:rFonts w:ascii="Calibri" w:eastAsia="Calibri" w:hAnsi="Calibri" w:cs="Calibri"/>
                <w:color w:val="111111"/>
              </w:rPr>
              <w:br/>
              <w:t>(1.5, 13.8)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14.6</w:t>
            </w:r>
            <w:r>
              <w:rPr>
                <w:rFonts w:ascii="Calibri" w:eastAsia="Calibri" w:hAnsi="Calibri" w:cs="Calibri"/>
                <w:color w:val="111111"/>
              </w:rPr>
              <w:br/>
              <w:t>(7.5, 19.9)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11.8</w:t>
            </w:r>
            <w:r>
              <w:rPr>
                <w:rFonts w:ascii="Calibri" w:eastAsia="Calibri" w:hAnsi="Calibri" w:cs="Calibri"/>
                <w:color w:val="111111"/>
              </w:rPr>
              <w:br/>
              <w:t>(5.8, 17.4)</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4.2</w:t>
            </w:r>
            <w:r>
              <w:rPr>
                <w:rFonts w:ascii="Calibri" w:eastAsia="Calibri" w:hAnsi="Calibri" w:cs="Calibri"/>
                <w:color w:val="111111"/>
              </w:rPr>
              <w:br/>
              <w:t>(1.9, 8.5)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8.9</w:t>
            </w:r>
            <w:r>
              <w:rPr>
                <w:rFonts w:ascii="Calibri" w:eastAsia="Calibri" w:hAnsi="Calibri" w:cs="Calibri"/>
                <w:color w:val="111111"/>
              </w:rPr>
              <w:br/>
              <w:t>(4.5, 19.3)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6.8</w:t>
            </w:r>
            <w:r>
              <w:rPr>
                <w:rFonts w:ascii="Calibri" w:eastAsia="Calibri" w:hAnsi="Calibri" w:cs="Calibri"/>
                <w:color w:val="111111"/>
              </w:rPr>
              <w:br/>
              <w:t>(2.6, 12.3)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13.8</w:t>
            </w:r>
            <w:r>
              <w:rPr>
                <w:rFonts w:ascii="Calibri" w:eastAsia="Calibri" w:hAnsi="Calibri" w:cs="Calibri"/>
                <w:color w:val="111111"/>
              </w:rPr>
              <w:br/>
              <w:t>(8.6, 22.3)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9.8</w:t>
            </w:r>
            <w:r>
              <w:rPr>
                <w:rFonts w:ascii="Calibri" w:eastAsia="Calibri" w:hAnsi="Calibri" w:cs="Calibri"/>
                <w:color w:val="111111"/>
              </w:rPr>
              <w:br/>
              <w:t>(5.3, 16.6)</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8.1</w:t>
            </w:r>
            <w:r>
              <w:rPr>
                <w:rFonts w:ascii="Calibri" w:eastAsia="Calibri" w:hAnsi="Calibri" w:cs="Calibri"/>
                <w:color w:val="111111"/>
              </w:rPr>
              <w:br/>
              <w:t>(4.2, 16.0)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18.8</w:t>
            </w:r>
            <w:r>
              <w:rPr>
                <w:rFonts w:ascii="Calibri" w:eastAsia="Calibri" w:hAnsi="Calibri" w:cs="Calibri"/>
                <w:color w:val="111111"/>
              </w:rPr>
              <w:br/>
              <w:t>(10.1, 30.2)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13.9</w:t>
            </w:r>
            <w:r>
              <w:rPr>
                <w:rFonts w:ascii="Calibri" w:eastAsia="Calibri" w:hAnsi="Calibri" w:cs="Calibri"/>
                <w:color w:val="111111"/>
              </w:rPr>
              <w:br/>
              <w:t>(5.7, 21.3)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20.4</w:t>
            </w:r>
            <w:r>
              <w:rPr>
                <w:rFonts w:ascii="Calibri" w:eastAsia="Calibri" w:hAnsi="Calibri" w:cs="Calibri"/>
                <w:color w:val="111111"/>
              </w:rPr>
              <w:br/>
              <w:t>(16.0, 29.6)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17.3</w:t>
            </w:r>
            <w:r>
              <w:rPr>
                <w:rFonts w:ascii="Calibri" w:eastAsia="Calibri" w:hAnsi="Calibri" w:cs="Calibri"/>
                <w:color w:val="111111"/>
              </w:rPr>
              <w:br/>
              <w:t>(9.2, 25.4)</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10.5</w:t>
            </w:r>
            <w:r>
              <w:rPr>
                <w:rFonts w:ascii="Calibri" w:eastAsia="Calibri" w:hAnsi="Calibri" w:cs="Calibri"/>
                <w:color w:val="111111"/>
              </w:rPr>
              <w:br/>
              <w:t>(5.2, 19.8)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17.2</w:t>
            </w:r>
            <w:r>
              <w:rPr>
                <w:rFonts w:ascii="Calibri" w:eastAsia="Calibri" w:hAnsi="Calibri" w:cs="Calibri"/>
                <w:color w:val="111111"/>
              </w:rPr>
              <w:br/>
              <w:t>(9.8, 31.6)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17.0</w:t>
            </w:r>
            <w:r>
              <w:rPr>
                <w:rFonts w:ascii="Calibri" w:eastAsia="Calibri" w:hAnsi="Calibri" w:cs="Calibri"/>
                <w:color w:val="111111"/>
              </w:rPr>
              <w:br/>
              <w:t>(9.0, 29.0)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21.2</w:t>
            </w:r>
            <w:r>
              <w:rPr>
                <w:rFonts w:ascii="Calibri" w:eastAsia="Calibri" w:hAnsi="Calibri" w:cs="Calibri"/>
                <w:color w:val="111111"/>
              </w:rPr>
              <w:br/>
              <w:t>(14.0, 31.6)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17.2</w:t>
            </w:r>
            <w:r>
              <w:rPr>
                <w:rFonts w:ascii="Calibri" w:eastAsia="Calibri" w:hAnsi="Calibri" w:cs="Calibri"/>
                <w:color w:val="111111"/>
              </w:rPr>
              <w:br/>
              <w:t>(10.1, 27.3)</w:t>
            </w:r>
          </w:p>
        </w:tc>
      </w:tr>
      <w:tr w:rsidR="007E0AA3">
        <w:trPr>
          <w:cantSplit/>
          <w:jc w:val="center"/>
        </w:trPr>
        <w:tc>
          <w:tcPr>
            <w:tcW w:w="11160" w:type="dxa"/>
            <w:gridSpan w:val="6"/>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i/>
                <w:color w:val="111111"/>
              </w:rPr>
              <w:t>Proportion (95% confidence interval) with predicted risk ≥ 10% or prevalent cardiovascular disease</w:t>
            </w:r>
            <w:r>
              <w:rPr>
                <w:rFonts w:ascii="Calibri" w:eastAsia="Calibri" w:hAnsi="Calibri" w:cs="Calibri"/>
                <w:i/>
                <w:color w:val="111111"/>
                <w:vertAlign w:val="superscript"/>
              </w:rPr>
              <w:t>¶</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Overall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36.6</w:t>
            </w:r>
            <w:r>
              <w:rPr>
                <w:rFonts w:ascii="Calibri" w:eastAsia="Calibri" w:hAnsi="Calibri" w:cs="Calibri"/>
                <w:color w:val="111111"/>
              </w:rPr>
              <w:br/>
              <w:t>(34.7, 38.6)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72.5</w:t>
            </w:r>
            <w:r>
              <w:rPr>
                <w:rFonts w:ascii="Calibri" w:eastAsia="Calibri" w:hAnsi="Calibri" w:cs="Calibri"/>
                <w:color w:val="111111"/>
              </w:rPr>
              <w:br/>
              <w:t>(69.3, 75.6)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65.4</w:t>
            </w:r>
            <w:r>
              <w:rPr>
                <w:rFonts w:ascii="Calibri" w:eastAsia="Calibri" w:hAnsi="Calibri" w:cs="Calibri"/>
                <w:color w:val="111111"/>
              </w:rPr>
              <w:br/>
              <w:t>(61.7, 69.0)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83.8</w:t>
            </w:r>
            <w:r>
              <w:rPr>
                <w:rFonts w:ascii="Calibri" w:eastAsia="Calibri" w:hAnsi="Calibri" w:cs="Calibri"/>
                <w:color w:val="111111"/>
              </w:rPr>
              <w:br/>
              <w:t>(81.6, 86.0)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70.3</w:t>
            </w:r>
            <w:r>
              <w:rPr>
                <w:rFonts w:ascii="Calibri" w:eastAsia="Calibri" w:hAnsi="Calibri" w:cs="Calibri"/>
                <w:color w:val="111111"/>
              </w:rPr>
              <w:br/>
              <w:t>(68.0, 72.7)</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Normal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13.7</w:t>
            </w:r>
            <w:r>
              <w:rPr>
                <w:rFonts w:ascii="Calibri" w:eastAsia="Calibri" w:hAnsi="Calibri" w:cs="Calibri"/>
                <w:color w:val="111111"/>
              </w:rPr>
              <w:br/>
              <w:t>(11.4, 16.0)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46.8</w:t>
            </w:r>
            <w:r>
              <w:rPr>
                <w:rFonts w:ascii="Calibri" w:eastAsia="Calibri" w:hAnsi="Calibri" w:cs="Calibri"/>
                <w:color w:val="111111"/>
              </w:rPr>
              <w:br/>
            </w:r>
            <w:r>
              <w:rPr>
                <w:rFonts w:ascii="Calibri" w:eastAsia="Calibri" w:hAnsi="Calibri" w:cs="Calibri"/>
                <w:color w:val="111111"/>
              </w:rPr>
              <w:t>(39.0, 54.6)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32.3</w:t>
            </w:r>
            <w:r>
              <w:rPr>
                <w:rFonts w:ascii="Calibri" w:eastAsia="Calibri" w:hAnsi="Calibri" w:cs="Calibri"/>
                <w:color w:val="111111"/>
              </w:rPr>
              <w:br/>
              <w:t>(21.6, 43.0)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64.4</w:t>
            </w:r>
            <w:r>
              <w:rPr>
                <w:rFonts w:ascii="Calibri" w:eastAsia="Calibri" w:hAnsi="Calibri" w:cs="Calibri"/>
                <w:color w:val="111111"/>
              </w:rPr>
              <w:br/>
              <w:t>(57.7, 71.2)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46.3</w:t>
            </w:r>
            <w:r>
              <w:rPr>
                <w:rFonts w:ascii="Calibri" w:eastAsia="Calibri" w:hAnsi="Calibri" w:cs="Calibri"/>
                <w:color w:val="111111"/>
              </w:rPr>
              <w:br/>
              <w:t>(40.5, 52.1)</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Elevated blood pressure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27.4</w:t>
            </w:r>
            <w:r>
              <w:rPr>
                <w:rFonts w:ascii="Calibri" w:eastAsia="Calibri" w:hAnsi="Calibri" w:cs="Calibri"/>
                <w:color w:val="111111"/>
              </w:rPr>
              <w:br/>
              <w:t>(23.3, 31.5)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57.7</w:t>
            </w:r>
            <w:r>
              <w:rPr>
                <w:rFonts w:ascii="Calibri" w:eastAsia="Calibri" w:hAnsi="Calibri" w:cs="Calibri"/>
                <w:color w:val="111111"/>
              </w:rPr>
              <w:br/>
              <w:t>(49.6, 65.8)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47.9</w:t>
            </w:r>
            <w:r>
              <w:rPr>
                <w:rFonts w:ascii="Calibri" w:eastAsia="Calibri" w:hAnsi="Calibri" w:cs="Calibri"/>
                <w:color w:val="111111"/>
              </w:rPr>
              <w:br/>
              <w:t>(36.9, 59.0)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69.8</w:t>
            </w:r>
            <w:r>
              <w:rPr>
                <w:rFonts w:ascii="Calibri" w:eastAsia="Calibri" w:hAnsi="Calibri" w:cs="Calibri"/>
                <w:color w:val="111111"/>
              </w:rPr>
              <w:br/>
              <w:t>(59.6, 79.9)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57.9</w:t>
            </w:r>
            <w:r>
              <w:rPr>
                <w:rFonts w:ascii="Calibri" w:eastAsia="Calibri" w:hAnsi="Calibri" w:cs="Calibri"/>
                <w:color w:val="111111"/>
              </w:rPr>
              <w:br/>
              <w:t>(50.5, 65.3)</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Stage 1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24.3</w:t>
            </w:r>
            <w:r>
              <w:rPr>
                <w:rFonts w:ascii="Calibri" w:eastAsia="Calibri" w:hAnsi="Calibri" w:cs="Calibri"/>
                <w:color w:val="111111"/>
              </w:rPr>
              <w:br/>
              <w:t>(20.7, 27.9)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55.0</w:t>
            </w:r>
            <w:r>
              <w:rPr>
                <w:rFonts w:ascii="Calibri" w:eastAsia="Calibri" w:hAnsi="Calibri" w:cs="Calibri"/>
                <w:color w:val="111111"/>
              </w:rPr>
              <w:br/>
              <w:t>(43.7, 66.4)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38.5</w:t>
            </w:r>
            <w:r>
              <w:rPr>
                <w:rFonts w:ascii="Calibri" w:eastAsia="Calibri" w:hAnsi="Calibri" w:cs="Calibri"/>
                <w:color w:val="111111"/>
              </w:rPr>
              <w:br/>
            </w:r>
            <w:r>
              <w:rPr>
                <w:rFonts w:ascii="Calibri" w:eastAsia="Calibri" w:hAnsi="Calibri" w:cs="Calibri"/>
                <w:color w:val="111111"/>
              </w:rPr>
              <w:t>(27.4, 49.6)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72.6</w:t>
            </w:r>
            <w:r>
              <w:rPr>
                <w:rFonts w:ascii="Calibri" w:eastAsia="Calibri" w:hAnsi="Calibri" w:cs="Calibri"/>
                <w:color w:val="111111"/>
              </w:rPr>
              <w:br/>
              <w:t>(63.2, 81.9)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55.2</w:t>
            </w:r>
            <w:r>
              <w:rPr>
                <w:rFonts w:ascii="Calibri" w:eastAsia="Calibri" w:hAnsi="Calibri" w:cs="Calibri"/>
                <w:color w:val="111111"/>
              </w:rPr>
              <w:br/>
              <w:t>(47.0, 63.3)</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Stage 2 hypertension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45.7</w:t>
            </w:r>
            <w:r>
              <w:rPr>
                <w:rFonts w:ascii="Calibri" w:eastAsia="Calibri" w:hAnsi="Calibri" w:cs="Calibri"/>
                <w:color w:val="111111"/>
              </w:rPr>
              <w:br/>
              <w:t>(40.4, 51.0)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79.0</w:t>
            </w:r>
            <w:r>
              <w:rPr>
                <w:rFonts w:ascii="Calibri" w:eastAsia="Calibri" w:hAnsi="Calibri" w:cs="Calibri"/>
                <w:color w:val="111111"/>
              </w:rPr>
              <w:br/>
              <w:t>(69.3, 88.7)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65.6</w:t>
            </w:r>
            <w:r>
              <w:rPr>
                <w:rFonts w:ascii="Calibri" w:eastAsia="Calibri" w:hAnsi="Calibri" w:cs="Calibri"/>
                <w:color w:val="111111"/>
              </w:rPr>
              <w:br/>
              <w:t>(54.7, 76.4)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90.2</w:t>
            </w:r>
            <w:r>
              <w:rPr>
                <w:rFonts w:ascii="Calibri" w:eastAsia="Calibri" w:hAnsi="Calibri" w:cs="Calibri"/>
                <w:color w:val="111111"/>
              </w:rPr>
              <w:br/>
              <w:t>(83.8, 96.6)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75.6</w:t>
            </w:r>
            <w:r>
              <w:rPr>
                <w:rFonts w:ascii="Calibri" w:eastAsia="Calibri" w:hAnsi="Calibri" w:cs="Calibri"/>
                <w:color w:val="111111"/>
              </w:rPr>
              <w:br/>
              <w:t>(69.5, 81.7)</w:t>
            </w:r>
          </w:p>
        </w:tc>
      </w:tr>
      <w:tr w:rsidR="007E0AA3">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Taking antihypertensive medication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61.9</w:t>
            </w:r>
            <w:r>
              <w:rPr>
                <w:rFonts w:ascii="Calibri" w:eastAsia="Calibri" w:hAnsi="Calibri" w:cs="Calibri"/>
                <w:color w:val="111111"/>
              </w:rPr>
              <w:br/>
              <w:t>(59.4, 64.5)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81.6</w:t>
            </w:r>
            <w:r>
              <w:rPr>
                <w:rFonts w:ascii="Calibri" w:eastAsia="Calibri" w:hAnsi="Calibri" w:cs="Calibri"/>
                <w:color w:val="111111"/>
              </w:rPr>
              <w:br/>
              <w:t>(78.0, 85.2)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79.9</w:t>
            </w:r>
            <w:r>
              <w:rPr>
                <w:rFonts w:ascii="Calibri" w:eastAsia="Calibri" w:hAnsi="Calibri" w:cs="Calibri"/>
                <w:color w:val="111111"/>
              </w:rPr>
              <w:br/>
              <w:t>(75.9, 84.0)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92.8</w:t>
            </w:r>
            <w:r>
              <w:rPr>
                <w:rFonts w:ascii="Calibri" w:eastAsia="Calibri" w:hAnsi="Calibri" w:cs="Calibri"/>
                <w:color w:val="111111"/>
              </w:rPr>
              <w:br/>
            </w:r>
            <w:r>
              <w:rPr>
                <w:rFonts w:ascii="Calibri" w:eastAsia="Calibri" w:hAnsi="Calibri" w:cs="Calibri"/>
                <w:color w:val="111111"/>
              </w:rPr>
              <w:t>(91.0, 94.5)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81.8</w:t>
            </w:r>
            <w:r>
              <w:rPr>
                <w:rFonts w:ascii="Calibri" w:eastAsia="Calibri" w:hAnsi="Calibri" w:cs="Calibri"/>
                <w:color w:val="111111"/>
              </w:rPr>
              <w:br/>
              <w:t>(79.4, 84.2)</w:t>
            </w:r>
          </w:p>
        </w:tc>
      </w:tr>
      <w:tr w:rsidR="007E0AA3">
        <w:trPr>
          <w:cantSplit/>
          <w:jc w:val="center"/>
        </w:trPr>
        <w:tc>
          <w:tcPr>
            <w:tcW w:w="1116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Normal blood pressure: systolic/diastolic blood pressure &lt; 120/80 mm Hg;</w:t>
            </w:r>
            <w:r>
              <w:rPr>
                <w:rFonts w:ascii="Calibri" w:eastAsia="Calibri" w:hAnsi="Calibri" w:cs="Calibri"/>
                <w:color w:val="000000"/>
              </w:rPr>
              <w:br/>
              <w:t>Elevated blood pressure: systolic/diastolic blood pressure 120-129/&lt;80 mm Hg;</w:t>
            </w:r>
            <w:r>
              <w:rPr>
                <w:rFonts w:ascii="Calibri" w:eastAsia="Calibri" w:hAnsi="Calibri" w:cs="Calibri"/>
                <w:color w:val="000000"/>
              </w:rPr>
              <w:br/>
              <w:t>Stage 1 hypertension: systolic/diastolic blood pressure 130-139/80-89 mm</w:t>
            </w:r>
            <w:r>
              <w:rPr>
                <w:rFonts w:ascii="Calibri" w:eastAsia="Calibri" w:hAnsi="Calibri" w:cs="Calibri"/>
                <w:color w:val="000000"/>
              </w:rPr>
              <w:t xml:space="preserve"> Hg;</w:t>
            </w:r>
            <w:r>
              <w:rPr>
                <w:rFonts w:ascii="Calibri" w:eastAsia="Calibri" w:hAnsi="Calibri" w:cs="Calibri"/>
                <w:color w:val="000000"/>
              </w:rPr>
              <w:br/>
              <w:t>Stage 2 hypertension: systolic/diastolic blood pressure ≥ 140/90 mm Hg.</w:t>
            </w:r>
          </w:p>
        </w:tc>
      </w:tr>
      <w:tr w:rsidR="007E0AA3">
        <w:trPr>
          <w:cantSplit/>
          <w:jc w:val="center"/>
        </w:trPr>
        <w:tc>
          <w:tcPr>
            <w:tcW w:w="1116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lastRenderedPageBreak/>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7E0AA3">
        <w:trPr>
          <w:cantSplit/>
          <w:jc w:val="center"/>
        </w:trPr>
        <w:tc>
          <w:tcPr>
            <w:tcW w:w="1116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7E0AA3">
        <w:trPr>
          <w:cantSplit/>
          <w:jc w:val="center"/>
        </w:trPr>
        <w:tc>
          <w:tcPr>
            <w:tcW w:w="1116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w:t>
            </w:r>
            <w:r>
              <w:rPr>
                <w:rFonts w:ascii="Calibri" w:eastAsia="Calibri" w:hAnsi="Calibri" w:cs="Calibri"/>
                <w:color w:val="000000"/>
              </w:rPr>
              <w:t>oke, or myocardial infarction</w:t>
            </w:r>
          </w:p>
        </w:tc>
      </w:tr>
      <w:tr w:rsidR="007E0AA3">
        <w:trPr>
          <w:cantSplit/>
          <w:jc w:val="center"/>
        </w:trPr>
        <w:tc>
          <w:tcPr>
            <w:tcW w:w="1116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Predicted risk for cardiovascular disease was computed using the Pooled Cohort Risk equations, based on the guideline by American College of Cardiology / American Heart Association, 2013</w:t>
            </w:r>
          </w:p>
        </w:tc>
      </w:tr>
      <w:tr w:rsidR="007E0AA3">
        <w:trPr>
          <w:cantSplit/>
          <w:jc w:val="center"/>
        </w:trPr>
        <w:tc>
          <w:tcPr>
            <w:tcW w:w="1116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 xml:space="preserve">Data from survey participants with </w:t>
            </w:r>
            <w:r>
              <w:rPr>
                <w:rFonts w:ascii="Calibri" w:eastAsia="Calibri" w:hAnsi="Calibri" w:cs="Calibri"/>
                <w:color w:val="000000"/>
              </w:rPr>
              <w:t>prevalent cardiovascular disease were not included for these statistics</w:t>
            </w:r>
          </w:p>
        </w:tc>
      </w:tr>
    </w:tbl>
    <w:p w:rsidR="007E0AA3" w:rsidRDefault="008A77D1">
      <w:r>
        <w:br w:type="page"/>
      </w:r>
    </w:p>
    <w:p w:rsidR="007E0AA3" w:rsidRDefault="008A77D1">
      <w:r>
        <w:lastRenderedPageBreak/>
        <w:t>Figure 1: Estimated distribution of 10-year predicted cardiovascular risk among US adults with predicted risk &lt; 10% overall and for those with diabetes, chronic kidney disease, ≥ 65</w:t>
      </w:r>
      <w:r>
        <w:t xml:space="preserve"> years of age, or any of the preceding conditions.</w:t>
      </w:r>
    </w:p>
    <w:p w:rsidR="007E0AA3" w:rsidRDefault="008A77D1">
      <w:r>
        <w:rPr>
          <w:noProof/>
        </w:rPr>
        <w:drawing>
          <wp:inline distT="0" distB="0" distL="0" distR="0">
            <wp:extent cx="54864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
                    <a:srcRect/>
                    <a:stretch>
                      <a:fillRect/>
                    </a:stretch>
                  </pic:blipFill>
                  <pic:spPr bwMode="auto">
                    <a:xfrm>
                      <a:off x="0" y="0"/>
                      <a:ext cx="76200" cy="95250"/>
                    </a:xfrm>
                    <a:prstGeom prst="rect">
                      <a:avLst/>
                    </a:prstGeom>
                    <a:noFill/>
                  </pic:spPr>
                </pic:pic>
              </a:graphicData>
            </a:graphic>
          </wp:inline>
        </w:drawing>
      </w:r>
    </w:p>
    <w:p w:rsidR="007E0AA3" w:rsidRDefault="008A77D1">
      <w:r>
        <w:t>Results do not include data from survey participants with prevalent cardiovascular disease or 10-year predicted risk for atherosclerotic cardiovascular disease ≥ 10%.</w:t>
      </w:r>
      <w:r>
        <w:br w:type="page"/>
      </w:r>
    </w:p>
    <w:p w:rsidR="007E0AA3" w:rsidRDefault="008A77D1">
      <w:r>
        <w:lastRenderedPageBreak/>
        <w:t>Figure 2: Estimated Probability of</w:t>
      </w:r>
      <w:r>
        <w:t xml:space="preserve"> ten-year predicted risk for cardiovascular disease ≥ 10% as a function of age for US adults with diabetes, with chronic kidney disease, and without diabetes or chronic kidney disease.</w:t>
      </w:r>
    </w:p>
    <w:p w:rsidR="007E0AA3" w:rsidRDefault="008A77D1">
      <w:r>
        <w:rPr>
          <w:noProof/>
        </w:rPr>
        <w:drawing>
          <wp:inline distT="0" distB="0" distL="0" distR="0">
            <wp:extent cx="54864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7"/>
                    <a:srcRect/>
                    <a:stretch>
                      <a:fillRect/>
                    </a:stretch>
                  </pic:blipFill>
                  <pic:spPr bwMode="auto">
                    <a:xfrm>
                      <a:off x="0" y="0"/>
                      <a:ext cx="76200" cy="82550"/>
                    </a:xfrm>
                    <a:prstGeom prst="rect">
                      <a:avLst/>
                    </a:prstGeom>
                    <a:noFill/>
                  </pic:spPr>
                </pic:pic>
              </a:graphicData>
            </a:graphic>
          </wp:inline>
        </w:drawing>
      </w:r>
    </w:p>
    <w:p w:rsidR="007E0AA3" w:rsidRDefault="008A77D1">
      <w:r>
        <w:t xml:space="preserve">* these values indicate the expected age where probability of having </w:t>
      </w:r>
      <w:r>
        <w:t>≥10% predicted risk for atherosclerotic cardiovascular disease is ≥ 50%</w:t>
      </w:r>
    </w:p>
    <w:p w:rsidR="007E0AA3" w:rsidRDefault="008A77D1">
      <w:r>
        <w:br w:type="page"/>
      </w:r>
    </w:p>
    <w:p w:rsidR="007E0AA3" w:rsidRPr="0091119C" w:rsidRDefault="008A77D1" w:rsidP="0091119C">
      <w:pPr>
        <w:pStyle w:val="Header"/>
        <w:jc w:val="center"/>
        <w:rPr>
          <w:b/>
        </w:rPr>
      </w:pPr>
      <w:r w:rsidRPr="0091119C">
        <w:rPr>
          <w:b/>
        </w:rPr>
        <w:lastRenderedPageBreak/>
        <w:t>SUPPLEMENT</w:t>
      </w:r>
    </w:p>
    <w:p w:rsidR="007E0AA3" w:rsidRDefault="008A77D1">
      <w:r>
        <w:br w:type="page"/>
      </w:r>
    </w:p>
    <w:p w:rsidR="007E0AA3" w:rsidRDefault="008A77D1">
      <w:r>
        <w:lastRenderedPageBreak/>
        <w:t>Table S1: Characteristics of US adults with stage 1 hypertension, overall and with diabetes, chronic kidney disease, ≥ 65 years of age, or any of the three preceding conditions</w:t>
      </w:r>
    </w:p>
    <w:tbl>
      <w:tblPr>
        <w:tblW w:w="10800" w:type="dxa"/>
        <w:jc w:val="center"/>
        <w:tblLayout w:type="fixed"/>
        <w:tblLook w:val="0420" w:firstRow="1" w:lastRow="0" w:firstColumn="0" w:lastColumn="0" w:noHBand="0" w:noVBand="1"/>
      </w:tblPr>
      <w:tblGrid>
        <w:gridCol w:w="2520"/>
        <w:gridCol w:w="1656"/>
        <w:gridCol w:w="1656"/>
        <w:gridCol w:w="1656"/>
        <w:gridCol w:w="1656"/>
        <w:gridCol w:w="1656"/>
      </w:tblGrid>
      <w:tr w:rsidR="007E0AA3">
        <w:trPr>
          <w:cantSplit/>
          <w:tblHeader/>
          <w:jc w:val="center"/>
        </w:trPr>
        <w:tc>
          <w:tcPr>
            <w:tcW w:w="417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7E0AA3">
            <w:pPr>
              <w:spacing w:before="40" w:after="40"/>
              <w:ind w:left="100" w:right="100"/>
            </w:pPr>
          </w:p>
        </w:tc>
        <w:tc>
          <w:tcPr>
            <w:tcW w:w="6624"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000000"/>
              </w:rPr>
              <w:t>Sub-groups</w:t>
            </w:r>
          </w:p>
        </w:tc>
      </w:tr>
      <w:tr w:rsidR="007E0AA3">
        <w:trPr>
          <w:cantSplit/>
          <w:tblHeader/>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b/>
                <w:color w:val="111111"/>
              </w:rPr>
              <w:t>Characteristic</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Overall </w:t>
            </w:r>
            <w:r>
              <w:rPr>
                <w:rFonts w:ascii="Calibri" w:eastAsia="Calibri" w:hAnsi="Calibri" w:cs="Calibri"/>
                <w:b/>
                <w:color w:val="111111"/>
              </w:rPr>
              <w:br/>
              <w:t>N = 1,271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Diabetes </w:t>
            </w:r>
            <w:r>
              <w:rPr>
                <w:rFonts w:ascii="Calibri" w:eastAsia="Calibri" w:hAnsi="Calibri" w:cs="Calibri"/>
                <w:b/>
                <w:color w:val="111111"/>
              </w:rPr>
              <w:br/>
              <w:t>N = 204</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Chronic kidn</w:t>
            </w:r>
            <w:r>
              <w:rPr>
                <w:rFonts w:ascii="Calibri" w:eastAsia="Calibri" w:hAnsi="Calibri" w:cs="Calibri"/>
                <w:b/>
                <w:color w:val="111111"/>
              </w:rPr>
              <w:t xml:space="preserve">ey disease </w:t>
            </w:r>
            <w:r>
              <w:rPr>
                <w:rFonts w:ascii="Calibri" w:eastAsia="Calibri" w:hAnsi="Calibri" w:cs="Calibri"/>
                <w:b/>
                <w:color w:val="111111"/>
              </w:rPr>
              <w:br/>
              <w:t>N = 155</w:t>
            </w:r>
            <w:r>
              <w:rPr>
                <w:rFonts w:ascii="Calibri" w:eastAsia="Calibri" w:hAnsi="Calibri" w:cs="Calibri"/>
                <w:b/>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Age 65+ years </w:t>
            </w:r>
            <w:r>
              <w:rPr>
                <w:rFonts w:ascii="Calibri" w:eastAsia="Calibri" w:hAnsi="Calibri" w:cs="Calibri"/>
                <w:b/>
                <w:color w:val="111111"/>
              </w:rPr>
              <w:br/>
              <w:t>N = 236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b/>
                <w:color w:val="111111"/>
              </w:rPr>
              <w:t xml:space="preserve">Any preceding condition </w:t>
            </w:r>
            <w:r>
              <w:rPr>
                <w:rFonts w:ascii="Calibri" w:eastAsia="Calibri" w:hAnsi="Calibri" w:cs="Calibri"/>
                <w:b/>
                <w:color w:val="111111"/>
              </w:rPr>
              <w:br/>
              <w:t>N = 453</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Age,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54.0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56.8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57.0 (1.2)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69.7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61.5 (0.8)</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Male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58.5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51.9</w:t>
            </w:r>
          </w:p>
        </w:tc>
      </w:tr>
      <w:tr w:rsidR="007E0AA3">
        <w:trPr>
          <w:cantSplit/>
          <w:jc w:val="center"/>
        </w:trPr>
        <w:tc>
          <w:tcPr>
            <w:tcW w:w="10800" w:type="dxa"/>
            <w:gridSpan w:val="6"/>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Race / ethnicity</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200" w:right="100"/>
            </w:pPr>
            <w:r>
              <w:rPr>
                <w:rFonts w:ascii="Calibri" w:eastAsia="Calibri" w:hAnsi="Calibri" w:cs="Calibri"/>
                <w:color w:val="111111"/>
              </w:rPr>
              <w:t>Non-Hispanic White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66.3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73.8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65.5</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200" w:right="100"/>
            </w:pPr>
            <w:r>
              <w:rPr>
                <w:rFonts w:ascii="Calibri" w:eastAsia="Calibri" w:hAnsi="Calibri" w:cs="Calibri"/>
                <w:color w:val="111111"/>
              </w:rPr>
              <w:t>Non-Hispanic Black</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9.8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12.7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10.3</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200" w:right="100"/>
            </w:pPr>
            <w:r>
              <w:rPr>
                <w:rFonts w:ascii="Calibri" w:eastAsia="Calibri" w:hAnsi="Calibri" w:cs="Calibri"/>
                <w:color w:val="111111"/>
              </w:rPr>
              <w:t>Hispanic</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15.1</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200" w:right="100"/>
            </w:pPr>
            <w:r>
              <w:rPr>
                <w:rFonts w:ascii="Calibri" w:eastAsia="Calibri" w:hAnsi="Calibri" w:cs="Calibri"/>
                <w:color w:val="111111"/>
              </w:rPr>
              <w:t>Non-Hispanic Asian</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6.0</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200" w:right="100"/>
            </w:pPr>
            <w:r>
              <w:rPr>
                <w:rFonts w:ascii="Calibri" w:eastAsia="Calibri" w:hAnsi="Calibri" w:cs="Calibri"/>
                <w:color w:val="111111"/>
              </w:rPr>
              <w:t>Other Race/ethnicity - Including Multi-Racial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3.1</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Total 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205.0 (2.4)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188.8 (4.6)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198.4 (5.0)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195.4 (3.5)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195.8 (2.9)</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HDL-cholesterol, mg/dl</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54.0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47.1 (1.5)</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53.2 (2.3)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57.9 (1.4)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53.8 (1.0)</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Systolic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129.6 (0.3)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131.1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131.2 (0.7)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132.5 (0.6)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131.3 (0.4)</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Diastolic blood pressure, mm Hg</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78.6 (0.4)</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76.7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76.5 (0.8)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72.2 (1.0)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75.3 (0.6)</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Antihypertensive medication use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0.0</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Diabetes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12.3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21.0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42.4</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Chronic kidney disease</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9.1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22.6</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16.1</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31.3</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Aged 65+ years</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15.7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26.9</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27.8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100.0</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54.2</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Current smoker</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19.3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18.8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23.3</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10.7</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16.4</w:t>
            </w:r>
          </w:p>
        </w:tc>
      </w:tr>
      <w:tr w:rsidR="007E0AA3">
        <w:trPr>
          <w:cantSplit/>
          <w:jc w:val="center"/>
        </w:trPr>
        <w:tc>
          <w:tcPr>
            <w:tcW w:w="25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pPr>
            <w:r>
              <w:rPr>
                <w:rFonts w:ascii="Calibri" w:eastAsia="Calibri" w:hAnsi="Calibri" w:cs="Calibri"/>
                <w:color w:val="111111"/>
              </w:rPr>
              <w:t>Prevalent CVD</w:t>
            </w:r>
            <w:r>
              <w:rPr>
                <w:rFonts w:ascii="Calibri" w:eastAsia="Calibri" w:hAnsi="Calibri" w:cs="Calibri"/>
                <w:color w:val="111111"/>
                <w:vertAlign w:val="superscript"/>
              </w:rPr>
              <w:t>§</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5.8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15.2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12.8</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13.2</w:t>
            </w:r>
          </w:p>
        </w:tc>
        <w:tc>
          <w:tcPr>
            <w:tcW w:w="165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7E0AA3" w:rsidRDefault="008A77D1">
            <w:pPr>
              <w:spacing w:before="40" w:after="40"/>
              <w:ind w:left="100" w:right="100"/>
              <w:jc w:val="center"/>
            </w:pPr>
            <w:r>
              <w:rPr>
                <w:rFonts w:ascii="Calibri" w:eastAsia="Calibri" w:hAnsi="Calibri" w:cs="Calibri"/>
                <w:color w:val="111111"/>
              </w:rPr>
              <w:t>11.4</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Table values are mean (standard error) or proportion.</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Diabetes was defined by fasting serum glucose ≥ 126 mg/dL, non-fasting glucose ≥ 200 mg/dL, HbA1c ≥ 6.5%, or self-reported use of insulin or oral glucose lowering medication.</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Chronic kidney disease is defined by an albumin-to-creatinine ratio ≥ 30 mg/dl or an estimated glomerular filtration rate &lt;60 ml/min/1.73m²</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vertAlign w:val="superscript"/>
              </w:rPr>
              <w:t>§</w:t>
            </w:r>
            <w:r>
              <w:rPr>
                <w:rFonts w:ascii="Calibri" w:eastAsia="Calibri" w:hAnsi="Calibri" w:cs="Calibri"/>
                <w:color w:val="000000"/>
              </w:rPr>
              <w:t>Prevalent cardiovascular disease was defined by self-report of previous heart failure, coronary heart disease, str</w:t>
            </w:r>
            <w:r>
              <w:rPr>
                <w:rFonts w:ascii="Calibri" w:eastAsia="Calibri" w:hAnsi="Calibri" w:cs="Calibri"/>
                <w:color w:val="000000"/>
              </w:rPr>
              <w:t>oke, or myocardial infarction</w:t>
            </w:r>
          </w:p>
        </w:tc>
      </w:tr>
      <w:tr w:rsidR="007E0AA3">
        <w:trPr>
          <w:cantSplit/>
          <w:jc w:val="center"/>
        </w:trPr>
        <w:tc>
          <w:tcPr>
            <w:tcW w:w="10800" w:type="dxa"/>
            <w:gridSpan w:val="6"/>
            <w:shd w:val="clear" w:color="auto" w:fill="FFFFFF"/>
            <w:tcMar>
              <w:top w:w="0" w:type="dxa"/>
              <w:left w:w="0" w:type="dxa"/>
              <w:bottom w:w="0" w:type="dxa"/>
              <w:right w:w="0" w:type="dxa"/>
            </w:tcMar>
            <w:vAlign w:val="center"/>
          </w:tcPr>
          <w:p w:rsidR="007E0AA3" w:rsidRDefault="008A77D1">
            <w:pPr>
              <w:spacing w:after="0"/>
            </w:pPr>
            <w:r>
              <w:rPr>
                <w:rFonts w:ascii="Calibri" w:eastAsia="Calibri" w:hAnsi="Calibri" w:cs="Calibri"/>
                <w:color w:val="000000"/>
              </w:rPr>
              <w:t>CVD = cardiovascular disease; HDL = High density lipoprotein</w:t>
            </w:r>
          </w:p>
        </w:tc>
      </w:tr>
    </w:tbl>
    <w:p w:rsidR="007E0AA3" w:rsidRDefault="008A77D1">
      <w:r>
        <w:br w:type="page"/>
      </w:r>
    </w:p>
    <w:p w:rsidR="007E0AA3" w:rsidRDefault="008A77D1">
      <w:r>
        <w:lastRenderedPageBreak/>
        <w:t>Figure S1: Flowchart showing the number of NHANES participants included in the current analyses.</w:t>
      </w:r>
    </w:p>
    <w:p w:rsidR="007E0AA3" w:rsidRDefault="008A77D1">
      <w:r>
        <w:rPr>
          <w:noProof/>
        </w:rPr>
        <w:drawing>
          <wp:inline distT="0" distB="0" distL="0" distR="0">
            <wp:extent cx="5486400" cy="4011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8"/>
                    <a:srcRect/>
                    <a:stretch>
                      <a:fillRect/>
                    </a:stretch>
                  </pic:blipFill>
                  <pic:spPr bwMode="auto">
                    <a:xfrm>
                      <a:off x="0" y="0"/>
                      <a:ext cx="76200" cy="55718"/>
                    </a:xfrm>
                    <a:prstGeom prst="rect">
                      <a:avLst/>
                    </a:prstGeom>
                    <a:noFill/>
                  </pic:spPr>
                </pic:pic>
              </a:graphicData>
            </a:graphic>
          </wp:inline>
        </w:drawing>
      </w:r>
    </w:p>
    <w:p w:rsidR="00CB025A" w:rsidRDefault="00CB025A">
      <w:r w:rsidRPr="00CB025A">
        <w:t>BP: blood pressure</w:t>
      </w:r>
      <w:r>
        <w:t>;</w:t>
      </w:r>
      <w:r w:rsidRPr="00CB025A">
        <w:t xml:space="preserve"> NHANES: National Health and</w:t>
      </w:r>
      <w:r>
        <w:t xml:space="preserve"> Nutrition Examination Survey</w:t>
      </w:r>
      <w:r w:rsidRPr="00CB025A">
        <w:t>.</w:t>
      </w:r>
    </w:p>
    <w:p w:rsidR="007E0AA3" w:rsidRDefault="008A77D1">
      <w:r>
        <w:t xml:space="preserve">* The Completed </w:t>
      </w:r>
      <w:r>
        <w:t xml:space="preserve">NHANES </w:t>
      </w:r>
      <w:r>
        <w:t>interview and exam cells include number with the response rate in parentheses.</w:t>
      </w:r>
    </w:p>
    <w:p w:rsidR="007E0AA3" w:rsidRDefault="008A77D1">
      <w:r>
        <w:br w:type="page"/>
      </w:r>
    </w:p>
    <w:p w:rsidR="007E0AA3" w:rsidRDefault="008A77D1">
      <w:r>
        <w:lastRenderedPageBreak/>
        <w:t>Figure S2: Estimated distribution of 10-year predicted cardiovascular risk among US adults with stage 1 hypertension and predicted risk &lt; 10% overall an</w:t>
      </w:r>
      <w:r>
        <w:t>d for those with diabetes, chronic kidney disease, ≥ 65 years of age, or any of the preceding conditions.</w:t>
      </w:r>
    </w:p>
    <w:p w:rsidR="007E0AA3" w:rsidRDefault="008A77D1">
      <w:r>
        <w:rPr>
          <w:noProof/>
        </w:rPr>
        <w:drawing>
          <wp:inline distT="0" distB="0" distL="0" distR="0">
            <wp:extent cx="5486400" cy="685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9"/>
                    <a:srcRect/>
                    <a:stretch>
                      <a:fillRect/>
                    </a:stretch>
                  </pic:blipFill>
                  <pic:spPr bwMode="auto">
                    <a:xfrm>
                      <a:off x="0" y="0"/>
                      <a:ext cx="76200" cy="95250"/>
                    </a:xfrm>
                    <a:prstGeom prst="rect">
                      <a:avLst/>
                    </a:prstGeom>
                    <a:noFill/>
                  </pic:spPr>
                </pic:pic>
              </a:graphicData>
            </a:graphic>
          </wp:inline>
        </w:drawing>
      </w:r>
    </w:p>
    <w:p w:rsidR="007E0AA3" w:rsidRDefault="008A77D1">
      <w:r>
        <w:t>Results do not include data from survey participants with prevalent cardiovascular disease or 10-year predicted risk for atherosclerotic cardiovascu</w:t>
      </w:r>
      <w:r>
        <w:t>lar disease ≥ 10%.</w:t>
      </w:r>
      <w:r>
        <w:br w:type="page"/>
      </w:r>
    </w:p>
    <w:p w:rsidR="007E0AA3" w:rsidRDefault="008A77D1">
      <w:r>
        <w:lastRenderedPageBreak/>
        <w:t>Figure S3: Estimated Probability of ten-year predicted risk for cardiovascular disease ≥ 10% as a function of age among US adults with stage 1 hypertension and diabetes, chronic kidney disease, and with without diabetes or chronic kidn</w:t>
      </w:r>
      <w:r>
        <w:t>ey disease.</w:t>
      </w:r>
    </w:p>
    <w:p w:rsidR="007E0AA3" w:rsidRDefault="008A77D1">
      <w:r>
        <w:rPr>
          <w:noProof/>
        </w:rPr>
        <w:drawing>
          <wp:inline distT="0" distB="0" distL="0" distR="0">
            <wp:extent cx="54864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0"/>
                    <a:srcRect/>
                    <a:stretch>
                      <a:fillRect/>
                    </a:stretch>
                  </pic:blipFill>
                  <pic:spPr bwMode="auto">
                    <a:xfrm>
                      <a:off x="0" y="0"/>
                      <a:ext cx="76200" cy="82550"/>
                    </a:xfrm>
                    <a:prstGeom prst="rect">
                      <a:avLst/>
                    </a:prstGeom>
                    <a:noFill/>
                  </pic:spPr>
                </pic:pic>
              </a:graphicData>
            </a:graphic>
          </wp:inline>
        </w:drawing>
      </w:r>
    </w:p>
    <w:p w:rsidR="007E0AA3" w:rsidRDefault="008A77D1">
      <w:r>
        <w:t>* these values indicate the expected age where probability of having ≥10% predicted risk for atherosclerotic cardiovascular disease is ≥ 50%</w:t>
      </w:r>
    </w:p>
    <w:sectPr w:rsidR="007E0AA3" w:rsidSect="007B6C2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77D1" w:rsidRDefault="008A77D1" w:rsidP="00263DE1">
      <w:pPr>
        <w:spacing w:after="0" w:line="240" w:lineRule="auto"/>
      </w:pPr>
      <w:r>
        <w:separator/>
      </w:r>
    </w:p>
  </w:endnote>
  <w:endnote w:type="continuationSeparator" w:id="0">
    <w:p w:rsidR="008A77D1" w:rsidRDefault="008A77D1" w:rsidP="0026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046813"/>
      <w:docPartObj>
        <w:docPartGallery w:val="Page Numbers (Bottom of Page)"/>
        <w:docPartUnique/>
      </w:docPartObj>
    </w:sdtPr>
    <w:sdtEndPr>
      <w:rPr>
        <w:noProof/>
      </w:rPr>
    </w:sdtEndPr>
    <w:sdtContent>
      <w:p w:rsidR="00263DE1" w:rsidRDefault="00263DE1">
        <w:pPr>
          <w:pStyle w:val="Footer"/>
          <w:jc w:val="right"/>
        </w:pPr>
        <w:r>
          <w:fldChar w:fldCharType="begin"/>
        </w:r>
        <w:r>
          <w:instrText xml:space="preserve"> PAGE   \* MERGEFORMAT </w:instrText>
        </w:r>
        <w:r>
          <w:fldChar w:fldCharType="separate"/>
        </w:r>
        <w:r w:rsidR="00014F62">
          <w:rPr>
            <w:noProof/>
          </w:rPr>
          <w:t>13</w:t>
        </w:r>
        <w:r>
          <w:rPr>
            <w:noProof/>
          </w:rPr>
          <w:fldChar w:fldCharType="end"/>
        </w:r>
      </w:p>
    </w:sdtContent>
  </w:sdt>
  <w:p w:rsidR="00263DE1" w:rsidRDefault="0026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77D1" w:rsidRDefault="008A77D1" w:rsidP="00263DE1">
      <w:pPr>
        <w:spacing w:after="0" w:line="240" w:lineRule="auto"/>
      </w:pPr>
      <w:r>
        <w:separator/>
      </w:r>
    </w:p>
  </w:footnote>
  <w:footnote w:type="continuationSeparator" w:id="0">
    <w:p w:rsidR="008A77D1" w:rsidRDefault="008A77D1" w:rsidP="00263D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272E7"/>
    <w:rsid w:val="00014F62"/>
    <w:rsid w:val="00044389"/>
    <w:rsid w:val="000858F9"/>
    <w:rsid w:val="0013339F"/>
    <w:rsid w:val="00263DE1"/>
    <w:rsid w:val="00277C35"/>
    <w:rsid w:val="002A5610"/>
    <w:rsid w:val="002E420E"/>
    <w:rsid w:val="003449EA"/>
    <w:rsid w:val="003539EC"/>
    <w:rsid w:val="00431CFB"/>
    <w:rsid w:val="005072A5"/>
    <w:rsid w:val="005272E7"/>
    <w:rsid w:val="005F0DB5"/>
    <w:rsid w:val="006261D4"/>
    <w:rsid w:val="006E05E7"/>
    <w:rsid w:val="006E48DA"/>
    <w:rsid w:val="007533DD"/>
    <w:rsid w:val="0076242E"/>
    <w:rsid w:val="00772F53"/>
    <w:rsid w:val="007B6C21"/>
    <w:rsid w:val="007E0AA3"/>
    <w:rsid w:val="00843136"/>
    <w:rsid w:val="008A77D1"/>
    <w:rsid w:val="008B348F"/>
    <w:rsid w:val="0091119C"/>
    <w:rsid w:val="009608AA"/>
    <w:rsid w:val="009D5C76"/>
    <w:rsid w:val="00A31CD3"/>
    <w:rsid w:val="00AD26CC"/>
    <w:rsid w:val="00AD44B5"/>
    <w:rsid w:val="00AE1447"/>
    <w:rsid w:val="00AF0C01"/>
    <w:rsid w:val="00B25F52"/>
    <w:rsid w:val="00B57612"/>
    <w:rsid w:val="00B57872"/>
    <w:rsid w:val="00B6035B"/>
    <w:rsid w:val="00B624FA"/>
    <w:rsid w:val="00BC1BAA"/>
    <w:rsid w:val="00BE43D9"/>
    <w:rsid w:val="00C10CC8"/>
    <w:rsid w:val="00C75434"/>
    <w:rsid w:val="00CA32BB"/>
    <w:rsid w:val="00CB025A"/>
    <w:rsid w:val="00D10D3A"/>
    <w:rsid w:val="00D11BE4"/>
    <w:rsid w:val="00D36D1C"/>
    <w:rsid w:val="00E04C51"/>
    <w:rsid w:val="00EA3E3B"/>
    <w:rsid w:val="00EE4E1A"/>
    <w:rsid w:val="00F91E3E"/>
    <w:rsid w:val="00FA1A0D"/>
    <w:rsid w:val="00FC29CB"/>
    <w:rsid w:val="00FE37A4"/>
    <w:rsid w:val="00FE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73F3"/>
  <w15:chartTrackingRefBased/>
  <w15:docId w15:val="{8B137C7D-B789-418A-B791-AF69A39D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72E7"/>
    <w:rPr>
      <w:color w:val="0563C1" w:themeColor="hyperlink"/>
      <w:u w:val="single"/>
    </w:rPr>
  </w:style>
  <w:style w:type="paragraph" w:styleId="NormalWeb">
    <w:name w:val="Normal (Web)"/>
    <w:basedOn w:val="Normal"/>
    <w:uiPriority w:val="99"/>
    <w:semiHidden/>
    <w:unhideWhenUsed/>
    <w:rsid w:val="006E05E7"/>
    <w:rPr>
      <w:rFonts w:ascii="Times New Roman" w:hAnsi="Times New Roman" w:cs="Times New Roman"/>
      <w:sz w:val="24"/>
      <w:szCs w:val="24"/>
    </w:rPr>
  </w:style>
  <w:style w:type="paragraph" w:styleId="Header">
    <w:name w:val="header"/>
    <w:basedOn w:val="Normal"/>
    <w:link w:val="HeaderChar"/>
    <w:uiPriority w:val="99"/>
    <w:unhideWhenUsed/>
    <w:rsid w:val="0026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DE1"/>
  </w:style>
  <w:style w:type="paragraph" w:styleId="Footer">
    <w:name w:val="footer"/>
    <w:basedOn w:val="Normal"/>
    <w:link w:val="FooterChar"/>
    <w:uiPriority w:val="99"/>
    <w:unhideWhenUsed/>
    <w:rsid w:val="0026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618">
      <w:bodyDiv w:val="1"/>
      <w:marLeft w:val="0"/>
      <w:marRight w:val="0"/>
      <w:marTop w:val="0"/>
      <w:marBottom w:val="0"/>
      <w:divBdr>
        <w:top w:val="none" w:sz="0" w:space="0" w:color="auto"/>
        <w:left w:val="none" w:sz="0" w:space="0" w:color="auto"/>
        <w:bottom w:val="none" w:sz="0" w:space="0" w:color="auto"/>
        <w:right w:val="none" w:sz="0" w:space="0" w:color="auto"/>
      </w:divBdr>
      <w:divsChild>
        <w:div w:id="1885479068">
          <w:marLeft w:val="0"/>
          <w:marRight w:val="0"/>
          <w:marTop w:val="240"/>
          <w:marBottom w:val="240"/>
          <w:divBdr>
            <w:top w:val="none" w:sz="0" w:space="0" w:color="auto"/>
            <w:left w:val="none" w:sz="0" w:space="0" w:color="auto"/>
            <w:bottom w:val="none" w:sz="0" w:space="0" w:color="auto"/>
            <w:right w:val="none" w:sz="0" w:space="0" w:color="auto"/>
          </w:divBdr>
          <w:divsChild>
            <w:div w:id="1263221997">
              <w:marLeft w:val="-225"/>
              <w:marRight w:val="-225"/>
              <w:marTop w:val="0"/>
              <w:marBottom w:val="0"/>
              <w:divBdr>
                <w:top w:val="none" w:sz="0" w:space="0" w:color="auto"/>
                <w:left w:val="none" w:sz="0" w:space="0" w:color="auto"/>
                <w:bottom w:val="none" w:sz="0" w:space="0" w:color="auto"/>
                <w:right w:val="none" w:sz="0" w:space="0" w:color="auto"/>
              </w:divBdr>
              <w:divsChild>
                <w:div w:id="614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746">
      <w:bodyDiv w:val="1"/>
      <w:marLeft w:val="0"/>
      <w:marRight w:val="0"/>
      <w:marTop w:val="0"/>
      <w:marBottom w:val="0"/>
      <w:divBdr>
        <w:top w:val="none" w:sz="0" w:space="0" w:color="auto"/>
        <w:left w:val="none" w:sz="0" w:space="0" w:color="auto"/>
        <w:bottom w:val="none" w:sz="0" w:space="0" w:color="auto"/>
        <w:right w:val="none" w:sz="0" w:space="0" w:color="auto"/>
      </w:divBdr>
      <w:divsChild>
        <w:div w:id="487210446">
          <w:marLeft w:val="0"/>
          <w:marRight w:val="0"/>
          <w:marTop w:val="240"/>
          <w:marBottom w:val="240"/>
          <w:divBdr>
            <w:top w:val="none" w:sz="0" w:space="0" w:color="auto"/>
            <w:left w:val="none" w:sz="0" w:space="0" w:color="auto"/>
            <w:bottom w:val="none" w:sz="0" w:space="0" w:color="auto"/>
            <w:right w:val="none" w:sz="0" w:space="0" w:color="auto"/>
          </w:divBdr>
          <w:divsChild>
            <w:div w:id="48463101">
              <w:marLeft w:val="-225"/>
              <w:marRight w:val="-225"/>
              <w:marTop w:val="0"/>
              <w:marBottom w:val="0"/>
              <w:divBdr>
                <w:top w:val="none" w:sz="0" w:space="0" w:color="auto"/>
                <w:left w:val="none" w:sz="0" w:space="0" w:color="auto"/>
                <w:bottom w:val="none" w:sz="0" w:space="0" w:color="auto"/>
                <w:right w:val="none" w:sz="0" w:space="0" w:color="auto"/>
              </w:divBdr>
              <w:divsChild>
                <w:div w:id="6728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5469">
      <w:bodyDiv w:val="1"/>
      <w:marLeft w:val="0"/>
      <w:marRight w:val="0"/>
      <w:marTop w:val="0"/>
      <w:marBottom w:val="0"/>
      <w:divBdr>
        <w:top w:val="none" w:sz="0" w:space="0" w:color="auto"/>
        <w:left w:val="none" w:sz="0" w:space="0" w:color="auto"/>
        <w:bottom w:val="none" w:sz="0" w:space="0" w:color="auto"/>
        <w:right w:val="none" w:sz="0" w:space="0" w:color="auto"/>
      </w:divBdr>
      <w:divsChild>
        <w:div w:id="861553557">
          <w:marLeft w:val="0"/>
          <w:marRight w:val="0"/>
          <w:marTop w:val="240"/>
          <w:marBottom w:val="240"/>
          <w:divBdr>
            <w:top w:val="none" w:sz="0" w:space="0" w:color="auto"/>
            <w:left w:val="none" w:sz="0" w:space="0" w:color="auto"/>
            <w:bottom w:val="none" w:sz="0" w:space="0" w:color="auto"/>
            <w:right w:val="none" w:sz="0" w:space="0" w:color="auto"/>
          </w:divBdr>
          <w:divsChild>
            <w:div w:id="89862035">
              <w:marLeft w:val="-225"/>
              <w:marRight w:val="-225"/>
              <w:marTop w:val="0"/>
              <w:marBottom w:val="0"/>
              <w:divBdr>
                <w:top w:val="none" w:sz="0" w:space="0" w:color="auto"/>
                <w:left w:val="none" w:sz="0" w:space="0" w:color="auto"/>
                <w:bottom w:val="none" w:sz="0" w:space="0" w:color="auto"/>
                <w:right w:val="none" w:sz="0" w:space="0" w:color="auto"/>
              </w:divBdr>
              <w:divsChild>
                <w:div w:id="722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78886">
      <w:bodyDiv w:val="1"/>
      <w:marLeft w:val="0"/>
      <w:marRight w:val="0"/>
      <w:marTop w:val="0"/>
      <w:marBottom w:val="0"/>
      <w:divBdr>
        <w:top w:val="none" w:sz="0" w:space="0" w:color="auto"/>
        <w:left w:val="none" w:sz="0" w:space="0" w:color="auto"/>
        <w:bottom w:val="none" w:sz="0" w:space="0" w:color="auto"/>
        <w:right w:val="none" w:sz="0" w:space="0" w:color="auto"/>
      </w:divBdr>
      <w:divsChild>
        <w:div w:id="804549172">
          <w:marLeft w:val="0"/>
          <w:marRight w:val="0"/>
          <w:marTop w:val="240"/>
          <w:marBottom w:val="240"/>
          <w:divBdr>
            <w:top w:val="none" w:sz="0" w:space="0" w:color="auto"/>
            <w:left w:val="none" w:sz="0" w:space="0" w:color="auto"/>
            <w:bottom w:val="none" w:sz="0" w:space="0" w:color="auto"/>
            <w:right w:val="none" w:sz="0" w:space="0" w:color="auto"/>
          </w:divBdr>
          <w:divsChild>
            <w:div w:id="514001175">
              <w:marLeft w:val="-225"/>
              <w:marRight w:val="-225"/>
              <w:marTop w:val="0"/>
              <w:marBottom w:val="0"/>
              <w:divBdr>
                <w:top w:val="none" w:sz="0" w:space="0" w:color="auto"/>
                <w:left w:val="none" w:sz="0" w:space="0" w:color="auto"/>
                <w:bottom w:val="none" w:sz="0" w:space="0" w:color="auto"/>
                <w:right w:val="none" w:sz="0" w:space="0" w:color="auto"/>
              </w:divBdr>
              <w:divsChild>
                <w:div w:id="10280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858060">
      <w:bodyDiv w:val="1"/>
      <w:marLeft w:val="0"/>
      <w:marRight w:val="0"/>
      <w:marTop w:val="0"/>
      <w:marBottom w:val="0"/>
      <w:divBdr>
        <w:top w:val="none" w:sz="0" w:space="0" w:color="auto"/>
        <w:left w:val="none" w:sz="0" w:space="0" w:color="auto"/>
        <w:bottom w:val="none" w:sz="0" w:space="0" w:color="auto"/>
        <w:right w:val="none" w:sz="0" w:space="0" w:color="auto"/>
      </w:divBdr>
    </w:div>
    <w:div w:id="1897812236">
      <w:bodyDiv w:val="1"/>
      <w:marLeft w:val="0"/>
      <w:marRight w:val="0"/>
      <w:marTop w:val="0"/>
      <w:marBottom w:val="0"/>
      <w:divBdr>
        <w:top w:val="none" w:sz="0" w:space="0" w:color="auto"/>
        <w:left w:val="none" w:sz="0" w:space="0" w:color="auto"/>
        <w:bottom w:val="none" w:sz="0" w:space="0" w:color="auto"/>
        <w:right w:val="none" w:sz="0" w:space="0" w:color="auto"/>
      </w:divBdr>
    </w:div>
    <w:div w:id="1940992253">
      <w:bodyDiv w:val="1"/>
      <w:marLeft w:val="0"/>
      <w:marRight w:val="0"/>
      <w:marTop w:val="0"/>
      <w:marBottom w:val="0"/>
      <w:divBdr>
        <w:top w:val="none" w:sz="0" w:space="0" w:color="auto"/>
        <w:left w:val="none" w:sz="0" w:space="0" w:color="auto"/>
        <w:bottom w:val="none" w:sz="0" w:space="0" w:color="auto"/>
        <w:right w:val="none" w:sz="0" w:space="0" w:color="auto"/>
      </w:divBdr>
      <w:divsChild>
        <w:div w:id="855189026">
          <w:marLeft w:val="0"/>
          <w:marRight w:val="0"/>
          <w:marTop w:val="240"/>
          <w:marBottom w:val="240"/>
          <w:divBdr>
            <w:top w:val="none" w:sz="0" w:space="0" w:color="auto"/>
            <w:left w:val="none" w:sz="0" w:space="0" w:color="auto"/>
            <w:bottom w:val="none" w:sz="0" w:space="0" w:color="auto"/>
            <w:right w:val="none" w:sz="0" w:space="0" w:color="auto"/>
          </w:divBdr>
          <w:divsChild>
            <w:div w:id="1574506905">
              <w:marLeft w:val="-225"/>
              <w:marRight w:val="-225"/>
              <w:marTop w:val="0"/>
              <w:marBottom w:val="0"/>
              <w:divBdr>
                <w:top w:val="none" w:sz="0" w:space="0" w:color="auto"/>
                <w:left w:val="none" w:sz="0" w:space="0" w:color="auto"/>
                <w:bottom w:val="none" w:sz="0" w:space="0" w:color="auto"/>
                <w:right w:val="none" w:sz="0" w:space="0" w:color="auto"/>
              </w:divBdr>
              <w:divsChild>
                <w:div w:id="16185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568181">
      <w:bodyDiv w:val="1"/>
      <w:marLeft w:val="0"/>
      <w:marRight w:val="0"/>
      <w:marTop w:val="0"/>
      <w:marBottom w:val="0"/>
      <w:divBdr>
        <w:top w:val="none" w:sz="0" w:space="0" w:color="auto"/>
        <w:left w:val="none" w:sz="0" w:space="0" w:color="auto"/>
        <w:bottom w:val="none" w:sz="0" w:space="0" w:color="auto"/>
        <w:right w:val="none" w:sz="0" w:space="0" w:color="auto"/>
      </w:divBdr>
      <w:divsChild>
        <w:div w:id="389114187">
          <w:marLeft w:val="0"/>
          <w:marRight w:val="0"/>
          <w:marTop w:val="240"/>
          <w:marBottom w:val="240"/>
          <w:divBdr>
            <w:top w:val="none" w:sz="0" w:space="0" w:color="auto"/>
            <w:left w:val="none" w:sz="0" w:space="0" w:color="auto"/>
            <w:bottom w:val="none" w:sz="0" w:space="0" w:color="auto"/>
            <w:right w:val="none" w:sz="0" w:space="0" w:color="auto"/>
          </w:divBdr>
          <w:divsChild>
            <w:div w:id="1271013118">
              <w:marLeft w:val="-225"/>
              <w:marRight w:val="-225"/>
              <w:marTop w:val="0"/>
              <w:marBottom w:val="0"/>
              <w:divBdr>
                <w:top w:val="none" w:sz="0" w:space="0" w:color="auto"/>
                <w:left w:val="none" w:sz="0" w:space="0" w:color="auto"/>
                <w:bottom w:val="none" w:sz="0" w:space="0" w:color="auto"/>
                <w:right w:val="none" w:sz="0" w:space="0" w:color="auto"/>
              </w:divBdr>
              <w:divsChild>
                <w:div w:id="8069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13</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14</cp:revision>
  <dcterms:created xsi:type="dcterms:W3CDTF">2020-06-07T00:25:00Z</dcterms:created>
  <dcterms:modified xsi:type="dcterms:W3CDTF">2020-08-16T03:55:00Z</dcterms:modified>
</cp:coreProperties>
</file>