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7C9AF"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08F11F03" w14:textId="77777777" w:rsidR="008B348F" w:rsidRPr="008B348F" w:rsidRDefault="008B348F" w:rsidP="008B348F">
      <w:pPr>
        <w:jc w:val="center"/>
        <w:rPr>
          <w:b/>
        </w:rPr>
      </w:pPr>
    </w:p>
    <w:p w14:paraId="253F60CD" w14:textId="77777777" w:rsidR="008B348F" w:rsidRPr="008B348F" w:rsidRDefault="008B348F" w:rsidP="008B348F">
      <w:pPr>
        <w:jc w:val="center"/>
        <w:rPr>
          <w:b/>
        </w:rPr>
      </w:pPr>
      <w:r w:rsidRPr="008B348F">
        <w:rPr>
          <w:b/>
        </w:rPr>
        <w:t xml:space="preserve">Byron C. Jaeger, Shakia T. Hardy, Paul Muntner, Paul Whelton </w:t>
      </w:r>
    </w:p>
    <w:p w14:paraId="0B71607B" w14:textId="77777777" w:rsidR="008B348F" w:rsidRPr="008B348F" w:rsidRDefault="008B348F" w:rsidP="008B348F">
      <w:pPr>
        <w:rPr>
          <w:b/>
        </w:rPr>
      </w:pPr>
      <w:r w:rsidRPr="008B348F">
        <w:rPr>
          <w:b/>
        </w:rPr>
        <w:br w:type="page"/>
      </w:r>
    </w:p>
    <w:p w14:paraId="178F1784" w14:textId="77777777" w:rsidR="008B348F" w:rsidRPr="008B348F" w:rsidRDefault="008B348F" w:rsidP="008B348F">
      <w:pPr>
        <w:rPr>
          <w:b/>
        </w:rPr>
      </w:pPr>
    </w:p>
    <w:p w14:paraId="6785EBB5" w14:textId="77777777" w:rsidR="008B348F" w:rsidRPr="008B348F" w:rsidRDefault="008B348F" w:rsidP="008B348F">
      <w:pPr>
        <w:rPr>
          <w:b/>
        </w:rPr>
      </w:pPr>
      <w:r w:rsidRPr="008B348F">
        <w:rPr>
          <w:b/>
        </w:rPr>
        <w:t xml:space="preserve">Main idea: </w:t>
      </w:r>
    </w:p>
    <w:p w14:paraId="17B066E8"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14:paraId="65689830" w14:textId="77777777" w:rsidR="00B776BE" w:rsidRDefault="00792D29" w:rsidP="00792D29">
      <w:r w:rsidRPr="00792D29">
        <w:t>* For adults aged ≥65 years DBP is not used.</w:t>
      </w:r>
    </w:p>
    <w:p w14:paraId="78A35555" w14:textId="77777777" w:rsidR="00B776BE" w:rsidRDefault="00B776BE">
      <w:r>
        <w:br w:type="page"/>
      </w:r>
    </w:p>
    <w:p w14:paraId="2D0D8D4C" w14:textId="77777777" w:rsidR="00B776BE" w:rsidRPr="00B776BE" w:rsidRDefault="00B776BE" w:rsidP="00280E5D">
      <w:pPr>
        <w:spacing w:line="480" w:lineRule="auto"/>
        <w:rPr>
          <w:b/>
        </w:rPr>
      </w:pPr>
      <w:r w:rsidRPr="00B776BE">
        <w:rPr>
          <w:b/>
        </w:rPr>
        <w:lastRenderedPageBreak/>
        <w:t>METHODS</w:t>
      </w:r>
    </w:p>
    <w:p w14:paraId="7BF27A57" w14:textId="71DD216C"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 xml:space="preserve">For the current analysis, three cycles conducted </w:t>
      </w:r>
      <w:r w:rsidR="002C563D">
        <w:t xml:space="preserve">in </w:t>
      </w:r>
      <w:r w:rsidR="00B61055">
        <w:t>2013-2014</w:t>
      </w:r>
      <w:r w:rsidR="002C563D">
        <w:t>, 2015-2016 and</w:t>
      </w:r>
      <w:r w:rsidR="00B61055">
        <w:t xml:space="preserve">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14:paraId="204C64BA" w14:textId="77777777" w:rsidR="008B57E3" w:rsidRDefault="008B57E3" w:rsidP="00280E5D">
      <w:pPr>
        <w:spacing w:line="480" w:lineRule="auto"/>
      </w:pPr>
    </w:p>
    <w:p w14:paraId="2DC0F6A2" w14:textId="21D4D596" w:rsidR="00A46343" w:rsidRDefault="00A46343" w:rsidP="00280E5D">
      <w:pPr>
        <w:spacing w:line="480" w:lineRule="auto"/>
      </w:pPr>
      <w:r>
        <w:t xml:space="preserve">The current analysis </w:t>
      </w:r>
      <w:r w:rsidR="00253657">
        <w:t>was restricted to adults aged 40 to 79 years of age who complete the NHANES interview and examination (n = 9,937).</w:t>
      </w:r>
      <w:r w:rsidR="001E4935">
        <w:t xml:space="preserve"> </w:t>
      </w:r>
      <w:r w:rsidR="001E4935">
        <w:t xml:space="preserve">Participants with age &lt;40 or &gt;79 were not included because the ASCVD risk prediction equation recommended by the ACC/AHA BP guideline is not recommended in these age ranges. </w:t>
      </w:r>
      <w:r w:rsidR="00253657">
        <w:t>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14:paraId="5EC26E21" w14:textId="77777777" w:rsidR="006124A0" w:rsidRDefault="006124A0" w:rsidP="00280E5D">
      <w:pPr>
        <w:spacing w:line="480" w:lineRule="auto"/>
      </w:pPr>
    </w:p>
    <w:p w14:paraId="6407DA8D" w14:textId="77777777" w:rsidR="00A46343" w:rsidRPr="00280E5D" w:rsidRDefault="00280E5D" w:rsidP="00280E5D">
      <w:pPr>
        <w:spacing w:line="480" w:lineRule="auto"/>
        <w:rPr>
          <w:b/>
          <w:i/>
        </w:rPr>
      </w:pPr>
      <w:r w:rsidRPr="00280E5D">
        <w:rPr>
          <w:b/>
          <w:i/>
        </w:rPr>
        <w:t>Data collection</w:t>
      </w:r>
    </w:p>
    <w:p w14:paraId="1C584903" w14:textId="689DABB4" w:rsidR="00C24C8A" w:rsidRDefault="00280E5D" w:rsidP="00280E5D">
      <w:pPr>
        <w:spacing w:line="480" w:lineRule="auto"/>
      </w:pPr>
      <w:r>
        <w:lastRenderedPageBreak/>
        <w:t xml:space="preserve">Data were </w:t>
      </w:r>
      <w:r w:rsidR="00AE79AD">
        <w:t>collected</w:t>
      </w:r>
      <w:r>
        <w:t xml:space="preserve"> during an in-home interview and a study visit completed at a mobile examination center. </w:t>
      </w:r>
      <w:r w:rsidR="002C563D">
        <w:t>Standardized questionnaires were used to assess s</w:t>
      </w:r>
      <w:r w:rsidR="00C24C8A">
        <w:t>urvey participants’ age, sex, race/ethnicity,</w:t>
      </w:r>
      <w:r w:rsidR="002C563D">
        <w:t xml:space="preserve"> smoking habits, medical history and use of</w:t>
      </w:r>
      <w:r w:rsidR="00C24C8A">
        <w:t xml:space="preserve"> </w:t>
      </w:r>
      <w:r w:rsidR="00C41907">
        <w:t xml:space="preserve">antihypertensive medication, oral glucose lowering medication </w:t>
      </w:r>
      <w:r w:rsidR="002C563D">
        <w:t xml:space="preserve">and </w:t>
      </w:r>
      <w:r w:rsidR="00C41907">
        <w:t>insulin</w:t>
      </w:r>
      <w:r w:rsidR="00C24C8A">
        <w:t>.</w:t>
      </w:r>
      <w:r w:rsidR="00C752E3">
        <w:t xml:space="preserve"> </w:t>
      </w:r>
      <w:r w:rsidR="00BB1026">
        <w:t>Medical history included questions about whether the participant had been told by a doctor</w:t>
      </w:r>
      <w:r w:rsidR="00C41907">
        <w:t xml:space="preserve"> or other health professional</w:t>
      </w:r>
      <w:r w:rsidR="00BB1026">
        <w:t xml:space="preserve"> that they had</w:t>
      </w:r>
      <w:r w:rsidR="00C752E3">
        <w:t xml:space="preserve"> </w:t>
      </w:r>
      <w:r w:rsidR="00AE79AD">
        <w:t xml:space="preserve">a </w:t>
      </w:r>
      <w:r w:rsidR="00BB1026" w:rsidRPr="00BB1026">
        <w:t>heart attack,</w:t>
      </w:r>
      <w:r w:rsidR="00BB1026">
        <w:t xml:space="preserve"> </w:t>
      </w:r>
      <w:r w:rsidR="00BB1026" w:rsidRPr="00BB1026">
        <w:t>coronary heart disease</w:t>
      </w:r>
      <w:r w:rsidR="002C563D" w:rsidRPr="002C563D">
        <w:t xml:space="preserve"> </w:t>
      </w:r>
      <w:r w:rsidR="002C563D">
        <w:t>s</w:t>
      </w:r>
      <w:r w:rsidR="002C563D" w:rsidRPr="00BB1026">
        <w:t>troke,</w:t>
      </w:r>
      <w:r w:rsidR="002C563D">
        <w:t xml:space="preserve"> or heart failure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AE0275">
        <w:t xml:space="preserve"> for participants without a history of CVD</w:t>
      </w:r>
      <w:r w:rsidR="00466B4A" w:rsidRPr="00466B4A">
        <w:t>.</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r w:rsidR="00AE0275">
        <w:t xml:space="preserve"> Participants with a history of CVD were presumed to have 10-year risk for ASCVD </w:t>
      </w:r>
      <w:r w:rsidR="00AE0275">
        <w:rPr>
          <w:rFonts w:cstheme="minorHAnsi"/>
        </w:rPr>
        <w:t>≥</w:t>
      </w:r>
      <w:r w:rsidR="00AE0275">
        <w:t xml:space="preserve">10%. </w:t>
      </w:r>
    </w:p>
    <w:p w14:paraId="01F5C040" w14:textId="77777777" w:rsidR="006124A0" w:rsidRDefault="006124A0" w:rsidP="00280E5D">
      <w:pPr>
        <w:spacing w:line="480" w:lineRule="auto"/>
      </w:pPr>
    </w:p>
    <w:p w14:paraId="4BDD07A7" w14:textId="77777777" w:rsidR="00BB1026" w:rsidRDefault="00BB1026" w:rsidP="00280E5D">
      <w:pPr>
        <w:spacing w:line="480" w:lineRule="auto"/>
      </w:pPr>
      <w:r>
        <w:rPr>
          <w:b/>
          <w:i/>
        </w:rPr>
        <w:t xml:space="preserve">Blood pressure measurement </w:t>
      </w:r>
    </w:p>
    <w:p w14:paraId="797B788B" w14:textId="77777777"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14:paraId="0D67614B" w14:textId="77777777" w:rsidR="006124A0" w:rsidRDefault="006124A0" w:rsidP="00226778">
      <w:pPr>
        <w:spacing w:line="480" w:lineRule="auto"/>
      </w:pPr>
    </w:p>
    <w:p w14:paraId="520C44B9" w14:textId="77777777"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14:paraId="3BB55C2D" w14:textId="72055E1A" w:rsidR="00DD7C6A" w:rsidRDefault="0086333A" w:rsidP="00C752E3">
      <w:pPr>
        <w:spacing w:line="480" w:lineRule="auto"/>
      </w:pPr>
      <w:r>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and/or DBP between </w:t>
      </w:r>
      <w:r w:rsidR="00F879BC">
        <w:t>80</w:t>
      </w:r>
      <w:r w:rsidR="001E56B2">
        <w:t xml:space="preserve"> and </w:t>
      </w:r>
      <w:r w:rsidR="00F879BC">
        <w:t>89 mm Hg</w:t>
      </w:r>
      <w:r w:rsidR="001E56B2">
        <w:t xml:space="preserve"> with SBP &lt; 140 mm Hg</w:t>
      </w:r>
      <w:r w:rsidR="007B665D">
        <w:t xml:space="preserve"> and DBP &lt; 90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14:paraId="379E0490" w14:textId="77777777" w:rsidR="006124A0" w:rsidRDefault="006124A0" w:rsidP="00C752E3">
      <w:pPr>
        <w:spacing w:line="480" w:lineRule="auto"/>
      </w:pPr>
    </w:p>
    <w:p w14:paraId="4421D676" w14:textId="77777777" w:rsidR="00D12B3B" w:rsidRDefault="00D12B3B" w:rsidP="00C752E3">
      <w:pPr>
        <w:spacing w:line="480" w:lineRule="auto"/>
      </w:pPr>
      <w:r>
        <w:rPr>
          <w:b/>
          <w:i/>
        </w:rPr>
        <w:t>Statistical analysis</w:t>
      </w:r>
    </w:p>
    <w:p w14:paraId="612D5803" w14:textId="5B3556B6" w:rsidR="00D12B3B" w:rsidRDefault="00057C17" w:rsidP="00C752E3">
      <w:pPr>
        <w:spacing w:line="480" w:lineRule="auto"/>
      </w:pPr>
      <w:commentRangeStart w:id="0"/>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commentRangeEnd w:id="0"/>
      <w:r w:rsidR="007B665D">
        <w:rPr>
          <w:rStyle w:val="CommentReference"/>
        </w:rPr>
        <w:commentReference w:id="0"/>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AE0275">
        <w:t xml:space="preserve">To assess the extent to which participants </w:t>
      </w:r>
      <w:r w:rsidR="000733B7">
        <w:t xml:space="preserve">with a 10-year </w:t>
      </w:r>
      <w:r w:rsidR="004F6CF4">
        <w:t xml:space="preserve">predicted </w:t>
      </w:r>
      <w:r w:rsidR="000733B7">
        <w:t xml:space="preserve">ASCVD </w:t>
      </w:r>
      <w:r w:rsidR="004F6CF4">
        <w:t>risk &lt; 10%</w:t>
      </w:r>
      <w:r w:rsidR="00AE0275">
        <w:t xml:space="preserve"> were ‘borderline’ cases (i.e., predicted ASCVD risk of 5% to &lt;10% or 7.5% to &lt;10%), </w:t>
      </w:r>
      <w:r w:rsidR="004F6CF4">
        <w:t>the</w:t>
      </w:r>
      <w:r w:rsidR="00AE0275">
        <w:t xml:space="preserve"> distribution of predicted risk among participants with predicted risk &lt;10% was estimated and the </w:t>
      </w:r>
      <w:r w:rsidR="004F6CF4">
        <w:t xml:space="preserve">percentage with predicted risk of 0% to &lt;2.5%, 2.5% to &lt;5.0%, 5.0% to &lt;7.5%,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14:paraId="2396618E" w14:textId="77777777" w:rsidR="00057C17" w:rsidRDefault="00F879BC" w:rsidP="00F879BC">
      <w:pPr>
        <w:spacing w:line="480" w:lineRule="auto"/>
      </w:pPr>
      <w:r w:rsidRPr="00F879BC">
        <w:lastRenderedPageBreak/>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14:paraId="5B293EBB" w14:textId="77777777" w:rsidR="00E06E87" w:rsidRPr="00D12B3B" w:rsidRDefault="00E06E87" w:rsidP="00F879BC">
      <w:pPr>
        <w:spacing w:line="480" w:lineRule="auto"/>
      </w:pPr>
    </w:p>
    <w:p w14:paraId="585863F9" w14:textId="77777777" w:rsidR="00DE127A" w:rsidRPr="00C70D2C" w:rsidRDefault="00B776BE" w:rsidP="0002670A">
      <w:pPr>
        <w:spacing w:line="480" w:lineRule="auto"/>
        <w:rPr>
          <w:b/>
        </w:rPr>
      </w:pPr>
      <w:r w:rsidRPr="00B776BE">
        <w:rPr>
          <w:b/>
        </w:rPr>
        <w:t>RESULTS</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who were 40 to 79 years of age in 2013-2018, the estimated prevalence (95% confidence interval [CI]) of diabetes and CKD was 17.2% (16.0, 18.5) and 14.1% (13.0, 15.2), respectively, and the estimated proportion (95% CI) of adults aged &gt;=65 years was 25.4% (23.7, 27.1) (Table 1). Overall, an estimated 14.6% (95% CI: 13.3, 16.1) of US adults who were 40 to 79 years of age had stage 1 hypertension (Table 2). Among those with diabetes, CKD, and age &gt;=65 years, the estimated prevalence (95% CI) of stage 1 hypertension was 10.5% (8.5, 12.9), 9.5% (7.6, 11.7), and 9.1% (7.6, 10.9), respectively. Characteristics of US adults with stage 1 hypertension, overall, and with diabetes, CKD and age &gt;=65 years are presented in Table S1</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true"/>
          <w:b w:val="true"/>
          <w:u w:val="none"/>
          <w:sz w:val="22"/>
          <w:szCs w:val="22"/>
          <w:color w:val="000000"/>
        </w:rPr>
        <w:t xml:space="preserve">Predicted 10-year risk for atherosclerotic cardiovascular disease
</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without a history of CVD, the estimated median (25th, 75th percentiles) 10-year predicted risk for ASCVD was 5.1% (1.9, 11.4) overall and 14.4% (7.0, 27.3), 12.1% (4.8, 22.8), and 17.9% (11.2, 27.3) among those with diabetes, CKD, and age &gt;=65 years, respectively (Table 3; top panel). Among US adults with stage 1 hypertension and no history of CVD, the estimated median (25th, 75th percentiles) 10-year predicted risk for ASCVD was 4.2% (1.9, 8.5). Within this subgroup of adults with stage 1 hypertension, those with diabetes and CKD each had median predicted risks &lt;10% [medians (25th, 75th percentiles) of 8.9% (4.5, 19.3) and 6.8% (2.6, 12.3), respectively] while adults aged &gt;=65 years had a median (25th, 75th percentiles) predicted risk of 13.8% (8.6, 22.3). Among all US adults with stage 1 hypertension, an estimated 55.0% (95% CI: 43.2, 66.3) of those with diabetes, 38.5% (95% CI: 27.8, 50.4) of those with CKD and 72.6% (95% CI: 62.0, 81.1) who were &gt;=65 years of age had a 10-year predicted risk for ASCVD &gt;=10% or a history of CVD (Table 3; bottom panel).</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with predicted 10-year predicted ASCVD risk &lt;10% and no history of CVD, an estimated 69.4% (95% CI: 67.5, 71.3) had a 10-year predicted ASCVD risk &lt;5% (Figure 1). Also, among this subgroup of adults, 47.7%, 95% CI 41.0, 54.5, 55.9%, 95% CI 49.6, 62.0 and 13.2%, 95% CI 8.4, 20.1 of those with diabetes, CKD and age &gt;=65 years had a 10-year predicted ASCVD risk &lt;5% . The distributions of 10-year predicted ASCVD risk among this subgroup of US adults are presented in Figure S2. For these US adults, 53.6%, 95% CI 35.6, 70.6 of those with diabetes and 55.8%, 95% CI 40.5, 70.0 of those with CKD had a 10-year predicted ASCVD risk &lt;5%,  compared with 7.4%, 95% CI 1.1, 35.8 of those aged &gt;=65 years of age.</w:t>
      </w:r>
    </w:p>
    <w:p w14:paraId="3D14B4BF" w14:textId="776557DA" w:rsidR="002E4201" w:rsidRDefault="002E4201" w:rsidP="00280E5D">
      <w:pPr>
        <w:spacing w:line="480" w:lineRule="auto"/>
      </w:pPr>
    </w:p>
    <w:p w14:paraId="5E66D462" w14:textId="77777777" w:rsidR="00B776BE" w:rsidRDefault="00B776BE" w:rsidP="00280E5D">
      <w:pPr>
        <w:spacing w:line="480" w:lineRule="auto"/>
        <w:rPr>
          <w:b/>
        </w:rPr>
      </w:pPr>
      <w:r w:rsidRPr="00B776BE">
        <w:rPr>
          <w:b/>
        </w:rPr>
        <w:t>DISCUSSION</w:t>
      </w:r>
    </w:p>
    <w:p w14:paraId="29EE9B01" w14:textId="77777777" w:rsidR="00F27A7D" w:rsidRPr="00F27A7D" w:rsidRDefault="00F27A7D" w:rsidP="00280E5D">
      <w:pPr>
        <w:spacing w:line="480" w:lineRule="auto"/>
      </w:pPr>
      <w:r w:rsidRPr="00F27A7D">
        <w:t>&lt;To be written after results are finalized&gt;</w:t>
      </w:r>
    </w:p>
    <w:p w14:paraId="41BD4251" w14:textId="77777777" w:rsidR="00263DE1" w:rsidRDefault="00DF57DD" w:rsidP="007C4DC1">
      <w:pPr>
        <w:rPr>
          <w:b/>
        </w:rPr>
      </w:pPr>
      <w:r w:rsidRPr="00DF57DD">
        <w:rPr>
          <w:b/>
        </w:rPr>
        <w:t>REFERENCES</w:t>
      </w:r>
    </w:p>
    <w:p w14:paraId="14A5E5CF" w14:textId="77777777"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14:paraId="3B6DFB82" w14:textId="77777777"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14:paraId="055684BE" w14:textId="77777777"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14:paraId="632F30AF" w14:textId="77777777"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14:paraId="246B843D" w14:textId="77777777" w:rsidR="008515F0" w:rsidRDefault="00DF57DD" w:rsidP="00344CD1">
      <w:pPr>
        <w:pStyle w:val="Bibliography"/>
      </w:pPr>
      <w:r>
        <w:rPr>
          <w:b/>
        </w:rPr>
        <w:fldChar w:fldCharType="end"/>
      </w:r>
    </w:p>
    <w:p w14:paraId="4BBCE9C2" w14:textId="77777777" w:rsidR="000A6E2A" w:rsidRDefault="000A6E2A">
      <w:bookmarkStart w:id="1" w:name="_GoBack"/>
      <w:bookmarkEnd w:id="1"/>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Characteristics of US adults overall and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Estimated distribution of blood pressure categories among US adults, overall and for subgroups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Estimated distribution of 10-year predicted atherosclerotic cardiovascular disease risk among US adults with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76200" cy="95250"/>
                    </a:xfrm>
                    <a:prstGeom prst="rect">
                      <a:avLst/>
                    </a:prstGeom>
                    <a:noFill/>
                  </pic:spPr>
                </pic:pic>
              </a:graphicData>
            </a:graphic>
          </wp:inline>
        </w:drawing>
      </w:r>
      <w:r>
        <w:rPr/>
        <w:drawing>
          <wp:inline distT="0" distB="0" distL="0" distR="0">
            <wp:extent cx="2160000" cy="27000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30000" cy="37500"/>
                    </a:xfrm>
                    <a:prstGeom prst="rect">
                      <a:avLst/>
                    </a:prstGeom>
                    <a:noFill/>
                  </pic:spPr>
                </pic:pic>
              </a:graphicData>
            </a:graphic>
          </wp:inline>
        </w:drawing>
      </w:r>
      <w:r>
        <w:rPr/>
        <w:drawing>
          <wp:inline distT="0" distB="0" distL="0" distR="0">
            <wp:extent cx="216000" cy="270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3000" cy="37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Estimated Probability of ten-year predicted risk for atherosclerotic cardiovascular disease ≥ 10% by age for US adults with diabetes, with chronic kidney disease, and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76200" cy="82550"/>
                    </a:xfrm>
                    <a:prstGeom prst="rect">
                      <a:avLst/>
                    </a:prstGeom>
                    <a:noFill/>
                  </pic:spPr>
                </pic:pic>
              </a:graphicData>
            </a:graphic>
          </wp:inline>
        </w:drawing>
      </w:r>
      <w:r>
        <w:rPr/>
        <w:drawing>
          <wp:inline distT="0" distB="0" distL="0" distR="0">
            <wp:extent cx="2160000" cy="23400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30000" cy="32500"/>
                    </a:xfrm>
                    <a:prstGeom prst="rect">
                      <a:avLst/>
                    </a:prstGeom>
                    <a:noFill/>
                  </pic:spPr>
                </pic:pic>
              </a:graphicData>
            </a:graphic>
          </wp:inline>
        </w:drawing>
      </w:r>
      <w:r>
        <w:rPr/>
        <w:drawing>
          <wp:inline distT="0" distB="0" distL="0" distR="0">
            <wp:extent cx="216000" cy="2340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3000" cy="3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er"/>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Characteristics of US adults with stage 1 hypertension, overall and with diabetes, chronic kidney disease, ≥ 65 years of age, or any of the three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Flowchart showing the number of NHANES participants included in the current analyses.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01169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76200" cy="55718"/>
                    </a:xfrm>
                    <a:prstGeom prst="rect">
                      <a:avLst/>
                    </a:prstGeom>
                    <a:noFill/>
                  </pic:spPr>
                </pic:pic>
              </a:graphicData>
            </a:graphic>
          </wp:inline>
        </w:drawing>
      </w:r>
      <w:r>
        <w:rPr/>
        <w:drawing>
          <wp:inline distT="0" distB="0" distL="0" distR="0">
            <wp:extent cx="2160000" cy="1579406"/>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30000" cy="21936"/>
                    </a:xfrm>
                    <a:prstGeom prst="rect">
                      <a:avLst/>
                    </a:prstGeom>
                    <a:noFill/>
                  </pic:spPr>
                </pic:pic>
              </a:graphicData>
            </a:graphic>
          </wp:inline>
        </w:drawing>
      </w:r>
      <w:r>
        <w:rPr/>
        <w:drawing>
          <wp:inline distT="0" distB="0" distL="0" distR="0">
            <wp:extent cx="216000" cy="157941"/>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a:srcRect/>
                    <a:stretch>
                      <a:fillRect/>
                    </a:stretch>
                  </pic:blipFill>
                  <pic:spPr bwMode="auto">
                    <a:xfrm>
                      <a:off x="0" y="0"/>
                      <a:ext cx="3000" cy="2194"/>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BP: blood pressure; NHANES: National Health and Nutrition Examination Survey.
* The Completed NHANES interview and exam cells include number with the response rate in parentheses.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S2: Estimated distribution of 10-year predicted cardiovascular risk among US adults with stage 1 hypertension and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6"/>
                    <a:srcRect/>
                    <a:stretch>
                      <a:fillRect/>
                    </a:stretch>
                  </pic:blipFill>
                  <pic:spPr bwMode="auto">
                    <a:xfrm>
                      <a:off x="0" y="0"/>
                      <a:ext cx="76200" cy="95250"/>
                    </a:xfrm>
                    <a:prstGeom prst="rect">
                      <a:avLst/>
                    </a:prstGeom>
                    <a:noFill/>
                  </pic:spPr>
                </pic:pic>
              </a:graphicData>
            </a:graphic>
          </wp:inline>
        </w:drawing>
      </w:r>
      <w:r>
        <w:rPr/>
        <w:drawing>
          <wp:inline distT="0" distB="0" distL="0" distR="0">
            <wp:extent cx="2160000" cy="27000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30000" cy="37500"/>
                    </a:xfrm>
                    <a:prstGeom prst="rect">
                      <a:avLst/>
                    </a:prstGeom>
                    <a:noFill/>
                  </pic:spPr>
                </pic:pic>
              </a:graphicData>
            </a:graphic>
          </wp:inline>
        </w:drawing>
      </w:r>
      <w:r>
        <w:rPr/>
        <w:drawing>
          <wp:inline distT="0" distB="0" distL="0" distR="0">
            <wp:extent cx="216000" cy="2700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6"/>
                    <a:srcRect/>
                    <a:stretch>
                      <a:fillRect/>
                    </a:stretch>
                  </pic:blipFill>
                  <pic:spPr bwMode="auto">
                    <a:xfrm>
                      <a:off x="0" y="0"/>
                      <a:ext cx="3000" cy="37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S3: Estimated Probability of ten-year predicted risk for atherosclerotic cardiovascular disease ≥ 10% by age among US adults with stage 1 hypertension and diabetes, chronic kidney disease, and with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7"/>
                    <a:srcRect/>
                    <a:stretch>
                      <a:fillRect/>
                    </a:stretch>
                  </pic:blipFill>
                  <pic:spPr bwMode="auto">
                    <a:xfrm>
                      <a:off x="0" y="0"/>
                      <a:ext cx="76200" cy="82550"/>
                    </a:xfrm>
                    <a:prstGeom prst="rect">
                      <a:avLst/>
                    </a:prstGeom>
                    <a:noFill/>
                  </pic:spPr>
                </pic:pic>
              </a:graphicData>
            </a:graphic>
          </wp:inline>
        </w:drawing>
      </w:r>
      <w:r>
        <w:rPr/>
        <w:drawing>
          <wp:inline distT="0" distB="0" distL="0" distR="0">
            <wp:extent cx="2160000" cy="23400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7"/>
                    <a:srcRect/>
                    <a:stretch>
                      <a:fillRect/>
                    </a:stretch>
                  </pic:blipFill>
                  <pic:spPr bwMode="auto">
                    <a:xfrm>
                      <a:off x="0" y="0"/>
                      <a:ext cx="30000" cy="32500"/>
                    </a:xfrm>
                    <a:prstGeom prst="rect">
                      <a:avLst/>
                    </a:prstGeom>
                    <a:noFill/>
                  </pic:spPr>
                </pic:pic>
              </a:graphicData>
            </a:graphic>
          </wp:inline>
        </w:drawing>
      </w:r>
      <w:r>
        <w:rPr/>
        <w:drawing>
          <wp:inline distT="0" distB="0" distL="0" distR="0">
            <wp:extent cx="216000" cy="2340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7"/>
                    <a:srcRect/>
                    <a:stretch>
                      <a:fillRect/>
                    </a:stretch>
                  </pic:blipFill>
                  <pic:spPr bwMode="auto">
                    <a:xfrm>
                      <a:off x="0" y="0"/>
                      <a:ext cx="3000" cy="3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atherosclerotic cardiovascular disease ≥ 10%.</w:t>
      </w:r>
    </w:p>
    <w:sectPr w:rsidR="000A6E2A" w:rsidSect="007B6C21">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8-31T21:48:00Z" w:initials="MPM">
    <w:p w14:paraId="1A18DDA7" w14:textId="77777777" w:rsidR="001E4935" w:rsidRDefault="001E4935">
      <w:pPr>
        <w:pStyle w:val="CommentText"/>
      </w:pPr>
      <w:r>
        <w:rPr>
          <w:rStyle w:val="CommentReference"/>
        </w:rPr>
        <w:annotationRef/>
      </w:r>
      <w:r>
        <w:t>Should we explain why or will this be clear from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8DD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51D23" w14:textId="77777777" w:rsidR="001C5394" w:rsidRDefault="001C5394" w:rsidP="00263DE1">
      <w:pPr>
        <w:spacing w:after="0" w:line="240" w:lineRule="auto"/>
      </w:pPr>
      <w:r>
        <w:separator/>
      </w:r>
    </w:p>
  </w:endnote>
  <w:endnote w:type="continuationSeparator" w:id="0">
    <w:p w14:paraId="6CA7C1D2" w14:textId="77777777" w:rsidR="001C5394" w:rsidRDefault="001C5394"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525149C6" w14:textId="29FB6E92" w:rsidR="001E4935" w:rsidRDefault="001E4935">
        <w:pPr>
          <w:pStyle w:val="Footer"/>
          <w:jc w:val="right"/>
        </w:pPr>
        <w:r>
          <w:fldChar w:fldCharType="begin"/>
        </w:r>
        <w:r>
          <w:instrText xml:space="preserve"> PAGE   \* MERGEFORMAT </w:instrText>
        </w:r>
        <w:r>
          <w:fldChar w:fldCharType="separate"/>
        </w:r>
        <w:r w:rsidR="005D7F95">
          <w:rPr>
            <w:noProof/>
          </w:rPr>
          <w:t>6</w:t>
        </w:r>
        <w:r>
          <w:rPr>
            <w:noProof/>
          </w:rPr>
          <w:fldChar w:fldCharType="end"/>
        </w:r>
      </w:p>
    </w:sdtContent>
  </w:sdt>
  <w:p w14:paraId="138819C2" w14:textId="77777777" w:rsidR="001E4935" w:rsidRDefault="001E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6AC55" w14:textId="77777777" w:rsidR="001C5394" w:rsidRDefault="001C5394" w:rsidP="00263DE1">
      <w:pPr>
        <w:spacing w:after="0" w:line="240" w:lineRule="auto"/>
      </w:pPr>
      <w:r>
        <w:separator/>
      </w:r>
    </w:p>
  </w:footnote>
  <w:footnote w:type="continuationSeparator" w:id="0">
    <w:p w14:paraId="49A7E93B" w14:textId="77777777" w:rsidR="001C5394" w:rsidRDefault="001C5394" w:rsidP="00263D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1C89"/>
    <w:rsid w:val="00006154"/>
    <w:rsid w:val="0002670A"/>
    <w:rsid w:val="00044389"/>
    <w:rsid w:val="000524F5"/>
    <w:rsid w:val="00057C17"/>
    <w:rsid w:val="00070FB1"/>
    <w:rsid w:val="000733B7"/>
    <w:rsid w:val="00081512"/>
    <w:rsid w:val="00084E99"/>
    <w:rsid w:val="000858F9"/>
    <w:rsid w:val="000947F0"/>
    <w:rsid w:val="000A6E2A"/>
    <w:rsid w:val="000B0EC0"/>
    <w:rsid w:val="000D7DFE"/>
    <w:rsid w:val="000F3DEB"/>
    <w:rsid w:val="001219C0"/>
    <w:rsid w:val="0013339F"/>
    <w:rsid w:val="00140D65"/>
    <w:rsid w:val="0016409D"/>
    <w:rsid w:val="0017224C"/>
    <w:rsid w:val="001B099E"/>
    <w:rsid w:val="001B478D"/>
    <w:rsid w:val="001C5394"/>
    <w:rsid w:val="001D0D8E"/>
    <w:rsid w:val="001D3479"/>
    <w:rsid w:val="001D6D86"/>
    <w:rsid w:val="001E4071"/>
    <w:rsid w:val="001E4935"/>
    <w:rsid w:val="001E51E8"/>
    <w:rsid w:val="001E56B2"/>
    <w:rsid w:val="00226778"/>
    <w:rsid w:val="00250ADE"/>
    <w:rsid w:val="00253657"/>
    <w:rsid w:val="00263A46"/>
    <w:rsid w:val="00263DE1"/>
    <w:rsid w:val="00265ACF"/>
    <w:rsid w:val="00277C35"/>
    <w:rsid w:val="00280E5D"/>
    <w:rsid w:val="00293E24"/>
    <w:rsid w:val="002A4987"/>
    <w:rsid w:val="002A5610"/>
    <w:rsid w:val="002B13ED"/>
    <w:rsid w:val="002B7A3B"/>
    <w:rsid w:val="002C563D"/>
    <w:rsid w:val="002E4201"/>
    <w:rsid w:val="002E420E"/>
    <w:rsid w:val="002E7574"/>
    <w:rsid w:val="003004E6"/>
    <w:rsid w:val="00302DEC"/>
    <w:rsid w:val="003449EA"/>
    <w:rsid w:val="00344CD1"/>
    <w:rsid w:val="003539EC"/>
    <w:rsid w:val="003662EB"/>
    <w:rsid w:val="00373E5B"/>
    <w:rsid w:val="003949A5"/>
    <w:rsid w:val="00431CFB"/>
    <w:rsid w:val="00466B4A"/>
    <w:rsid w:val="00480915"/>
    <w:rsid w:val="00485FE6"/>
    <w:rsid w:val="004C5359"/>
    <w:rsid w:val="004F6CF4"/>
    <w:rsid w:val="005072A5"/>
    <w:rsid w:val="00516BF7"/>
    <w:rsid w:val="0052462A"/>
    <w:rsid w:val="005272E7"/>
    <w:rsid w:val="005413C7"/>
    <w:rsid w:val="00584EF3"/>
    <w:rsid w:val="005D7F95"/>
    <w:rsid w:val="005F0DB5"/>
    <w:rsid w:val="006124A0"/>
    <w:rsid w:val="006261D4"/>
    <w:rsid w:val="006378D4"/>
    <w:rsid w:val="006D1301"/>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65D"/>
    <w:rsid w:val="007B6C21"/>
    <w:rsid w:val="007C4DC1"/>
    <w:rsid w:val="00842AFD"/>
    <w:rsid w:val="00843136"/>
    <w:rsid w:val="00846BF3"/>
    <w:rsid w:val="008515F0"/>
    <w:rsid w:val="008544A9"/>
    <w:rsid w:val="0086333A"/>
    <w:rsid w:val="00875B75"/>
    <w:rsid w:val="00896E82"/>
    <w:rsid w:val="008B348F"/>
    <w:rsid w:val="008B57E3"/>
    <w:rsid w:val="008F4F49"/>
    <w:rsid w:val="009524C6"/>
    <w:rsid w:val="009608AA"/>
    <w:rsid w:val="009A6EC7"/>
    <w:rsid w:val="009D5C76"/>
    <w:rsid w:val="009E040E"/>
    <w:rsid w:val="00A31CD3"/>
    <w:rsid w:val="00A36DDA"/>
    <w:rsid w:val="00A46343"/>
    <w:rsid w:val="00A825EF"/>
    <w:rsid w:val="00A91225"/>
    <w:rsid w:val="00A935A7"/>
    <w:rsid w:val="00A942A4"/>
    <w:rsid w:val="00AD44B5"/>
    <w:rsid w:val="00AE027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64587"/>
    <w:rsid w:val="00B6559D"/>
    <w:rsid w:val="00B776BE"/>
    <w:rsid w:val="00B94E46"/>
    <w:rsid w:val="00BA6526"/>
    <w:rsid w:val="00BB1026"/>
    <w:rsid w:val="00BB2787"/>
    <w:rsid w:val="00BC13A4"/>
    <w:rsid w:val="00BC1BAA"/>
    <w:rsid w:val="00BC7685"/>
    <w:rsid w:val="00BD3A6E"/>
    <w:rsid w:val="00BE43D9"/>
    <w:rsid w:val="00BE51C3"/>
    <w:rsid w:val="00C10CC8"/>
    <w:rsid w:val="00C24C8A"/>
    <w:rsid w:val="00C41907"/>
    <w:rsid w:val="00C70D2C"/>
    <w:rsid w:val="00C752E3"/>
    <w:rsid w:val="00C75434"/>
    <w:rsid w:val="00C923F3"/>
    <w:rsid w:val="00CA32BB"/>
    <w:rsid w:val="00CA4DE9"/>
    <w:rsid w:val="00D10D3A"/>
    <w:rsid w:val="00D11746"/>
    <w:rsid w:val="00D11BE4"/>
    <w:rsid w:val="00D12B3B"/>
    <w:rsid w:val="00D226E1"/>
    <w:rsid w:val="00D31F2D"/>
    <w:rsid w:val="00D36D1C"/>
    <w:rsid w:val="00D53778"/>
    <w:rsid w:val="00DC1199"/>
    <w:rsid w:val="00DD7C6A"/>
    <w:rsid w:val="00DE127A"/>
    <w:rsid w:val="00DF57DD"/>
    <w:rsid w:val="00E04C51"/>
    <w:rsid w:val="00E06E87"/>
    <w:rsid w:val="00E079F0"/>
    <w:rsid w:val="00E16453"/>
    <w:rsid w:val="00E34B58"/>
    <w:rsid w:val="00E63E34"/>
    <w:rsid w:val="00E82631"/>
    <w:rsid w:val="00EA3E3B"/>
    <w:rsid w:val="00EA426F"/>
    <w:rsid w:val="00ED208B"/>
    <w:rsid w:val="00ED6B5E"/>
    <w:rsid w:val="00F036EF"/>
    <w:rsid w:val="00F169B9"/>
    <w:rsid w:val="00F255EB"/>
    <w:rsid w:val="00F27A7D"/>
    <w:rsid w:val="00F45F38"/>
    <w:rsid w:val="00F87952"/>
    <w:rsid w:val="00F879BC"/>
    <w:rsid w:val="00F91E3E"/>
    <w:rsid w:val="00F964CC"/>
    <w:rsid w:val="00FA108D"/>
    <w:rsid w:val="00FA1A0D"/>
    <w:rsid w:val="00FB35B7"/>
    <w:rsid w:val="00FC29CB"/>
    <w:rsid w:val="00FE37A4"/>
    <w:rsid w:val="00FE4ED0"/>
    <w:rsid w:val="00F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9E55"/>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 w:type="paragraph" w:styleId="Revision">
    <w:name w:val="Revision"/>
    <w:hidden/>
    <w:uiPriority w:val="99"/>
    <w:semiHidden/>
    <w:rsid w:val="00C92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microsoft.com/office/2011/relationships/commentsExtended" Target="commentsExtended.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microsoft.com/office/2011/relationships/people" Target="people.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 Id="rId13" Type="http://schemas.openxmlformats.org/officeDocument/2006/relationships/image" Target="media/fileaff467635fde.emf"/>
<Relationship Id="rId14" Type="http://schemas.openxmlformats.org/officeDocument/2006/relationships/image" Target="media/fileaff4369259fc.emf"/>
<Relationship Id="rId15" Type="http://schemas.openxmlformats.org/officeDocument/2006/relationships/image" Target="media/fileaff46ffb24c0.png"/>
<Relationship Id="rId16" Type="http://schemas.openxmlformats.org/officeDocument/2006/relationships/image" Target="media/fileaff4f281fac.emf"/>
<Relationship Id="rId17" Type="http://schemas.openxmlformats.org/officeDocument/2006/relationships/image" Target="media/fileaff43115730a.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02FF4-211B-4EBA-900E-944BA8F1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11</cp:revision>
  <dcterms:created xsi:type="dcterms:W3CDTF">2020-09-04T19:51:00Z</dcterms:created>
  <dcterms:modified xsi:type="dcterms:W3CDTF">2020-09-04T18:05:53Z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