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9236" w14:textId="77777777" w:rsidR="00211DBF" w:rsidRDefault="0099545E">
      <w:pPr>
        <w:pStyle w:val="Title"/>
      </w:pPr>
      <w:r>
        <w:t>Long term mortality risk and maximal fitness</w:t>
      </w:r>
    </w:p>
    <w:p w14:paraId="055516F6" w14:textId="77777777" w:rsidR="00FC3AD8" w:rsidRDefault="00FC3AD8">
      <w:pPr>
        <w:pStyle w:val="FirstParagraph"/>
        <w:rPr>
          <w:b/>
          <w:bCs/>
        </w:rPr>
      </w:pPr>
    </w:p>
    <w:p w14:paraId="7A51EE1E" w14:textId="0DF62303" w:rsidR="00211DBF" w:rsidRDefault="0099545E">
      <w:pPr>
        <w:pStyle w:val="FirstParagraph"/>
      </w:pPr>
      <w:r>
        <w:rPr>
          <w:b/>
          <w:bCs/>
        </w:rPr>
        <w:t>Multi-variable adjustment</w:t>
      </w:r>
      <w:r>
        <w:t xml:space="preserve">: </w:t>
      </w:r>
      <w:r w:rsidR="00FC3AD8">
        <w:t xml:space="preserve">Multi-variable adjusted </w:t>
      </w:r>
      <w:r>
        <w:t>estimates are adjusted for CARDIA center, race, sex, education, age, the estimated number of years after Year 0 where paying for basics was somewhat hard, highest degree obtained was high school graduate or general education degree, self reported hea</w:t>
      </w:r>
      <w:r>
        <w:t>lth was fair or poor, the participant reported smoking or drinking alcohol, body mass index was in the obese or overweight range, and self-reported physical activity did not meet guidelines.</w:t>
      </w:r>
    </w:p>
    <w:p w14:paraId="3428E032" w14:textId="77777777" w:rsidR="00211DBF" w:rsidRDefault="0099545E">
      <w:r>
        <w:br w:type="page"/>
      </w:r>
    </w:p>
    <w:p w14:paraId="1F2DBC34" w14:textId="77777777" w:rsidR="00211DBF" w:rsidRDefault="0099545E">
      <w:pPr>
        <w:pStyle w:val="BodyText"/>
      </w:pPr>
      <w:r>
        <w:rPr>
          <w:b/>
          <w:bCs/>
        </w:rPr>
        <w:lastRenderedPageBreak/>
        <w:t>Table</w:t>
      </w:r>
      <w:r>
        <w:t xml:space="preserve"> Inclusion criteria for the current study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</w:tblGrid>
      <w:tr w:rsidR="00211DBF" w14:paraId="175726FA" w14:textId="77777777">
        <w:trPr>
          <w:cantSplit/>
          <w:tblHeader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C8CB" w14:textId="77777777" w:rsidR="00211DBF" w:rsidRDefault="00995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Exclusion criter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ia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EC88" w14:textId="77777777" w:rsidR="00211DBF" w:rsidRDefault="0099545E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Number of participants</w:t>
            </w:r>
          </w:p>
        </w:tc>
      </w:tr>
      <w:tr w:rsidR="00211DBF" w14:paraId="2DD9D8FF" w14:textId="77777777">
        <w:trPr>
          <w:cantSplit/>
          <w:jc w:val="center"/>
        </w:trPr>
        <w:tc>
          <w:tcPr>
            <w:tcW w:w="576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0B2F" w14:textId="77777777" w:rsidR="00211DBF" w:rsidRDefault="00995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CARDIA participants enrolled at Year 0 exam</w:t>
            </w:r>
          </w:p>
        </w:tc>
        <w:tc>
          <w:tcPr>
            <w:tcW w:w="216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ACB0" w14:textId="77777777" w:rsidR="00211DBF" w:rsidRDefault="0099545E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5,114</w:t>
            </w:r>
          </w:p>
        </w:tc>
      </w:tr>
      <w:tr w:rsidR="00211DBF" w14:paraId="74D7E9AD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6842" w14:textId="77777777" w:rsidR="00211DBF" w:rsidRDefault="00995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Completed at least one graded exercise test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799B" w14:textId="77777777" w:rsidR="00211DBF" w:rsidRDefault="0099545E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5,079</w:t>
            </w:r>
          </w:p>
        </w:tc>
      </w:tr>
      <w:tr w:rsidR="00211DBF" w14:paraId="4EAF43EC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7ECC" w14:textId="77777777" w:rsidR="00211DBF" w:rsidRDefault="00995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using beta blockers during graded exercise test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0FC8" w14:textId="77777777" w:rsidR="00211DBF" w:rsidRDefault="0099545E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5,062</w:t>
            </w:r>
          </w:p>
        </w:tc>
      </w:tr>
      <w:tr w:rsidR="00211DBF" w14:paraId="444F3AD3" w14:textId="77777777">
        <w:trPr>
          <w:cantSplit/>
          <w:jc w:val="center"/>
        </w:trPr>
        <w:tc>
          <w:tcPr>
            <w:tcW w:w="57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8D87" w14:textId="77777777" w:rsidR="00211DBF" w:rsidRDefault="00995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Alive and CVD free at Year 20 exam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30E2" w14:textId="77777777" w:rsidR="00211DBF" w:rsidRDefault="0099545E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4,805</w:t>
            </w:r>
          </w:p>
        </w:tc>
      </w:tr>
    </w:tbl>
    <w:p w14:paraId="2E9079A2" w14:textId="77777777" w:rsidR="00211DBF" w:rsidRDefault="0099545E">
      <w:r>
        <w:br w:type="page"/>
      </w:r>
    </w:p>
    <w:p w14:paraId="7797128A" w14:textId="77777777" w:rsidR="00211DBF" w:rsidRDefault="0099545E">
      <w:pPr>
        <w:pStyle w:val="BodyText"/>
      </w:pPr>
      <w:r>
        <w:rPr>
          <w:b/>
          <w:bCs/>
        </w:rPr>
        <w:lastRenderedPageBreak/>
        <w:t>Table</w:t>
      </w:r>
      <w:r>
        <w:t xml:space="preserve"> </w:t>
      </w:r>
      <w:r>
        <w:t>Participant characteristics at the Year 0 Exam.</w:t>
      </w: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20" w:firstRow="1" w:lastRow="0" w:firstColumn="0" w:lastColumn="0" w:noHBand="0" w:noVBand="1"/>
      </w:tblPr>
      <w:tblGrid>
        <w:gridCol w:w="2520"/>
        <w:gridCol w:w="1080"/>
        <w:gridCol w:w="1080"/>
        <w:gridCol w:w="1080"/>
        <w:gridCol w:w="1080"/>
        <w:gridCol w:w="1080"/>
        <w:gridCol w:w="1080"/>
      </w:tblGrid>
      <w:tr w:rsidR="00211DBF" w14:paraId="610E5023" w14:textId="77777777" w:rsidTr="006363D3">
        <w:trPr>
          <w:cantSplit/>
          <w:tblHeader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3E67" w14:textId="77777777" w:rsidR="00211DBF" w:rsidRDefault="0099545E" w:rsidP="006363D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E270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C79D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Females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C594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75B0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Females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DC03F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0C86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11DBF" w14:paraId="2D5C2CE8" w14:textId="77777777" w:rsidTr="006363D3">
        <w:trPr>
          <w:cantSplit/>
        </w:trPr>
        <w:tc>
          <w:tcPr>
            <w:tcW w:w="252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53849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No. of participants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D461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4,781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7176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1,387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9C0F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1,040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C381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1,268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1AAD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1,086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FE8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F2E21C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39746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Testing center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F2DD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EBA5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08E7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7A2F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795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9F4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4C695E2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0DCF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Birmingham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87B1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FB3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A4E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159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2984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964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3D486298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0B726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F018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B426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F750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B6C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8BD1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228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88249EA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3AFC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Minnesota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2A03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A94C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9CAB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1B7A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F42D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4A67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B8ED62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826D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Oakland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896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7282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BA52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A915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7ADB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F6AB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6BFC804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D1C2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DF8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24.8 (3.7)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C5F5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 (3.8)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34F6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24.0 (3.7)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9C30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25.4 (3.4)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B248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25.3 (3.4)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5321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54E43205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920B0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GXT duration, seconds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7D49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581 (183)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421E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 (124)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4EAA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666 (153)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B567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550 (144)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1EB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729 (147)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0ADB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2AB63CB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D80A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 at year 20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C98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32E5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817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4A57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CD45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C09F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9D2B68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3197C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Associate's or more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572F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CA5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B35D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C593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72EA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4B14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07BE29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0637A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Highschool/GED or less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53FB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B691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587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ED9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3B9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6A38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5F5FB9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447A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Difficulty paying for basics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CD2E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51A2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2EC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6F9A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5784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517F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66551C1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25A14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very hard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672E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E64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8196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2D9A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4008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263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6146320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29D54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Somewhat hard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A819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9B8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C844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28A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899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7E1F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A0B2AC4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B8469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9C6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47A7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90B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494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79E6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4E5A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012385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4551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 or co-habitating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4236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EB3E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996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2FC1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E8E4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4CDA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7DF7F16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73B30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6906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DCEF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927E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AAC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0504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5D37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3D46094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41A3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mass index, kg/m2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1F17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 (4.9)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9479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25.7 (6.4)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FC4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24.5 (4.2)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7B42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23.1 (4.3)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7B72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 (3.5)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B263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7D5F7EDF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E1DCA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Self-reported physical activity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AF0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CF89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A5AA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58F2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313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3D6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55CD214D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33004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Meeting guidelines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5DEC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0DA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6905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B77E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391C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CC70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4A8F5F4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702C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meeting guidelines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322B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EBC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CD93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6962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61B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58A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AFDCE9F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07213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Self-reported health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13F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C25D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FED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4939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EC9B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D64B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538A90E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C7331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 or good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F8F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9FCB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813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779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7A61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AA07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02ECF79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4E2A1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 or poor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6FAA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9B88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9A65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ECBB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923B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BD1D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262DBDF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13AB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Alcohol use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889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2AA0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1C2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80BA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7BC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822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2B99FF9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9B01C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Does not drink alcohol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6018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6873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D3E2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AEA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A837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1CED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33E604E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C2F7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Drinks alcohol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375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65C5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0B3D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F46B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803F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4BB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82809DE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6C6C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 status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94E2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78BE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DC8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D558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23D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A7B4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686C21C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F5089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44C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4CA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A8D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529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822B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6D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759E81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83260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3C0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D5D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487E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A19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42C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777C0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F337BE7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90D3F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smoked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1CC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1DD2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D34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ABD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A7CF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A2252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0CD89E0" w14:textId="77777777" w:rsidTr="006363D3">
        <w:trPr>
          <w:cantSplit/>
        </w:trPr>
        <w:tc>
          <w:tcPr>
            <w:tcW w:w="9000" w:type="dxa"/>
            <w:gridSpan w:val="7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3E23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Kruskal-Wallis rank sum test; Pearson's Chi-squared test</w:t>
            </w:r>
          </w:p>
        </w:tc>
      </w:tr>
    </w:tbl>
    <w:p w14:paraId="082F22F5" w14:textId="77777777" w:rsidR="00211DBF" w:rsidRDefault="0099545E">
      <w:r>
        <w:br w:type="page"/>
      </w:r>
    </w:p>
    <w:p w14:paraId="135CB68C" w14:textId="77777777" w:rsidR="00211DBF" w:rsidRDefault="0099545E">
      <w:pPr>
        <w:pStyle w:val="BodyText"/>
      </w:pPr>
      <w:r>
        <w:rPr>
          <w:b/>
          <w:bCs/>
        </w:rPr>
        <w:lastRenderedPageBreak/>
        <w:t>Table</w:t>
      </w:r>
      <w:r>
        <w:t xml:space="preserve"> </w:t>
      </w:r>
      <w:r>
        <w:t>Participant characteristics at the Year 20 Exam.</w:t>
      </w: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20" w:firstRow="1" w:lastRow="0" w:firstColumn="0" w:lastColumn="0" w:noHBand="0" w:noVBand="1"/>
      </w:tblPr>
      <w:tblGrid>
        <w:gridCol w:w="2520"/>
        <w:gridCol w:w="1080"/>
        <w:gridCol w:w="1080"/>
        <w:gridCol w:w="1080"/>
        <w:gridCol w:w="1080"/>
        <w:gridCol w:w="1080"/>
        <w:gridCol w:w="1080"/>
      </w:tblGrid>
      <w:tr w:rsidR="00211DBF" w14:paraId="498370A8" w14:textId="77777777" w:rsidTr="006363D3">
        <w:trPr>
          <w:cantSplit/>
          <w:tblHeader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CC68" w14:textId="77777777" w:rsidR="00211DBF" w:rsidRDefault="0099545E" w:rsidP="006363D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B0C8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E44B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Females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1B97C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9248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Females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96FF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Males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6902" w14:textId="77777777" w:rsidR="00211DBF" w:rsidRDefault="0099545E" w:rsidP="006363D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11DBF" w14:paraId="7E2929C1" w14:textId="77777777" w:rsidTr="006363D3">
        <w:trPr>
          <w:cantSplit/>
        </w:trPr>
        <w:tc>
          <w:tcPr>
            <w:tcW w:w="252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AB7B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No. of participants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06E5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4,631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5E59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1,322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673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1,006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5538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1,238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2B59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1,065</w:t>
            </w:r>
          </w:p>
        </w:tc>
        <w:tc>
          <w:tcPr>
            <w:tcW w:w="108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4CC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A64E260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C04F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Testing center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55F75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BCD4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F7C2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AD010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CE53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2E62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455EF7D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D6626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Birmingham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4A18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4F30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C6EF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091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F82A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40C0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74D4E67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820B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4D90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5E29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866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8612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319E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5E13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64DABB64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75F9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Minnesota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9FE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267F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A482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F555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9BB8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C0A7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F5CBA06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3E53D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Oakland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E1CF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23D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0C43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A5B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EDC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C7B8E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3BFB4B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3DF0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9FE2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44.8 (3.7)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7C91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44.3 (3.8)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AC75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44.0 (3.7)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ED0E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45.5 (3.4)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0902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45.4 (3.4)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BD8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261DB99B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EEC6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GXT duration, seconds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C012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433 (160)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57CE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(111)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673A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461 (130)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09D0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 (141)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B01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555 (135)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187A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6215BBFA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64207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 at year 20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F4C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BE1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2961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464A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C112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9BE4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50BAB4B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94E45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Associate's or more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CA5D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36E8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95E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681E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13D8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2A2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98F6685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2CFAE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Highschool/GED or less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616D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D44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B6F8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27AE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239E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5078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535AB9B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CBBEF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Difficulty paying for basics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7B7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7748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F036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2CA3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41EC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DBC1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1A88298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50657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very hard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117D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691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B921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0441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FED2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90A9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3CA7FC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D3438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Somewhat hard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939F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06DB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F361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BEEC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4D00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DF7D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D35880A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9CE2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079E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1205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2410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42B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25C92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60AB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27C9F602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0A9A5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 or co-habitating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8F9C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240A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6EA7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6A4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0918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B5FD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7FF404F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F7848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6158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5D9A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B92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BE79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F4E9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6B11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5ABBC0C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024A4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mass index, kg/m2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936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5988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(8)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86EA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(6)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98B5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(7)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EC9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(5)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9129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2365ADD8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EDCD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Self-reported physical activity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5C01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629EA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B26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2DC53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B643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B32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66BE0ECE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06AC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Meeting guidelines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BA7B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BA6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CD5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CC2C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E26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0530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3AD2ED37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D7D1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meeting guidelines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644B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025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FA5B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547F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639C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259F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D0C4516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3A8F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Self-reported health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A6926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0B18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7FA1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061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45941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117D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4422F16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31662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 or good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EB30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7C08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EDD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E8B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549E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14789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C4E97AE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50A13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 or poor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65C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517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F00F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4520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88F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8F36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060A0BE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98D8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Alcohol use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D7DD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2A0F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5EC1D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D9D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0DF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6403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9AEB5AB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07F8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Does not drink alcohol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68783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9A54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7466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59A1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492F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83CBC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7933922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0B89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Drinks alcohol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32E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4A13C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A420E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4E2F5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3C2F9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B8892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A0125E3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39D00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 status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AE60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BE3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62BF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1A84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2E17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5170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11DBF" w14:paraId="03E42342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72DBD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26EF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181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45D48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B8A1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C922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E1AB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4D06DEB1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94F0D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Former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A88C7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1914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4E57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4C25B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0DDA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3F2CF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25AE5B5C" w14:textId="77777777" w:rsidTr="006363D3">
        <w:trPr>
          <w:cantSplit/>
        </w:trPr>
        <w:tc>
          <w:tcPr>
            <w:tcW w:w="2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A10EF" w14:textId="77777777" w:rsidR="00211DBF" w:rsidRDefault="0099545E" w:rsidP="006363D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smoked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5222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38366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49781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4FEBA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CF30D" w14:textId="77777777" w:rsidR="00211DBF" w:rsidRDefault="0099545E" w:rsidP="006363D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4E628" w14:textId="77777777" w:rsidR="00211DBF" w:rsidRDefault="00211DBF" w:rsidP="006363D3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11DBF" w14:paraId="16C9428A" w14:textId="77777777" w:rsidTr="006363D3">
        <w:trPr>
          <w:cantSplit/>
        </w:trPr>
        <w:tc>
          <w:tcPr>
            <w:tcW w:w="9000" w:type="dxa"/>
            <w:gridSpan w:val="7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8F32" w14:textId="77777777" w:rsidR="00211DBF" w:rsidRDefault="0099545E" w:rsidP="006363D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Kruskal-Wallis rank sum test; Pearson's Chi-squared test</w:t>
            </w:r>
          </w:p>
        </w:tc>
      </w:tr>
    </w:tbl>
    <w:p w14:paraId="420A65A6" w14:textId="77777777" w:rsidR="00211DBF" w:rsidRDefault="00211DBF">
      <w:pPr>
        <w:sectPr w:rsidR="00211D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23EA7004" w14:textId="77777777" w:rsidR="00211DBF" w:rsidRDefault="0099545E">
      <w:pPr>
        <w:pStyle w:val="BodyText"/>
      </w:pPr>
      <w:r>
        <w:rPr>
          <w:b/>
          <w:bCs/>
        </w:rPr>
        <w:lastRenderedPageBreak/>
        <w:t>Table</w:t>
      </w:r>
      <w:r>
        <w:t xml:space="preserve"> </w:t>
      </w:r>
      <w:r>
        <w:t>Number (%) of deaths among CARDIA participants.</w:t>
      </w: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1368"/>
        <w:gridCol w:w="1368"/>
        <w:gridCol w:w="1368"/>
        <w:gridCol w:w="1368"/>
        <w:gridCol w:w="1368"/>
        <w:gridCol w:w="1368"/>
        <w:gridCol w:w="1368"/>
        <w:gridCol w:w="1368"/>
        <w:gridCol w:w="1368"/>
      </w:tblGrid>
      <w:tr w:rsidR="00211DBF" w14:paraId="11DBF94F" w14:textId="77777777" w:rsidTr="00FC3AD8">
        <w:trPr>
          <w:cantSplit/>
          <w:tblHeader/>
        </w:trPr>
        <w:tc>
          <w:tcPr>
            <w:tcW w:w="216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13B4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Cause of death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E0D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</w:p>
        </w:tc>
        <w:tc>
          <w:tcPr>
            <w:tcW w:w="27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98A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7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19A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5472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22F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 by Sex</w:t>
            </w:r>
          </w:p>
        </w:tc>
      </w:tr>
      <w:tr w:rsidR="00211DBF" w14:paraId="1280898B" w14:textId="77777777" w:rsidTr="00FC3AD8">
        <w:trPr>
          <w:cantSplit/>
          <w:tblHeader/>
        </w:trPr>
        <w:tc>
          <w:tcPr>
            <w:tcW w:w="216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F92E" w14:textId="77777777" w:rsidR="00211DBF" w:rsidRDefault="00211DBF" w:rsidP="00FC3AD8">
            <w:pPr>
              <w:keepNext/>
              <w:spacing w:before="100" w:after="100"/>
              <w:ind w:left="100" w:right="100"/>
            </w:pP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3D5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284)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208F4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173)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4F42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111)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36FE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134)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552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150)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776F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Female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79)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B4F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Black 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94)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3BA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Female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55)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600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Male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(N = 56)</w:t>
            </w:r>
          </w:p>
        </w:tc>
      </w:tr>
      <w:tr w:rsidR="00211DBF" w14:paraId="16DA780D" w14:textId="77777777" w:rsidTr="00FC3AD8">
        <w:trPr>
          <w:cantSplit/>
        </w:trPr>
        <w:tc>
          <w:tcPr>
            <w:tcW w:w="2160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5849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AIDS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CA9B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(3.5%)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46D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(4.0%)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931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(2.7%)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5DC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6A44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(6.7%)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9DC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A46C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(7.4%)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A7D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A0F3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(5.4%)</w:t>
            </w:r>
          </w:p>
        </w:tc>
      </w:tr>
      <w:tr w:rsidR="00211DBF" w14:paraId="492CAA08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423E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353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6004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358B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0942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1B3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(0.67%)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F36F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E85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B3DB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D47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691DA068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3E0F4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Cancer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C7A2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(26%)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674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(23%)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9E9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604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221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CE6F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3863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136C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C79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(20%)</w:t>
            </w:r>
          </w:p>
        </w:tc>
      </w:tr>
      <w:tr w:rsidR="00211DBF" w14:paraId="162C1E1C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B5D6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ASCVD, CHD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967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(7.0%)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A7F4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(2.9%)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093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(14%)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7690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636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(9.3%)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5DC0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5C9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4F3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F7E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(20%)</w:t>
            </w:r>
          </w:p>
        </w:tc>
      </w:tr>
      <w:tr w:rsidR="00211DBF" w14:paraId="36BD68EE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D7F0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ASCVD, other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DBC4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D64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7471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53B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425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E4C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E36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1EAB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52B3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42A2066D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4C61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ASCVD, stroke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D78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B83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314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56BE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6733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CBEB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DFA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9EA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1ABF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2D8B40EA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52F2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CVD, non-atherosclerotic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F57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B11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B26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DF7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1EC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1290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D65B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5C2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A1C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</w:tr>
      <w:tr w:rsidR="00211DBF" w14:paraId="6057C1F1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2C1F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Pulmonary embolism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764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(0.70%)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6E6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ED4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E622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6D50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4A1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23E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117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ACB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6C21089D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361C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97C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(0.35%)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8630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4BCC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C462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E17B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C0B8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AD02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E85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1770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5060ABD4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6293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Kidney disease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7ED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C4FC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(2.9%)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F14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(0.90%)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1D9F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1FF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(0.67%)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6AA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32CF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FF60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C6F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232E1A5D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CEA4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Liver disease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2F43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F454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7364C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(6.3%)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DE2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917C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A53C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BB2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7E2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F78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(7.1%)</w:t>
            </w:r>
          </w:p>
        </w:tc>
      </w:tr>
      <w:tr w:rsidR="00211DBF" w14:paraId="4E6465FD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2239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C6A3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449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(14%)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3124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(9.9%)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E9F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E2A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06E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235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7C7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0CE3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(8.9%)</w:t>
            </w:r>
          </w:p>
        </w:tc>
      </w:tr>
      <w:tr w:rsidR="00211DBF" w14:paraId="1A989834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68C2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Sepsis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D01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0C94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22A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183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DA22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050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734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11D4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DE43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53E3735A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B949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Homicide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20C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E447E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(4.6%)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534B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1C9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BD7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A50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9765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(8.5%)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CAB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C43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11DBF" w14:paraId="496AB00D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D1EBB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Suicide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E05F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80B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DA9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(7.2%)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E053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(4.5%)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813C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8D4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C86C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8F41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A054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(3.6%)</w:t>
            </w:r>
          </w:p>
        </w:tc>
      </w:tr>
      <w:tr w:rsidR="00211DBF" w14:paraId="2729133E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AE2E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Unintentional injury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CAD0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7EEF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(5.2%)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437C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(5.4%)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A96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184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(6.7%)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54CC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23B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(5.3%)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55BC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4EBD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(8.9%)</w:t>
            </w:r>
          </w:p>
        </w:tc>
      </w:tr>
      <w:tr w:rsidR="00211DBF" w14:paraId="413997D1" w14:textId="77777777" w:rsidTr="00FC3AD8">
        <w:trPr>
          <w:cantSplit/>
        </w:trPr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ED8A" w14:textId="77777777" w:rsidR="00211DBF" w:rsidRDefault="0099545E" w:rsidP="00FC3AD8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B3ED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8168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(22%)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6BC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(19%)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0BB6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(19%)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0B19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(22%)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B0F2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(23%)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1F4A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(21%)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1887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(15%)</w:t>
            </w:r>
          </w:p>
        </w:tc>
        <w:tc>
          <w:tcPr>
            <w:tcW w:w="13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A0D3" w14:textId="77777777" w:rsidR="00211DBF" w:rsidRDefault="0099545E" w:rsidP="00FC3AD8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(23%)</w:t>
            </w:r>
          </w:p>
        </w:tc>
      </w:tr>
    </w:tbl>
    <w:p w14:paraId="59820C9C" w14:textId="77777777" w:rsidR="00211DBF" w:rsidRDefault="00211DBF">
      <w:pPr>
        <w:sectPr w:rsidR="00211DB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6D2A94C9" w14:textId="77777777" w:rsidR="00211DBF" w:rsidRDefault="0099545E">
      <w:pPr>
        <w:pStyle w:val="BodyText"/>
      </w:pPr>
      <w:r>
        <w:rPr>
          <w:b/>
          <w:bCs/>
        </w:rPr>
        <w:lastRenderedPageBreak/>
        <w:t>Figure 1</w:t>
      </w:r>
      <w:r>
        <w:t>: Multivariable-adjusted hazard ratios for all-cause mortality and cardiovascular events using natural cubic splines.</w:t>
      </w:r>
    </w:p>
    <w:p w14:paraId="159AD43D" w14:textId="77777777" w:rsidR="00211DBF" w:rsidRDefault="0099545E">
      <w:pPr>
        <w:pStyle w:val="Figure"/>
        <w:jc w:val="center"/>
      </w:pPr>
      <w:r>
        <w:rPr>
          <w:noProof/>
        </w:rPr>
        <w:drawing>
          <wp:inline distT="0" distB="0" distL="0" distR="0" wp14:anchorId="6DFFD29B" wp14:editId="0A3F74A2">
            <wp:extent cx="68580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CED51" w14:textId="77777777" w:rsidR="00211DBF" w:rsidRDefault="0099545E">
      <w:pPr>
        <w:pStyle w:val="BodyText"/>
      </w:pPr>
      <w:r>
        <w:lastRenderedPageBreak/>
        <w:t>Grey shaded areas represent 95% confidence intervals for the point-estimate.</w:t>
      </w:r>
    </w:p>
    <w:p w14:paraId="23B92F5E" w14:textId="77777777" w:rsidR="00211DBF" w:rsidRDefault="0099545E">
      <w:r>
        <w:br w:type="page"/>
      </w:r>
    </w:p>
    <w:p w14:paraId="125AF534" w14:textId="77777777" w:rsidR="00211DBF" w:rsidRDefault="0099545E">
      <w:pPr>
        <w:pStyle w:val="BodyText"/>
      </w:pPr>
      <w:r>
        <w:rPr>
          <w:b/>
          <w:bCs/>
        </w:rPr>
        <w:lastRenderedPageBreak/>
        <w:t>Figure 2</w:t>
      </w:r>
      <w:r>
        <w:t>: Multivariable-adjusted hazard ratios for all-cause mortality.</w:t>
      </w:r>
    </w:p>
    <w:p w14:paraId="467D8D61" w14:textId="77777777" w:rsidR="00211DBF" w:rsidRDefault="0099545E">
      <w:pPr>
        <w:pStyle w:val="Figure"/>
        <w:jc w:val="center"/>
      </w:pPr>
      <w:r>
        <w:rPr>
          <w:noProof/>
        </w:rPr>
        <w:drawing>
          <wp:inline distT="0" distB="0" distL="0" distR="0" wp14:anchorId="3F6A0E4B" wp14:editId="62B329DD">
            <wp:extent cx="68580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592A3" w14:textId="77777777" w:rsidR="00211DBF" w:rsidRDefault="0099545E">
      <w:r>
        <w:br w:type="page"/>
      </w:r>
    </w:p>
    <w:p w14:paraId="3FF74D3C" w14:textId="77777777" w:rsidR="00211DBF" w:rsidRDefault="0099545E">
      <w:pPr>
        <w:pStyle w:val="BodyText"/>
      </w:pPr>
      <w:r>
        <w:rPr>
          <w:b/>
          <w:bCs/>
        </w:rPr>
        <w:lastRenderedPageBreak/>
        <w:t>Figure 3</w:t>
      </w:r>
      <w:r>
        <w:t>: Multivariable-adjusted hazard ratios for cardiovascular events.</w:t>
      </w:r>
    </w:p>
    <w:p w14:paraId="0D5ABE5B" w14:textId="77777777" w:rsidR="00211DBF" w:rsidRDefault="0099545E">
      <w:pPr>
        <w:pStyle w:val="Figure"/>
        <w:jc w:val="center"/>
      </w:pPr>
      <w:r>
        <w:rPr>
          <w:noProof/>
        </w:rPr>
        <w:drawing>
          <wp:inline distT="0" distB="0" distL="0" distR="0" wp14:anchorId="0E59DC3A" wp14:editId="286267DA">
            <wp:extent cx="68580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56E71" w14:textId="77777777" w:rsidR="00211DBF" w:rsidRDefault="0099545E">
      <w:r>
        <w:br w:type="page"/>
      </w:r>
    </w:p>
    <w:p w14:paraId="1BAAC689" w14:textId="77777777" w:rsidR="00211DBF" w:rsidRDefault="00211DBF">
      <w:pPr>
        <w:sectPr w:rsidR="00211DBF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80" w:right="360" w:bottom="180" w:left="360" w:header="720" w:footer="720" w:gutter="0"/>
          <w:cols w:space="720"/>
        </w:sectPr>
      </w:pPr>
    </w:p>
    <w:p w14:paraId="018F3563" w14:textId="77777777" w:rsidR="0099545E" w:rsidRDefault="0099545E"/>
    <w:sectPr w:rsidR="0099545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3CC42" w14:textId="77777777" w:rsidR="0099545E" w:rsidRDefault="0099545E">
      <w:pPr>
        <w:spacing w:after="0"/>
      </w:pPr>
      <w:r>
        <w:separator/>
      </w:r>
    </w:p>
  </w:endnote>
  <w:endnote w:type="continuationSeparator" w:id="0">
    <w:p w14:paraId="07B889AC" w14:textId="77777777" w:rsidR="0099545E" w:rsidRDefault="00995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6ED01" w14:textId="77777777" w:rsidR="00314C34" w:rsidRDefault="0099545E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54B2B" w14:textId="77777777" w:rsidR="00314C34" w:rsidRDefault="0099545E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615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F7D3D" w14:textId="77777777" w:rsidR="00314C34" w:rsidRDefault="009954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C4570B" w14:textId="77777777" w:rsidR="00314C34" w:rsidRDefault="0099545E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341B" w14:textId="77777777" w:rsidR="00314C34" w:rsidRDefault="00995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6F31F8" w14:textId="77777777" w:rsidR="00314C34" w:rsidRDefault="009954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DCBD27" w14:textId="77777777" w:rsidR="00314C34" w:rsidRDefault="00995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F168" w14:textId="77777777" w:rsidR="00314C34" w:rsidRDefault="009954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273F" w14:textId="77777777" w:rsidR="00314C34" w:rsidRDefault="0099545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19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1BD1B" w14:textId="77777777" w:rsidR="00314C34" w:rsidRDefault="009954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108F1A" w14:textId="77777777" w:rsidR="00314C34" w:rsidRDefault="0099545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29A70" w14:textId="77777777" w:rsidR="00314C34" w:rsidRDefault="0099545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54D4" w14:textId="77777777" w:rsidR="00314C34" w:rsidRDefault="0099545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036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65DAC" w14:textId="77777777" w:rsidR="00314C34" w:rsidRDefault="0099545E">
        <w:pPr>
          <w:pStyle w:val="Footer"/>
        </w:pPr>
        <w:r>
          <w:fldChar w:fldCharType="begin"/>
        </w:r>
        <w:r>
          <w:instrText xml:space="preserve"> PAGE   \* MER</w:instrText>
        </w:r>
        <w:r>
          <w:instrText xml:space="preserve">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548725" w14:textId="77777777" w:rsidR="00314C34" w:rsidRDefault="0099545E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D585" w14:textId="77777777" w:rsidR="00314C34" w:rsidRDefault="00995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1F46" w14:textId="77777777" w:rsidR="0099545E" w:rsidRDefault="0099545E">
      <w:r>
        <w:separator/>
      </w:r>
    </w:p>
  </w:footnote>
  <w:footnote w:type="continuationSeparator" w:id="0">
    <w:p w14:paraId="05C902F2" w14:textId="77777777" w:rsidR="0099545E" w:rsidRDefault="00995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3CC" w14:textId="77777777" w:rsidR="00314C34" w:rsidRDefault="0099545E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C1CF" w14:textId="77777777" w:rsidR="00314C34" w:rsidRDefault="0099545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63F9" w14:textId="77777777" w:rsidR="00314C34" w:rsidRDefault="0099545E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512B" w14:textId="77777777" w:rsidR="00314C34" w:rsidRDefault="00995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5522D" w14:textId="77777777" w:rsidR="00314C34" w:rsidRDefault="00995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8D864" w14:textId="77777777" w:rsidR="00314C34" w:rsidRDefault="009954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76D0" w14:textId="77777777" w:rsidR="00314C34" w:rsidRDefault="0099545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D81B" w14:textId="77777777" w:rsidR="00314C34" w:rsidRDefault="0099545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968D" w14:textId="77777777" w:rsidR="00314C34" w:rsidRDefault="0099545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5763" w14:textId="77777777" w:rsidR="00314C34" w:rsidRDefault="0099545E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3ED9C" w14:textId="77777777" w:rsidR="00314C34" w:rsidRDefault="0099545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0665" w14:textId="77777777" w:rsidR="00314C34" w:rsidRDefault="00995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C76B7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5820180">
    <w:abstractNumId w:val="11"/>
  </w:num>
  <w:num w:numId="2" w16cid:durableId="585573124">
    <w:abstractNumId w:val="9"/>
  </w:num>
  <w:num w:numId="3" w16cid:durableId="490096493">
    <w:abstractNumId w:val="7"/>
  </w:num>
  <w:num w:numId="4" w16cid:durableId="601231533">
    <w:abstractNumId w:val="6"/>
  </w:num>
  <w:num w:numId="5" w16cid:durableId="1398362456">
    <w:abstractNumId w:val="5"/>
  </w:num>
  <w:num w:numId="6" w16cid:durableId="100952379">
    <w:abstractNumId w:val="4"/>
  </w:num>
  <w:num w:numId="7" w16cid:durableId="1287006254">
    <w:abstractNumId w:val="8"/>
  </w:num>
  <w:num w:numId="8" w16cid:durableId="679939993">
    <w:abstractNumId w:val="3"/>
  </w:num>
  <w:num w:numId="9" w16cid:durableId="2122991775">
    <w:abstractNumId w:val="2"/>
  </w:num>
  <w:num w:numId="10" w16cid:durableId="844174964">
    <w:abstractNumId w:val="1"/>
  </w:num>
  <w:num w:numId="11" w16cid:durableId="51774746">
    <w:abstractNumId w:val="0"/>
  </w:num>
  <w:num w:numId="12" w16cid:durableId="2996572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BF"/>
    <w:rsid w:val="00211DBF"/>
    <w:rsid w:val="006363D3"/>
    <w:rsid w:val="0099545E"/>
    <w:rsid w:val="00FC3A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587C"/>
  <w15:docId w15:val="{D6E0A596-8333-4740-A3C3-4098C87D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Long term mortality risk and maximal fitness</vt:lpstr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mortality risk and maximal fitness</dc:title>
  <dc:creator/>
  <cp:keywords/>
  <cp:lastModifiedBy>Byron C Jaeger</cp:lastModifiedBy>
  <cp:revision>2</cp:revision>
  <dcterms:created xsi:type="dcterms:W3CDTF">2022-04-29T16:54:00Z</dcterms:created>
  <dcterms:modified xsi:type="dcterms:W3CDTF">2022-04-29T17:02:00Z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