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rPr>
          <w:bCs/>
          <w:b/>
        </w:rPr>
        <w:t xml:space="preserve">Table 1</w:t>
      </w:r>
      <w:r>
        <w:t xml:space="preserve">: some variables listed in the table shells were not in the data. I am happy to include these but I’d need some help finding the variables to add.</w:t>
      </w:r>
    </w:p>
    <w:p>
      <w:pPr>
        <w:pStyle w:val="BodyText"/>
      </w:pPr>
      <w:r>
        <w:rPr>
          <w:bCs/>
          <w:b/>
        </w:rPr>
        <w:t xml:space="preserve">Table 4</w:t>
      </w:r>
      <w:r>
        <w:t xml:space="preserve">: NRI and the fairness metrics required a cut-point to be computed. I used a cut-point of 20%. It’s easy to change this if you’d like to - just let me know.</w:t>
      </w:r>
    </w:p>
    <w:p>
      <w:pPr>
        <w:pStyle w:val="BodyText"/>
      </w:pPr>
      <w:r>
        <w:rPr>
          <w:bCs/>
          <w:b/>
        </w:rPr>
        <w:t xml:space="preserve">Table 5</w:t>
      </w:r>
      <w:r>
        <w:t xml:space="preserve">: It isn’t feasible to stratify by incident cases here. This is because:</w:t>
      </w:r>
    </w:p>
    <w:p>
      <w:pPr>
        <w:numPr>
          <w:ilvl w:val="0"/>
          <w:numId w:val="1001"/>
        </w:numPr>
      </w:pPr>
      <w:r>
        <w:t xml:space="preserve">an incident case would be someone who had diabetes diagnosis before 3 years had passed.</w:t>
      </w:r>
    </w:p>
    <w:p>
      <w:pPr>
        <w:numPr>
          <w:ilvl w:val="0"/>
          <w:numId w:val="1001"/>
        </w:numPr>
      </w:pPr>
      <w:r>
        <w:t xml:space="preserve">a non incident case would be someone who did not have diabetes before 3 years passed</w:t>
      </w:r>
    </w:p>
    <w:p>
      <w:pPr>
        <w:numPr>
          <w:ilvl w:val="0"/>
          <w:numId w:val="1001"/>
        </w:numPr>
      </w:pPr>
      <w:r>
        <w:t xml:space="preserve">a number of participants didn’t fit into either category because they were censored before 3 years passed.</w:t>
      </w:r>
    </w:p>
    <w:p>
      <w:pPr>
        <w:pStyle w:val="FirstParagraph"/>
      </w:pPr>
      <w:r>
        <w:t xml:space="preserve">Also, I had to modify the risk categories for table 5. The original risk categories went up to 10% but a large majority of predicted risk values were &gt; 10% so I modified the categories to make the tables more balanced. Easy to change if needed.</w:t>
      </w:r>
    </w:p>
    <w:p>
      <w:pPr>
        <w:pStyle w:val="BodyText"/>
      </w:pPr>
      <w:r>
        <w:rPr>
          <w:bCs/>
          <w:b/>
        </w:rPr>
        <w:t xml:space="preserve">Figures</w:t>
      </w:r>
      <w:r>
        <w:t xml:space="preserve">: I grouped some figures together as I thought it would be helpful to see them side by side. Easy to change this, just let me know if you’d prefer to keep them separate.</w:t>
      </w:r>
    </w:p>
    <w:p>
      <w:r>
        <w:br w:type="page"/>
      </w:r>
    </w:p>
    <w:p>
      <w:pPr>
        <w:pStyle w:val="BodyText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2,104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(32%)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(33%)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(0.30)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(84, 167)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4,710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(41%)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(26%)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(11%)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3,063 (65%)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(76, 159)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(9.6, 13)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(8.5, 11)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(-0.41,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(-0.53, 2.1)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Positive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(-2.6,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(0.00,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Negative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 is satisfied when a model's predictions have the same predicted positive rate across groups.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 is satisfied when a model's predictions have the same true positive and false negative rates across protected groups.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 is satisfied when a model's predictions have the same false positive, true positive, false negative, and true negative rates across protected groups.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(20%)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(21%)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(0.81%)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(16%)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(20%)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6: Optimal preventive intervention and 3-year counterfactual risk for type 2 diabetes from an individualized risk prediction model in the Diabetes Prevention Program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Optimal intervention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Counterfactual 3-year T2D Predicted Risk, Mean (SD)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7: Summary of and instructions for using the individualized prediction model for type 2 diabetes.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(1.09, 1.34)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(1.15, 1.35)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(0.78, 1.16)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(0.86, 1.23)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(0.84, 1.13)</w:t>
            </w:r>
          </w:p>
        </w:tc>
      </w:tr>
      <w:tr>
        <w:trPr>
          <w:trHeight w:val="360" w:hRule="auto"/>
        </w:trPr>
        body 7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(1.16, 1.60)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(0.74, 1.06)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(0.91, 1.19)</w:t>
            </w:r>
          </w:p>
        </w:tc>
      </w:tr>
      <w:tr>
        <w:trPr>
          <w:trHeight w:val="360" w:hRule="auto"/>
        </w:trPr>
        body11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(1.23, 1.76)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(1.31, 1.78)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(1.67, 2.17)</w:t>
            </w:r>
          </w:p>
        </w:tc>
      </w:tr>
      <w:tr>
        <w:trPr>
          <w:trHeight w:val="360" w:hRule="auto"/>
        </w:trPr>
        body15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(0.95, 1.43)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variables included in the table were selected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apriori based on clinical availability and known associations.</w:t>
            </w:r>
          </w:p>
        </w:tc>
      </w:tr>
      <w:tr>
        <w:trPr>
          <w:trHeight w:val="360" w:hRule="auto"/>
        </w:trPr>
        footer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ratios are adjusted for all variables listed in the table. Hazard ratios for continuous variables correspond to  a one standard deviation change in the variable.</w:t>
            </w:r>
          </w:p>
        </w:tc>
      </w:tr>
      <w:tr>
        <w:trPr>
          <w:trHeight w:val="360" w:hRule="auto"/>
        </w:trPr>
        footer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Instructions for computing 3-year predicted risk: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1: Scale predictors: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age by 10.58244063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fasting glucose by 6.67887385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glycated hemoglobin by 0.39663737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triglycerides by 95.62000286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body mass index by 6.55160219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2: Compute linear predictor (LP):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 = (sex = female) *  0.15268123 + (treatment group = metformin) *  1.73746560 + (treatment group = placebo) * -2.06808662 + (glycated hemoglobin) *  0.19224983 + (triglycerides) *  0.21835857 age * [-0.04914900 + (treatment group = metformin) *  0.07302687) + (treatment group = placebo) *  0.02231801)] body mass index * [ 0.31117408 + (treatment group = metformin) * -0.42922833) + (treatment group = placebo) * -0.26864075)] fasting glucose * [0.38697814 + (treatment group = metformin) * 0.03748913) + (treatment group = placebo) * 0.25646930)]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3: Plug LP into the risk formula: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= 1 - exp(-0.155833 * exp(LP - 11.216613))</w:t>
            </w:r>
          </w:p>
        </w:tc>
      </w:tr>
    </w:tbl>
    <w:p>
      <w:pPr>
        <w:sectPr w:officer="true">
          <w:pgSz w:h="16838" w:w="11906" w:orient="portrait"/>
          <w:type w:val="continuous"/>
          <w:cols/>
          <w:pgMar w:header="720" w:bottom="1800" w:top="1800" w:right="720" w:left="720" w:footer="720" w:gutter="720"/>
        </w:sectPr>
      </w:pPr>
    </w:p>
    <w:p>
      <w:pPr>
        <w:pStyle w:val="BodyText"/>
      </w:pPr>
      <w:r>
        <w:t xml:space="preserve">Figure 1: Decision curve analysis of the individualized and standard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2: Calibration of the individualized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12" w:type="first"/>
      <w:footerReference r:id="rId13" w:type="default"/>
      <w:footerReference r:id="rId14" w:type="even"/>
      <w:headerReference r:id="rId10" w:type="even"/>
      <w:headerReference r:id="rId9" w:type="default"/>
      <w:headerReference r:id="rId11" w:type="first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fileb93c13117443.png"/>
<Relationship Id="rId16" Type="http://schemas.openxmlformats.org/officeDocument/2006/relationships/image" Target="media/fileb93c309e1aa5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2024-09-09T19:05:42Z</dcterms:created>
  <dcterms:modified xsi:type="dcterms:W3CDTF">2024-09-09T15:05:43Z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