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3B" w:rsidRDefault="00B20113">
      <w:pPr>
        <w:pStyle w:val="Title"/>
      </w:pPr>
      <w:r>
        <w:t>Improving Outcome Predictions for Patients Receiving Mechanical Circulatory Support by Optimizing Imputation of Missing Values</w:t>
      </w:r>
    </w:p>
    <w:p w:rsidR="00BF033B" w:rsidRDefault="00B20113">
      <w:pPr>
        <w:pStyle w:val="FirstParagraph"/>
      </w:pPr>
      <w:r>
        <w:rPr>
          <w:b/>
        </w:rPr>
        <w:t>First author’s surname and short title:</w:t>
      </w:r>
      <w:r>
        <w:t xml:space="preserve"> Jaeger, Prediction and imputation</w:t>
      </w:r>
    </w:p>
    <w:p w:rsidR="00BF033B" w:rsidRDefault="00B20113">
      <w:pPr>
        <w:pStyle w:val="BodyText"/>
      </w:pPr>
      <w:r>
        <w:t>Byron C. Jaeger, PhD</w:t>
      </w:r>
      <w:r>
        <w:rPr>
          <w:vertAlign w:val="superscript"/>
        </w:rPr>
        <w:t>1</w:t>
      </w:r>
      <w:r>
        <w:t>, Ryan Cantor, PhD</w:t>
      </w:r>
      <w:r>
        <w:rPr>
          <w:vertAlign w:val="superscript"/>
        </w:rPr>
        <w:t>1,2</w:t>
      </w:r>
      <w:r>
        <w:t>, Venkata Sthanam, MS</w:t>
      </w:r>
      <w:r>
        <w:rPr>
          <w:vertAlign w:val="superscript"/>
        </w:rPr>
        <w:t>1,2</w:t>
      </w:r>
      <w:r>
        <w:t>, Rongbing Xie, DrPH</w:t>
      </w:r>
      <w:r>
        <w:rPr>
          <w:vertAlign w:val="superscript"/>
        </w:rPr>
        <w:t>1,2</w:t>
      </w:r>
      <w:r>
        <w:t>, James K. Kirklin, MD</w:t>
      </w:r>
      <w:r>
        <w:rPr>
          <w:vertAlign w:val="superscript"/>
        </w:rPr>
        <w:t>1,2</w:t>
      </w:r>
      <w:r>
        <w:t>, Ramaraju Rudraraju, PhD</w:t>
      </w:r>
      <w:r>
        <w:rPr>
          <w:vertAlign w:val="superscript"/>
        </w:rPr>
        <w:t>1,2</w:t>
      </w:r>
    </w:p>
    <w:p w:rsidR="00BF033B" w:rsidRDefault="00B20113">
      <w:pPr>
        <w:pStyle w:val="Compact"/>
        <w:numPr>
          <w:ilvl w:val="0"/>
          <w:numId w:val="13"/>
        </w:numPr>
      </w:pPr>
      <w:r>
        <w:t>University of Alabama at Birmingham, Birmingham, AL</w:t>
      </w:r>
    </w:p>
    <w:p w:rsidR="00BF033B" w:rsidRDefault="00B20113">
      <w:pPr>
        <w:pStyle w:val="Compact"/>
        <w:numPr>
          <w:ilvl w:val="0"/>
          <w:numId w:val="13"/>
        </w:numPr>
      </w:pPr>
      <w:r>
        <w:t>Kirklin Institute for Research in Surgical Outcomes</w:t>
      </w:r>
    </w:p>
    <w:p w:rsidR="00BF033B" w:rsidRDefault="00B20113">
      <w:pPr>
        <w:pStyle w:val="FirstParagraph"/>
      </w:pPr>
      <w:r>
        <w:rPr>
          <w:b/>
        </w:rPr>
        <w:t>Address for correspondence</w:t>
      </w:r>
      <w:r>
        <w:t xml:space="preserve"> Byron C. Jaeger, Ph.D. D</w:t>
      </w:r>
      <w:r>
        <w:t>epartment of Biostatistics University of Alabama at Birmingham 327M Ryals Public Health Building 1665 University Blvd Birmingham, Alabama 35294-0022</w:t>
      </w:r>
    </w:p>
    <w:p w:rsidR="00BF033B" w:rsidRDefault="00B20113">
      <w:pPr>
        <w:pStyle w:val="BodyText"/>
      </w:pPr>
      <w:r>
        <w:rPr>
          <w:b/>
        </w:rPr>
        <w:t>t</w:t>
      </w:r>
      <w:bookmarkStart w:id="0" w:name="_GoBack"/>
      <w:bookmarkEnd w:id="0"/>
      <w:r>
        <w:rPr>
          <w:b/>
        </w:rPr>
        <w:t>otal word count of the manuscript, including the title page, abstract, text, references, tables, and figur</w:t>
      </w:r>
      <w:r>
        <w:rPr>
          <w:b/>
        </w:rPr>
        <w:t>es legends:</w:t>
      </w:r>
      <w:r w:rsidR="008C156F">
        <w:rPr>
          <w:b/>
        </w:rPr>
        <w:t xml:space="preserve"> 11,366</w:t>
      </w:r>
    </w:p>
    <w:p w:rsidR="00BF033B" w:rsidRDefault="00B20113">
      <w:r>
        <w:br w:type="page"/>
      </w:r>
    </w:p>
    <w:p w:rsidR="00BF033B" w:rsidRDefault="00B20113">
      <w:pPr>
        <w:pStyle w:val="Heading1"/>
      </w:pPr>
      <w:bookmarkStart w:id="1" w:name="abstract"/>
      <w:r>
        <w:lastRenderedPageBreak/>
        <w:t>ABSTRACT</w:t>
      </w:r>
    </w:p>
    <w:p w:rsidR="00BF033B" w:rsidRDefault="00B20113">
      <w:pPr>
        <w:pStyle w:val="FirstParagraph"/>
      </w:pPr>
      <w:r>
        <w:rPr>
          <w:b/>
        </w:rPr>
        <w:t>Background</w:t>
      </w:r>
      <w:r>
        <w:t xml:space="preserve"> Risk prediction models play an important role in clinical decision making. When developing risk prediction models, practitioners often impute missing values to the mean. We evaluated the impact of applying other strategies</w:t>
      </w:r>
      <w:r>
        <w:t xml:space="preserve"> to impute missing values on the prognostic accuracy of downstream risk prediction models, i.e., models fitted to the imputed data. A secondary objective was to compare the accuracy of imputation methods based on artificially induced missing values. To com</w:t>
      </w:r>
      <w:r>
        <w:t>plete these objectives, we used data from the Interagency Registry for Mechanically Assisted Circulatory Support (INTERMACS).</w:t>
      </w:r>
    </w:p>
    <w:p w:rsidR="00BF033B" w:rsidRDefault="00B20113">
      <w:pPr>
        <w:pStyle w:val="BodyText"/>
      </w:pPr>
      <w:r>
        <w:rPr>
          <w:b/>
        </w:rPr>
        <w:t>Methods</w:t>
      </w:r>
      <w:r>
        <w:t xml:space="preserve"> We applied twelve imputation strategies in combination with two different modeling strategies for mortality and transplant</w:t>
      </w:r>
      <w:r>
        <w:t xml:space="preserve"> risk prediction following surgery to receive mechanical circulatory support. Model performance was evaluated using Monte-Carlo cross validation and measured based on outcomes 6-months following surgery using the scaled Brier score, concordance index, and </w:t>
      </w:r>
      <w:r>
        <w:t>calibration error. We used Bayesian hierarchical models to compare model performance.</w:t>
      </w:r>
    </w:p>
    <w:p w:rsidR="00BF033B" w:rsidRDefault="00B20113">
      <w:pPr>
        <w:pStyle w:val="BodyText"/>
      </w:pPr>
      <w:r>
        <w:rPr>
          <w:b/>
        </w:rPr>
        <w:t>Results</w:t>
      </w:r>
      <w:r>
        <w:t xml:space="preserve"> Multiple imputation with random forests emerged as a robust strategy to impute missing values, increasing model concordance by 0.003 (25th, 75th percentile: 0.000</w:t>
      </w:r>
      <w:r>
        <w:t xml:space="preserve">8, 0.052) compared with imputation to the mean for mortality risk prediction using a downstream proportional hazards model. The posterior probability that single and multiple imputation using random forests would improve concordance versus mean imputation </w:t>
      </w:r>
      <w:r>
        <w:t>was 0.464 and &gt;0.999, respectively.</w:t>
      </w:r>
    </w:p>
    <w:p w:rsidR="00BF033B" w:rsidRDefault="00B20113">
      <w:pPr>
        <w:pStyle w:val="BodyText"/>
      </w:pPr>
      <w:r>
        <w:rPr>
          <w:b/>
        </w:rPr>
        <w:t>Conclusion</w:t>
      </w:r>
      <w:r>
        <w:t xml:space="preserve"> Selecting an optimal strategy to impute missing values such as random forests and applying multiple imputation can improve the prognostic accuracy of downstream risk prediction models.</w:t>
      </w:r>
    </w:p>
    <w:p w:rsidR="00BF033B" w:rsidRDefault="00B20113">
      <w:pPr>
        <w:pStyle w:val="Heading1"/>
      </w:pPr>
      <w:bookmarkStart w:id="2" w:name="introduction"/>
      <w:bookmarkEnd w:id="1"/>
      <w:r>
        <w:lastRenderedPageBreak/>
        <w:t>Introduction</w:t>
      </w:r>
    </w:p>
    <w:p w:rsidR="00BF033B" w:rsidRDefault="00B20113">
      <w:pPr>
        <w:pStyle w:val="FirstParagraph"/>
      </w:pPr>
      <w:r>
        <w:t>Heart disea</w:t>
      </w:r>
      <w:r>
        <w:t>se is a leading cause of death in the United States. Heart failure, a primary component of heart disease, affects over 6 million Americans, and for roughly 10% of these patients medical management is no longer effective.</w:t>
      </w:r>
      <w:r>
        <w:rPr>
          <w:vertAlign w:val="superscript"/>
        </w:rPr>
        <w:t>1,2</w:t>
      </w:r>
      <w:r>
        <w:t xml:space="preserve"> Mechanical circulatory support (</w:t>
      </w:r>
      <w:r>
        <w:t>MCS) is a surgical intervention in which a mechanical device is implanted in parallel to the heart to improve circulation.</w:t>
      </w:r>
      <w:r>
        <w:rPr>
          <w:vertAlign w:val="superscript"/>
        </w:rPr>
        <w:t>3</w:t>
      </w:r>
      <w:r>
        <w:t xml:space="preserve"> Typically, MCS is used while a patient waits for a heart transplant (bridge-to-transplant) or in some cases as an alternative to tra</w:t>
      </w:r>
      <w:r>
        <w:t>nsplant (destination therapy).</w:t>
      </w:r>
      <w:r>
        <w:rPr>
          <w:vertAlign w:val="superscript"/>
        </w:rPr>
        <w:t>4</w:t>
      </w:r>
      <w:r>
        <w:t xml:space="preserve"> Over 250,000 patients could benefit from MCS.</w:t>
      </w:r>
      <w:r>
        <w:rPr>
          <w:vertAlign w:val="superscript"/>
        </w:rPr>
        <w:t>5</w:t>
      </w:r>
      <w:r>
        <w:t xml:space="preserve"> However, less than 4,000 new patients receive a long-term MCS device each year, with widely heterogeneous outcomes.</w:t>
      </w:r>
      <w:r>
        <w:rPr>
          <w:vertAlign w:val="superscript"/>
        </w:rPr>
        <w:t>6</w:t>
      </w:r>
      <w:r>
        <w:t xml:space="preserve"> The 2-year survival probability on MCS ranges from 61% for d</w:t>
      </w:r>
      <w:r>
        <w:t>estination therapy to 78% for bridge-to-transplant.</w:t>
      </w:r>
      <w:r>
        <w:rPr>
          <w:vertAlign w:val="superscript"/>
        </w:rPr>
        <w:t>3</w:t>
      </w:r>
      <w:r>
        <w:t xml:space="preserve"> Reliable predictions of patient-specific risk to experience key outcomes such as mortality or transplant after receiving MCS can help improve patient selection, inform the design of next generation pumps</w:t>
      </w:r>
      <w:r>
        <w:t>, and improve patient care strategies.</w:t>
      </w:r>
    </w:p>
    <w:p w:rsidR="00BF033B" w:rsidRDefault="00BF033B">
      <w:pPr>
        <w:pStyle w:val="BodyText"/>
      </w:pPr>
    </w:p>
    <w:p w:rsidR="00BF033B" w:rsidRDefault="00B20113">
      <w:pPr>
        <w:pStyle w:val="BodyText"/>
      </w:pPr>
      <w:r>
        <w:t>The Interagency Registry for Mechanically Assisted Circulatory Support (INTERMACS) was launched to improve MCS patient outcomes through the collection of patient characteristics, medical events, and long terms outcom</w:t>
      </w:r>
      <w:r>
        <w:t>es at a nationwide level. Currently, INTERMACS comprises over 20,000 patients who have received a MCS device. As the largest registry for data on patients receiving MCS devices, INTERMACS has been leveraged to develop numerous risk prediction models for mo</w:t>
      </w:r>
      <w:r>
        <w:t>rtality and other types of adverse events that may occur after receiving a device.</w:t>
      </w:r>
      <w:r>
        <w:rPr>
          <w:vertAlign w:val="superscript"/>
        </w:rPr>
        <w:t>7–12</w:t>
      </w:r>
      <w:r>
        <w:t xml:space="preserve"> An important step for developing risk prediction models is dealing with missing data, which is common in a “real world” database that is not designed for the rigor of da</w:t>
      </w:r>
      <w:r>
        <w:t xml:space="preserve">ta completeness found in a clinical trial. While some missing values are related to data entry error, </w:t>
      </w:r>
      <w:r>
        <w:lastRenderedPageBreak/>
        <w:t>others may relate to instability of a patient’s circulatory status at the time of implant. For instance, hemodynamic laboratory values are missing for pat</w:t>
      </w:r>
      <w:r>
        <w:t>ients in whom invasive catheterizations were not performed. Patients without invasive catheterizations may be too ill (unstable) to tolerate the procedure. Instead, such patients may, after determination of basic hemodynamics, proceed directly to device pl</w:t>
      </w:r>
      <w:r>
        <w:t>acement.</w:t>
      </w:r>
    </w:p>
    <w:p w:rsidR="00BF033B" w:rsidRDefault="00BF033B">
      <w:pPr>
        <w:pStyle w:val="BodyText"/>
      </w:pPr>
    </w:p>
    <w:p w:rsidR="00BF033B" w:rsidRDefault="00B20113">
      <w:pPr>
        <w:pStyle w:val="BodyText"/>
      </w:pPr>
      <w:r>
        <w:t>The primary aim of this article is to quantify how much the prognostic value of a risk prediction model developed from the INTERMACS registry depends on the strategy that was applied to impute missing data prior to developing the model. A seconda</w:t>
      </w:r>
      <w:r>
        <w:t>ry aim is to measure imputation accuracy of each strategy by introducing varying levels of artificial missing data (</w:t>
      </w:r>
      <w:r>
        <w:rPr>
          <w:i/>
        </w:rPr>
        <w:t>i.e.</w:t>
      </w:r>
      <w:r>
        <w:t xml:space="preserve"> data amputation) and then imputing it. Because imputation to the mean has been a standard method for multiple annual summaries of the I</w:t>
      </w:r>
      <w:r>
        <w:t xml:space="preserve">NTERMACS data, we measure the potential improvement in prognostic value of a risk prediction model when other strategies are applied to impute missing data </w:t>
      </w:r>
      <w:r>
        <w:rPr>
          <w:i/>
        </w:rPr>
        <w:t>instead of</w:t>
      </w:r>
      <w:r>
        <w:t xml:space="preserve"> imputation to the mean. The over-arching aim is to clarify which imputation strategies ar</w:t>
      </w:r>
      <w:r>
        <w:t>e most likely to improve risk prediction (and by extension, quality of care) for patients who receive MCS devices. This investigation can directly inform future analyses of INTERMACS data and provide evidence quantifying the benefit of imputing missing dat</w:t>
      </w:r>
      <w:r>
        <w:t>a with sound methodology.</w:t>
      </w:r>
    </w:p>
    <w:p w:rsidR="00BF033B" w:rsidRDefault="00BF033B">
      <w:pPr>
        <w:pStyle w:val="BodyText"/>
      </w:pPr>
    </w:p>
    <w:p w:rsidR="00BF033B" w:rsidRDefault="00B20113">
      <w:pPr>
        <w:pStyle w:val="Heading1"/>
      </w:pPr>
      <w:bookmarkStart w:id="3" w:name="methods"/>
      <w:bookmarkEnd w:id="2"/>
      <w:r>
        <w:lastRenderedPageBreak/>
        <w:t>Methods</w:t>
      </w:r>
    </w:p>
    <w:p w:rsidR="00BF033B" w:rsidRDefault="00B20113">
      <w:pPr>
        <w:pStyle w:val="FirstParagraph"/>
      </w:pPr>
      <w:r>
        <w:t xml:space="preserve">the INTERMACS registry is a North American observational registry for patients receiving MCS devices that began as a partnership between the National Heart, Lung, and Blood Institute, US Food and Drug Administration, the </w:t>
      </w:r>
      <w:r>
        <w:t>Centers for Medicaid and Medicare Services, industry, and individual hospitals with the mission of improving MCS outcomes. In 2018, INTERMACS became an official Society of Thoracic Surgeons database.</w:t>
      </w:r>
    </w:p>
    <w:p w:rsidR="00BF033B" w:rsidRDefault="00BF033B">
      <w:pPr>
        <w:pStyle w:val="BodyText"/>
      </w:pPr>
    </w:p>
    <w:p w:rsidR="00BF033B" w:rsidRDefault="00B20113">
      <w:pPr>
        <w:pStyle w:val="BodyText"/>
      </w:pPr>
      <w:r>
        <w:t>The current analysis was conducted using publicly avail</w:t>
      </w:r>
      <w:r>
        <w:t xml:space="preserve">able data provided by the National Heart, Lung, and Blood Institute (see </w:t>
      </w:r>
      <w:hyperlink r:id="rId7">
        <w:r>
          <w:rPr>
            <w:rStyle w:val="Hyperlink"/>
          </w:rPr>
          <w:t>https://biolincc.nhlbi.nih.gov/studies/intermacs/</w:t>
        </w:r>
      </w:hyperlink>
      <w:r>
        <w:t>). We included a contemporary cohort of 14,738 patients who recei</w:t>
      </w:r>
      <w:r>
        <w:t>ved continuous flow LVAD from 2012-2017. This is a secondary analysis of de-identified data obtained from the National Heart Lung and Blood Institute. Primary data collection is approved through University of Alabama Institutional Review Board and at indiv</w:t>
      </w:r>
      <w:r>
        <w:t>idual sites.</w:t>
      </w:r>
    </w:p>
    <w:p w:rsidR="00BF033B" w:rsidRDefault="00BF033B">
      <w:pPr>
        <w:pStyle w:val="BodyText"/>
      </w:pPr>
    </w:p>
    <w:p w:rsidR="00BF033B" w:rsidRDefault="00B20113">
      <w:pPr>
        <w:pStyle w:val="Heading2"/>
      </w:pPr>
      <w:bookmarkStart w:id="4" w:name="outcomes-and-predictors"/>
      <w:r>
        <w:t>Outcomes and Predictors</w:t>
      </w:r>
    </w:p>
    <w:p w:rsidR="00BF033B" w:rsidRDefault="00B20113">
      <w:pPr>
        <w:pStyle w:val="FirstParagraph"/>
      </w:pPr>
      <w:r>
        <w:t>Patient follow-up begins after implantation of a durable, long term MCS device and continues while a device is in place. Registry endpoints include death on a device, heart transplantation, or cessation of support (for</w:t>
      </w:r>
      <w:r>
        <w:t xml:space="preserve"> recovery and non-recovery reasons). Mortality and transplant after MCS were the primary outcomes for the current study. As there were only 310 cessation of support events, we did not analyze this outcome. For mortality and transplant risk prediction model</w:t>
      </w:r>
      <w:r>
        <w:t xml:space="preserve">s, we applied event-specific analysis to account for competing risks. For example, in risk prediction models for mortality, patients were censored at time of last contact, transplant, or cessation of </w:t>
      </w:r>
      <w:r>
        <w:lastRenderedPageBreak/>
        <w:t>support, whichever occurred first. INTERMACS collects pr</w:t>
      </w:r>
      <w:r>
        <w:t>e-implant data on patient characteristics, medical status, and laboratory values. INTERMACS also collects follow-up data at regularly scheduled visits and at occurrence of adverse events such as re-hospitalization. For the current analysis, all pre-implant</w:t>
      </w:r>
      <w:r>
        <w:t xml:space="preserve"> variables were considered as potential predictors.</w:t>
      </w:r>
    </w:p>
    <w:p w:rsidR="00BF033B" w:rsidRDefault="00BF033B">
      <w:pPr>
        <w:pStyle w:val="BodyText"/>
      </w:pPr>
    </w:p>
    <w:p w:rsidR="00BF033B" w:rsidRDefault="00B20113">
      <w:pPr>
        <w:pStyle w:val="Heading2"/>
      </w:pPr>
      <w:bookmarkStart w:id="5" w:name="X9fca244158654506d8935b864985820bee51078"/>
      <w:bookmarkEnd w:id="4"/>
      <w:r>
        <w:t>Statistical Inference and Learning with Missing data</w:t>
      </w:r>
    </w:p>
    <w:p w:rsidR="00BF033B" w:rsidRDefault="00B20113">
      <w:pPr>
        <w:pStyle w:val="FirstParagraph"/>
      </w:pPr>
      <w:r>
        <w:rPr>
          <w:b/>
        </w:rPr>
        <w:t>Statistical Inference:</w:t>
      </w:r>
      <w:r>
        <w:t xml:space="preserve"> </w:t>
      </w:r>
      <w:r>
        <w:t>To conduct statistical inference in the context of missing data setting, analysts often create multiple imputed datasets, replicate an analysis in each of them, and then pool their results to obtain valid test statistics for hypothesis testing.</w:t>
      </w:r>
      <w:r>
        <w:rPr>
          <w:vertAlign w:val="superscript"/>
        </w:rPr>
        <w:t>13</w:t>
      </w:r>
      <w:r>
        <w:t xml:space="preserve"> Imputatio</w:t>
      </w:r>
      <w:r>
        <w:t>n strategies that create a single imputed dataset (imputation to the mean) have been shown to increase type I errors (rejecting a true null hypothesis) for inferential statistics by artificially reducing the variance of observed data and ignoring the uncer</w:t>
      </w:r>
      <w:r>
        <w:t>tainty attributed to missing values.</w:t>
      </w:r>
      <w:r>
        <w:rPr>
          <w:vertAlign w:val="superscript"/>
        </w:rPr>
        <w:t>14</w:t>
      </w:r>
      <w:r>
        <w:t xml:space="preserve"> To ensure valid inference, imputation models should leverage outcome variables to predict missing predictors.</w:t>
      </w:r>
      <w:r>
        <w:rPr>
          <w:vertAlign w:val="superscript"/>
        </w:rPr>
        <w:t>15</w:t>
      </w:r>
      <w:r>
        <w:t xml:space="preserve"> When very few data are missing, analysts may apply listwise deletion, </w:t>
      </w:r>
      <w:r>
        <w:rPr>
          <w:i/>
        </w:rPr>
        <w:t>i.e.</w:t>
      </w:r>
      <w:r>
        <w:t xml:space="preserve"> </w:t>
      </w:r>
      <w:r>
        <w:t>removing any observation with at least one missing value. However, listwise deletion can easily lead to biased inference.</w:t>
      </w:r>
      <w:r>
        <w:rPr>
          <w:vertAlign w:val="superscript"/>
        </w:rPr>
        <w:t>16</w:t>
      </w:r>
    </w:p>
    <w:p w:rsidR="00BF033B" w:rsidRDefault="00BF033B">
      <w:pPr>
        <w:pStyle w:val="BodyText"/>
      </w:pPr>
    </w:p>
    <w:p w:rsidR="00BF033B" w:rsidRDefault="00B20113">
      <w:pPr>
        <w:pStyle w:val="BodyText"/>
      </w:pPr>
      <w:r>
        <w:rPr>
          <w:b/>
        </w:rPr>
        <w:t>Statistical Learning:</w:t>
      </w:r>
      <w:r>
        <w:t xml:space="preserve"> In the presence of missing data, the goal of supervised statistical learning is to develop a prediction funct</w:t>
      </w:r>
      <w:r>
        <w:t>ion for an outcome variable that accurately generalizes to testing data, which may or may not contain missing values.</w:t>
      </w:r>
      <w:r>
        <w:rPr>
          <w:vertAlign w:val="superscript"/>
        </w:rPr>
        <w:t>17</w:t>
      </w:r>
      <w:r>
        <w:t xml:space="preserve"> Because testing data may contain missing values, listwise deletion is not a feasible strategy for statistical learning tasks. In contras</w:t>
      </w:r>
      <w:r>
        <w:t xml:space="preserve">t to statistical inference, strategies that create a single imputed dataset are often used for statistical </w:t>
      </w:r>
      <w:r>
        <w:lastRenderedPageBreak/>
        <w:t>learning.</w:t>
      </w:r>
      <w:r>
        <w:rPr>
          <w:vertAlign w:val="superscript"/>
        </w:rPr>
        <w:t>18</w:t>
      </w:r>
      <w:r>
        <w:t xml:space="preserve"> Previous work has emphasized the importance of imputation strategies with greater accuracy, suggesting that more accurate imputation stra</w:t>
      </w:r>
      <w:r>
        <w:t>tegies lead to better performance of downstream models (</w:t>
      </w:r>
      <w:r>
        <w:rPr>
          <w:i/>
        </w:rPr>
        <w:t>i.e.</w:t>
      </w:r>
      <w:r>
        <w:t xml:space="preserve"> models fitted to the imputed data).</w:t>
      </w:r>
      <w:r>
        <w:rPr>
          <w:vertAlign w:val="superscript"/>
        </w:rPr>
        <w:t>19</w:t>
      </w:r>
      <w:r>
        <w:t xml:space="preserve"> Others have shown that imputation to the mean, model-based imputation, and multiple imputation can provide Bayes-optimal prediction models provided certain a</w:t>
      </w:r>
      <w:r>
        <w:t>ssumptions are true, but these assumptions are difficult to validate in applied settings.</w:t>
      </w:r>
      <w:r>
        <w:rPr>
          <w:vertAlign w:val="superscript"/>
        </w:rPr>
        <w:t>20</w:t>
      </w:r>
    </w:p>
    <w:p w:rsidR="00BF033B" w:rsidRDefault="00BF033B">
      <w:pPr>
        <w:pStyle w:val="BodyText"/>
      </w:pPr>
    </w:p>
    <w:p w:rsidR="00BF033B" w:rsidRDefault="00B20113">
      <w:pPr>
        <w:pStyle w:val="BodyText"/>
      </w:pPr>
      <w:r>
        <w:rPr>
          <w:b/>
        </w:rPr>
        <w:t>Using outcomes during imputation:</w:t>
      </w:r>
      <w:r>
        <w:t xml:space="preserve"> The outcome variable should be used to impute predictor values for statistical inference, but using outcome variables for this pu</w:t>
      </w:r>
      <w:r>
        <w:t xml:space="preserve">rpose in supervised learning can have unintended consequences in model implementation. For instance, suppose we seek to predict an outcome </w:t>
      </w:r>
      <m:oMath>
        <m:r>
          <w:rPr>
            <w:rFonts w:ascii="Cambria Math" w:hAnsi="Cambria Math"/>
          </w:rPr>
          <m:t>Y</m:t>
        </m:r>
      </m:oMath>
      <w:r>
        <w:t xml:space="preserve"> for a patient in the clinical setting. If the patient is missing information for a predictor </w:t>
      </w:r>
      <m:oMath>
        <m:r>
          <w:rPr>
            <w:rFonts w:ascii="Cambria Math" w:hAnsi="Cambria Math"/>
          </w:rPr>
          <m:t>X</m:t>
        </m:r>
      </m:oMath>
      <w:r>
        <w:t xml:space="preserve"> and our model’s st</w:t>
      </w:r>
      <w:r>
        <w:t xml:space="preserve">rategy to impute missing values of </w:t>
      </w:r>
      <m:oMath>
        <m:r>
          <w:rPr>
            <w:rFonts w:ascii="Cambria Math" w:hAnsi="Cambria Math"/>
          </w:rPr>
          <m:t>X</m:t>
        </m:r>
      </m:oMath>
      <w:r>
        <w:t xml:space="preserve"> leverages the observed value of </w:t>
      </w:r>
      <m:oMath>
        <m:r>
          <w:rPr>
            <w:rFonts w:ascii="Cambria Math" w:hAnsi="Cambria Math"/>
          </w:rPr>
          <m:t>Y</m:t>
        </m:r>
      </m:oMath>
      <w:r>
        <w:t xml:space="preserve">, how should we impute </w:t>
      </w:r>
      <m:oMath>
        <m:r>
          <w:rPr>
            <w:rFonts w:ascii="Cambria Math" w:hAnsi="Cambria Math"/>
          </w:rPr>
          <m:t>X</m:t>
        </m:r>
      </m:oMath>
      <w:r>
        <w:t xml:space="preserve">? If we do not already know </w:t>
      </w:r>
      <m:oMath>
        <m:r>
          <w:rPr>
            <w:rFonts w:ascii="Cambria Math" w:hAnsi="Cambria Math"/>
          </w:rPr>
          <m:t>Y</m:t>
        </m:r>
      </m:oMath>
      <w:r>
        <w:t xml:space="preserve">, then we cannot impute </w:t>
      </w:r>
      <m:oMath>
        <m:r>
          <w:rPr>
            <w:rFonts w:ascii="Cambria Math" w:hAnsi="Cambria Math"/>
          </w:rPr>
          <m:t>X</m:t>
        </m:r>
      </m:oMath>
      <w:r>
        <w:t xml:space="preserve"> and hence cannot generate a valid prediction. On the other hand, if we already know </w:t>
      </w:r>
      <m:oMath>
        <m:r>
          <w:rPr>
            <w:rFonts w:ascii="Cambria Math" w:hAnsi="Cambria Math"/>
          </w:rPr>
          <m:t>Y</m:t>
        </m:r>
      </m:oMath>
      <w:r>
        <w:t>, then we do not</w:t>
      </w:r>
      <w:r>
        <w:t xml:space="preserve"> need to predict it. Due to these practical considerations and because INTERMACS is often leveraged to create prediction models for clinical practice,</w:t>
      </w:r>
      <w:r>
        <w:rPr>
          <w:vertAlign w:val="superscript"/>
        </w:rPr>
        <w:t>21</w:t>
      </w:r>
      <w:r>
        <w:t xml:space="preserve"> we did not leverage outcome variables to impute missing values of predictors in the current analysis.</w:t>
      </w:r>
    </w:p>
    <w:p w:rsidR="00BF033B" w:rsidRDefault="00BF033B">
      <w:pPr>
        <w:pStyle w:val="BodyText"/>
      </w:pPr>
    </w:p>
    <w:p w:rsidR="00BF033B" w:rsidRDefault="00B20113">
      <w:pPr>
        <w:pStyle w:val="Heading2"/>
      </w:pPr>
      <w:bookmarkStart w:id="6" w:name="missing-data-strategies"/>
      <w:bookmarkEnd w:id="5"/>
      <w:r>
        <w:t>Missing Data Strategies</w:t>
      </w:r>
    </w:p>
    <w:p w:rsidR="00BF033B" w:rsidRDefault="00B20113">
      <w:pPr>
        <w:pStyle w:val="FirstParagraph"/>
      </w:pPr>
      <w:r>
        <w:rPr>
          <w:b/>
        </w:rPr>
        <w:t>Single and multiple imputation:</w:t>
      </w:r>
      <w:r>
        <w:t xml:space="preserve"> Several of the imputation methods we considered allowed for creation of single or multiple imputed datasets. For downstream models fitted to multiple sets of imputed data, we applied the modeling tech</w:t>
      </w:r>
      <w:r>
        <w:t xml:space="preserve">nique to each imputed training set, separately, and </w:t>
      </w:r>
      <w:r>
        <w:lastRenderedPageBreak/>
        <w:t>then used a pooling technique to generate a single set of predictions based on multiple imputed testing data. Specifically, we created 10 imputed training and testing sets, then applied a modeling procedu</w:t>
      </w:r>
      <w:r>
        <w:t>re to each imputed training set and computed model predictions on the corresponding imputed testing set, which led to 10 sets of predictions. To aggregate these predictions, we computed the median for each patient. Informal experiments where the mean was u</w:t>
      </w:r>
      <w:r>
        <w:t>sed instead of the median to aggregate predictions showed little or no difference in the model’s prediction accuracy.</w:t>
      </w:r>
    </w:p>
    <w:p w:rsidR="00BF033B" w:rsidRDefault="00BF033B">
      <w:pPr>
        <w:pStyle w:val="BodyText"/>
      </w:pPr>
    </w:p>
    <w:p w:rsidR="00BF033B" w:rsidRDefault="00B20113">
      <w:pPr>
        <w:pStyle w:val="BodyText"/>
      </w:pPr>
      <w:r>
        <w:rPr>
          <w:b/>
        </w:rPr>
        <w:t>Imputation to the mean:</w:t>
      </w:r>
      <w:r>
        <w:t xml:space="preserve"> Imputing data to the mean involves three steps. First, numeric and nominal variables are identified. Second, for </w:t>
      </w:r>
      <w:r>
        <w:t>each numeric variable, the mean is computed and used to impute missing values in the corresponding variable. Third, for each nominal variable, the mode is computed (because one cannot compute a mean for categorical variables) and used to impute missing val</w:t>
      </w:r>
      <w:r>
        <w:t xml:space="preserve">ues in the corresponding variable. The computed means and modes are then stored for future imputation of testing data. Because imputation to the mean is frequently used in practice, we use it as a reference for comparison of all other strategies to impute </w:t>
      </w:r>
      <w:r>
        <w:t>missing values.</w:t>
      </w:r>
    </w:p>
    <w:p w:rsidR="00BF033B" w:rsidRDefault="00BF033B">
      <w:pPr>
        <w:pStyle w:val="BodyText"/>
      </w:pPr>
    </w:p>
    <w:p w:rsidR="00BF033B" w:rsidRDefault="00B20113">
      <w:pPr>
        <w:pStyle w:val="BodyText"/>
      </w:pPr>
      <w:r>
        <w:rPr>
          <w:b/>
        </w:rPr>
        <w:t>Bayesian Regression:</w:t>
      </w:r>
      <w:r>
        <w:t xml:space="preserve"> Imputation with Bayesian regression draws imputed values from the posterior distribution of model parameters, accounting for uncertainty in both model error and estimation.</w:t>
      </w:r>
      <w:r>
        <w:rPr>
          <w:vertAlign w:val="superscript"/>
        </w:rPr>
        <w:t>13</w:t>
      </w:r>
      <w:r>
        <w:t xml:space="preserve"> Multiple imputation with chained equations </w:t>
      </w:r>
      <w:r>
        <w:t>(MICE), a well known technique for generating multiply imputed data.</w:t>
      </w:r>
      <w:r>
        <w:rPr>
          <w:vertAlign w:val="superscript"/>
        </w:rPr>
        <w:t>14,22,23</w:t>
      </w:r>
      <w:r>
        <w:t xml:space="preserve"> In each iteration of MICE, each specified variable in the dataset is imputed using other variables in the dataset. These iterations are run until convergence criteria have been me</w:t>
      </w:r>
      <w:r>
        <w:t>t.</w:t>
      </w:r>
    </w:p>
    <w:p w:rsidR="00BF033B" w:rsidRDefault="00BF033B">
      <w:pPr>
        <w:pStyle w:val="BodyText"/>
      </w:pPr>
    </w:p>
    <w:p w:rsidR="00BF033B" w:rsidRDefault="00B20113">
      <w:pPr>
        <w:pStyle w:val="BodyText"/>
      </w:pPr>
      <w:r>
        <w:rPr>
          <w:b/>
        </w:rPr>
        <w:t>Predictive Mean Matching (PMM):</w:t>
      </w:r>
      <w:r>
        <w:t xml:space="preserve"> PMM computes predicted values from a pre-specified model that treats one incomplete column in the data, </w:t>
      </w:r>
      <m:oMath>
        <m:r>
          <w:rPr>
            <w:rFonts w:ascii="Cambria Math" w:hAnsi="Cambria Math"/>
          </w:rPr>
          <m:t>X</m:t>
        </m:r>
      </m:oMath>
      <w:r>
        <w:t xml:space="preserve">, as a dependent variable. For each missing value in </w:t>
      </w:r>
      <m:oMath>
        <m:r>
          <w:rPr>
            <w:rFonts w:ascii="Cambria Math" w:hAnsi="Cambria Math"/>
          </w:rPr>
          <m:t>X</m:t>
        </m:r>
      </m:oMath>
      <w:r>
        <w:t>, PMM identifies a set of candidate donors based on distanc</w:t>
      </w:r>
      <w:r>
        <w:t xml:space="preserve">e in predicted values of </w:t>
      </w:r>
      <m:oMath>
        <m:r>
          <w:rPr>
            <w:rFonts w:ascii="Cambria Math" w:hAnsi="Cambria Math"/>
          </w:rPr>
          <m:t>X</m:t>
        </m:r>
      </m:oMath>
      <w:r>
        <w:t>.</w:t>
      </w:r>
      <w:r>
        <w:rPr>
          <w:vertAlign w:val="superscript"/>
        </w:rPr>
        <w:t>24</w:t>
      </w:r>
      <w:r>
        <w:t xml:space="preserve"> One donor is randomly drawn from the candidates, and the observed value of the donor is taken to replace the missing value. When missing values were imputed using PMM, we applied MICE to form multiple imputed datasets. For co</w:t>
      </w:r>
      <w:r>
        <w:t>nsistency with other approaches, we also generated a single imputed dataset using PMM by randomly selecting one of the multiple datasets imputed.</w:t>
      </w:r>
    </w:p>
    <w:p w:rsidR="00BF033B" w:rsidRDefault="00BF033B">
      <w:pPr>
        <w:pStyle w:val="BodyText"/>
      </w:pPr>
    </w:p>
    <w:p w:rsidR="00BF033B" w:rsidRDefault="00B20113">
      <w:pPr>
        <w:pStyle w:val="BodyText"/>
      </w:pPr>
      <w:r>
        <w:rPr>
          <w:b/>
        </w:rPr>
        <w:t>K-Nearest-Neighbors (KNN):</w:t>
      </w:r>
      <w:r>
        <w:t xml:space="preserve"> KNN imputation identifies </w:t>
      </w:r>
      <m:oMath>
        <m:r>
          <w:rPr>
            <w:rFonts w:ascii="Cambria Math" w:hAnsi="Cambria Math"/>
          </w:rPr>
          <m:t>k</m:t>
        </m:r>
      </m:oMath>
      <w:r>
        <w:t xml:space="preserve"> `similar’ observations (</w:t>
      </w:r>
      <w:r>
        <w:rPr>
          <w:i/>
        </w:rPr>
        <w:t>i.e.</w:t>
      </w:r>
      <w:r>
        <w:t xml:space="preserve"> neighbors) for each obse</w:t>
      </w:r>
      <w:r>
        <w:t>rvation with a missing value in a given variable.</w:t>
      </w:r>
      <w:r>
        <w:rPr>
          <w:vertAlign w:val="superscript"/>
        </w:rPr>
        <w:t>25</w:t>
      </w:r>
      <w:r>
        <w:t xml:space="preserve"> A donor value for the current missing value is generated by sampling or aggregating the values from the </w:t>
      </w:r>
      <m:oMath>
        <m:r>
          <w:rPr>
            <w:rFonts w:ascii="Cambria Math" w:hAnsi="Cambria Math"/>
          </w:rPr>
          <m:t>k</m:t>
        </m:r>
      </m:oMath>
      <w:r>
        <w:t xml:space="preserve"> nearest neighbors. In the current analysis, we identified 10 nearest neighbors using Gower’s dist</w:t>
      </w:r>
      <w:r>
        <w:t>ance.</w:t>
      </w:r>
      <w:r>
        <w:rPr>
          <w:vertAlign w:val="superscript"/>
        </w:rPr>
        <w:t>26</w:t>
      </w:r>
      <w:r>
        <w:t xml:space="preserve"> When imputing a single dataset using KNN, we aggregated values from 10 nearest neighbors using the median for numeric variables and the mode for categorical variables. When imputing multiple datasets using KNN, we aggregated values from 2, 6, 11, 1</w:t>
      </w:r>
      <w:r>
        <w:t>6, and 20 neighbors, separately, to create 5 imputed datasets.</w:t>
      </w:r>
    </w:p>
    <w:p w:rsidR="00BF033B" w:rsidRDefault="00BF033B">
      <w:pPr>
        <w:pStyle w:val="BodyText"/>
      </w:pPr>
    </w:p>
    <w:p w:rsidR="00BF033B" w:rsidRDefault="00B20113">
      <w:pPr>
        <w:pStyle w:val="BodyText"/>
      </w:pPr>
      <w:r>
        <w:rPr>
          <w:b/>
        </w:rPr>
        <w:t>Hot Deck:</w:t>
      </w:r>
      <w:r>
        <w:t xml:space="preserve"> Similar to KNN, hot deck imputation finds </w:t>
      </w:r>
      <m:oMath>
        <m:r>
          <w:rPr>
            <w:rFonts w:ascii="Cambria Math" w:hAnsi="Cambria Math"/>
          </w:rPr>
          <m:t>k</m:t>
        </m:r>
      </m:oMath>
      <w:r>
        <w:t xml:space="preserve"> similar observations for each observation with a missing value in a given variable.</w:t>
      </w:r>
      <w:r>
        <w:rPr>
          <w:vertAlign w:val="superscript"/>
        </w:rPr>
        <w:t>27</w:t>
      </w:r>
      <w:r>
        <w:t xml:space="preserve"> However, hot deck imputation uses a less computatio</w:t>
      </w:r>
      <w:r>
        <w:t xml:space="preserve">nally intensive approach, either identifying neighbors at random or using a subset of </w:t>
      </w:r>
      <w:r>
        <w:lastRenderedPageBreak/>
        <w:t>variables to find similar observations. When imputing a single dataset using hot deck imputation, we used a selection of 5 variables simultaneously to identify nearest ne</w:t>
      </w:r>
      <w:r>
        <w:t>ighbors. When imputing multiple datasets using hot deck imputation, we used a separate numeric variable for each dataset.</w:t>
      </w:r>
    </w:p>
    <w:p w:rsidR="00BF033B" w:rsidRDefault="00BF033B">
      <w:pPr>
        <w:pStyle w:val="BodyText"/>
      </w:pPr>
    </w:p>
    <w:p w:rsidR="00BF033B" w:rsidRDefault="00B20113">
      <w:pPr>
        <w:pStyle w:val="BodyText"/>
      </w:pPr>
      <w:r>
        <w:rPr>
          <w:b/>
        </w:rPr>
        <w:t>Random forests:</w:t>
      </w:r>
      <w:r>
        <w:t xml:space="preserve"> Random forests grow an ensemble of de-correlated decision trees, where each tree is grown using a bootstrapped replic</w:t>
      </w:r>
      <w:r>
        <w:t>ate of the original training data.</w:t>
      </w:r>
      <w:r>
        <w:rPr>
          <w:vertAlign w:val="superscript"/>
        </w:rPr>
        <w:t>28–33</w:t>
      </w:r>
      <w:r>
        <w:t xml:space="preserve"> A particularly helpful feature of random forests is their ability to estimate testing error by aggregating each decision tree’s prediction error on data outside of their bootstrapped sample (</w:t>
      </w:r>
      <w:r>
        <w:rPr>
          <w:i/>
        </w:rPr>
        <w:t>i.e.</w:t>
      </w:r>
      <w:r>
        <w:t xml:space="preserve"> out-of-bag error). I</w:t>
      </w:r>
      <w:r>
        <w:t>n the current analysis, we conduct MICE using one random forest to impute each variable, separately. For each imputed dataset, we allowed random forests to be re-fitted until out-of-bag error stabilized or a maximum number of iterations was completed. When</w:t>
      </w:r>
      <w:r>
        <w:t xml:space="preserve"> imputing a single dataset, we used 250 trees per forest and a maximum of 10 iterations. When imputing multiple datasets, we used 50 trees per forest and applied PMM using the random forest’s predicted values to impute missing data by sampling one value fr</w:t>
      </w:r>
      <w:r>
        <w:t>om a pool of 10 potential donors.</w:t>
      </w:r>
    </w:p>
    <w:p w:rsidR="00BF033B" w:rsidRDefault="00BF033B">
      <w:pPr>
        <w:pStyle w:val="BodyText"/>
      </w:pPr>
    </w:p>
    <w:p w:rsidR="00BF033B" w:rsidRDefault="00B20113">
      <w:pPr>
        <w:pStyle w:val="BodyText"/>
      </w:pPr>
      <w:r>
        <w:rPr>
          <w:b/>
        </w:rPr>
        <w:t>Missingness incorporated as an attribute (MIA):</w:t>
      </w:r>
      <w:r>
        <w:t xml:space="preserve"> MIA is a technique that uses missing status as a predictor rather than explicitly imputing missing values.</w:t>
      </w:r>
      <w:r>
        <w:rPr>
          <w:vertAlign w:val="superscript"/>
        </w:rPr>
        <w:t>34,35</w:t>
      </w:r>
      <w:r>
        <w:t xml:space="preserve"> MIA adds another category to nominal variables: “Missing.” Fo</w:t>
      </w:r>
      <w:r>
        <w:t xml:space="preserve">r numeric variables, MIA creates two columns: one where missing values are imputed with positive infinity and the other with negative infinity. Since PH models are not compatible with infinite values, we only use MIA in boosting models. When a </w:t>
      </w:r>
      <w:r>
        <w:lastRenderedPageBreak/>
        <w:t>decision tre</w:t>
      </w:r>
      <w:r>
        <w:t xml:space="preserve">e uses a finite cut-point to split a given numeric variable, it will assess the cut-point using both the positive and negative infinite imputed columns, and utilize whichever column provides the best split of the current data. This procedure translates to </w:t>
      </w:r>
      <w:r>
        <w:t>sending all missing values to the left or to the right when forming two new nodes of the decision tree, using whichever direction results in a better split.</w:t>
      </w:r>
    </w:p>
    <w:p w:rsidR="00BF033B" w:rsidRDefault="00BF033B">
      <w:pPr>
        <w:pStyle w:val="BodyText"/>
      </w:pPr>
    </w:p>
    <w:p w:rsidR="00BF033B" w:rsidRDefault="00B20113">
      <w:pPr>
        <w:pStyle w:val="BodyText"/>
      </w:pPr>
      <w:r>
        <w:rPr>
          <w:b/>
        </w:rPr>
        <w:t>Assumptions:</w:t>
      </w:r>
      <w:r>
        <w:t xml:space="preserve"> </w:t>
      </w:r>
      <w:r>
        <w:t>Each missing data strategy poses different assumptions regarding the data and the mechanisms that lead to missing values in the data. Imputation using Bayesian regression makes the same distributional assumptions as the Bayesian models that are applied. Th</w:t>
      </w:r>
      <w:r>
        <w:t>e miceRanger algorithm does not make any formal distributional assumptions, as random forests are non-parametric and can thus handle skewed and multi-modal data as well as categorical data that are ordinal or non-ordinal. Hot deck and KNN imputation also d</w:t>
      </w:r>
      <w:r>
        <w:t xml:space="preserve">o not make distributional assumptions, but implicitly assume that a missing value for a given observation can be approximated by aggregating observed values from the </w:t>
      </w:r>
      <m:oMath>
        <m:r>
          <w:rPr>
            <w:rFonts w:ascii="Cambria Math" w:hAnsi="Cambria Math"/>
          </w:rPr>
          <m:t>k</m:t>
        </m:r>
      </m:oMath>
      <w:r>
        <w:t xml:space="preserve"> most similar observations. PMM makes a similar implicit assumption, but is slightly mor</w:t>
      </w:r>
      <w:r>
        <w:t>e robust to skewed or multi-modal data because imputed values are sampled directly from observed ones. MIA operates based on an implicit assumption that missingness itself is informative. It is difficult to validate these assumptions in applied settings an</w:t>
      </w:r>
      <w:r>
        <w:t>d also likely that downstream models will perform poorly if an imputation technique’s assumptions are invalid.</w:t>
      </w:r>
    </w:p>
    <w:p w:rsidR="00BF033B" w:rsidRDefault="00BF033B">
      <w:pPr>
        <w:pStyle w:val="BodyText"/>
      </w:pPr>
    </w:p>
    <w:p w:rsidR="00BF033B" w:rsidRDefault="00B20113">
      <w:pPr>
        <w:pStyle w:val="Heading2"/>
      </w:pPr>
      <w:bookmarkStart w:id="7" w:name="evaluating-imputation-accuracy"/>
      <w:bookmarkEnd w:id="6"/>
      <w:r>
        <w:lastRenderedPageBreak/>
        <w:t>Evaluating Imputation Accuracy</w:t>
      </w:r>
    </w:p>
    <w:p w:rsidR="00BF033B" w:rsidRDefault="00B20113">
      <w:pPr>
        <w:pStyle w:val="FirstParagraph"/>
      </w:pPr>
      <w:r>
        <w:t>Imputation accuracy was computed for each numerical and nominal variable, separately. The observed values of data</w:t>
      </w:r>
      <w:r>
        <w:t xml:space="preserve"> that were amputed were used to assess imputation accuracy. As a consequence, we only measured imputation accuracy 15% or 30% of additional missing values were amputed. In the context of this article, the term ‘amputation of data’ means artificially making</w:t>
      </w:r>
      <w:r>
        <w:t xml:space="preserve"> observed values missing. Numeric variable imputation accuracy was measured using a re-scaled mean-squared error:</w:t>
      </w:r>
    </w:p>
    <w:p w:rsidR="00BF033B" w:rsidRDefault="00B20113">
      <w:pPr>
        <w:pStyle w:val="BodyText"/>
      </w:pPr>
      <m:oMathPara>
        <m:oMathParaPr>
          <m:jc m:val="center"/>
        </m:oMathParaPr>
        <m:oMath>
          <m:r>
            <w:rPr>
              <w:rFonts w:ascii="Cambria Math" w:hAnsi="Cambria Math"/>
            </w:rPr>
            <m:t>1-</m:t>
          </m:r>
          <m:f>
            <m:fPr>
              <m:ctrlPr>
                <w:rPr>
                  <w:rFonts w:ascii="Cambria Math" w:hAnsi="Cambria Math"/>
                </w:rPr>
              </m:ctrlPr>
            </m:fPr>
            <m:num>
              <m:r>
                <m:rPr>
                  <m:nor/>
                </m:rPr>
                <m:t>MSE</m:t>
              </m:r>
              <m:r>
                <w:rPr>
                  <w:rFonts w:ascii="Cambria Math" w:hAnsi="Cambria Math"/>
                </w:rPr>
                <m:t>(</m:t>
              </m:r>
              <m:r>
                <m:rPr>
                  <m:nor/>
                </m:rPr>
                <m:t>current imputation method</m:t>
              </m:r>
              <m:r>
                <w:rPr>
                  <w:rFonts w:ascii="Cambria Math" w:hAnsi="Cambria Math"/>
                </w:rPr>
                <m:t>)</m:t>
              </m:r>
            </m:num>
            <m:den>
              <m:r>
                <m:rPr>
                  <m:nor/>
                </m:rPr>
                <m:t>MSE</m:t>
              </m:r>
              <m:r>
                <w:rPr>
                  <w:rFonts w:ascii="Cambria Math" w:hAnsi="Cambria Math"/>
                </w:rPr>
                <m:t>(</m:t>
              </m:r>
              <m:r>
                <m:rPr>
                  <m:nor/>
                </m:rPr>
                <m:t>imputation to the mean</m:t>
              </m:r>
              <m:r>
                <w:rPr>
                  <w:rFonts w:ascii="Cambria Math" w:hAnsi="Cambria Math"/>
                </w:rPr>
                <m:t>)</m:t>
              </m:r>
            </m:den>
          </m:f>
          <m:r>
            <w:rPr>
              <w:rFonts w:ascii="Cambria Math" w:hAnsi="Cambria Math"/>
            </w:rPr>
            <m:t>.</m:t>
          </m:r>
        </m:oMath>
      </m:oMathPara>
    </w:p>
    <w:p w:rsidR="00BF033B" w:rsidRDefault="00B20113">
      <w:pPr>
        <w:pStyle w:val="FirstParagraph"/>
      </w:pPr>
      <w:r>
        <w:t xml:space="preserve">This score is greater than 0 if </w:t>
      </w:r>
      <m:oMath>
        <m:r>
          <m:rPr>
            <m:nor/>
          </m:rPr>
          <m:t>MSE</m:t>
        </m:r>
        <m:r>
          <w:rPr>
            <w:rFonts w:ascii="Cambria Math" w:hAnsi="Cambria Math"/>
          </w:rPr>
          <m:t>(</m:t>
        </m:r>
        <m:r>
          <m:rPr>
            <m:nor/>
          </m:rPr>
          <m:t>current imputation method</m:t>
        </m:r>
        <m:r>
          <w:rPr>
            <w:rFonts w:ascii="Cambria Math" w:hAnsi="Cambria Math"/>
          </w:rPr>
          <m:t>)</m:t>
        </m:r>
      </m:oMath>
      <w:r>
        <w:t xml:space="preserve"> is smaller than </w:t>
      </w:r>
      <m:oMath>
        <m:r>
          <m:rPr>
            <m:nor/>
          </m:rPr>
          <m:t>MSE</m:t>
        </m:r>
        <m:r>
          <w:rPr>
            <w:rFonts w:ascii="Cambria Math" w:hAnsi="Cambria Math"/>
          </w:rPr>
          <m:t>(</m:t>
        </m:r>
        <m:r>
          <m:rPr>
            <m:nor/>
          </m:rPr>
          <m:t>imputation to the mean</m:t>
        </m:r>
        <m:r>
          <w:rPr>
            <w:rFonts w:ascii="Cambria Math" w:hAnsi="Cambria Math"/>
          </w:rPr>
          <m:t>)</m:t>
        </m:r>
      </m:oMath>
      <w:r>
        <w:t xml:space="preserve">, equal to 0 if the two MSEs are equal, and less than 0 if </w:t>
      </w:r>
      <m:oMath>
        <m:r>
          <m:rPr>
            <m:nor/>
          </m:rPr>
          <m:t>MSE</m:t>
        </m:r>
        <m:r>
          <w:rPr>
            <w:rFonts w:ascii="Cambria Math" w:hAnsi="Cambria Math"/>
          </w:rPr>
          <m:t>(</m:t>
        </m:r>
        <m:r>
          <m:rPr>
            <m:nor/>
          </m:rPr>
          <m:t>current imputation method</m:t>
        </m:r>
        <m:r>
          <w:rPr>
            <w:rFonts w:ascii="Cambria Math" w:hAnsi="Cambria Math"/>
          </w:rPr>
          <m:t>)</m:t>
        </m:r>
      </m:oMath>
      <w:r>
        <w:t xml:space="preserve"> is greater than </w:t>
      </w:r>
      <m:oMath>
        <m:r>
          <m:rPr>
            <m:nor/>
          </m:rPr>
          <m:t>MSE</m:t>
        </m:r>
        <m:r>
          <w:rPr>
            <w:rFonts w:ascii="Cambria Math" w:hAnsi="Cambria Math"/>
          </w:rPr>
          <m:t>(</m:t>
        </m:r>
        <m:r>
          <m:rPr>
            <m:nor/>
          </m:rPr>
          <m:t>imputation to the mean</m:t>
        </m:r>
        <m:r>
          <w:rPr>
            <w:rFonts w:ascii="Cambria Math" w:hAnsi="Cambria Math"/>
          </w:rPr>
          <m:t>)</m:t>
        </m:r>
      </m:oMath>
      <w:r>
        <w:t>. Nominal variable imputation accuracy was measured using a re-scaled classification accuracy:</w:t>
      </w:r>
    </w:p>
    <w:p w:rsidR="00BF033B" w:rsidRDefault="00B20113">
      <w:pPr>
        <w:pStyle w:val="BodyText"/>
      </w:pPr>
      <m:oMathPara>
        <m:oMathParaPr>
          <m:jc m:val="center"/>
        </m:oMathParaPr>
        <m:oMath>
          <m:r>
            <w:rPr>
              <w:rFonts w:ascii="Cambria Math" w:hAnsi="Cambria Math"/>
            </w:rPr>
            <m:t>1</m:t>
          </m:r>
          <m:r>
            <w:rPr>
              <w:rFonts w:ascii="Cambria Math" w:hAnsi="Cambria Math"/>
            </w:rPr>
            <m:t>-</m:t>
          </m:r>
          <m:f>
            <m:fPr>
              <m:ctrlPr>
                <w:rPr>
                  <w:rFonts w:ascii="Cambria Math" w:hAnsi="Cambria Math"/>
                </w:rPr>
              </m:ctrlPr>
            </m:fPr>
            <m:num>
              <m:r>
                <m:rPr>
                  <m:nor/>
                </m:rPr>
                <m:t>Classification error</m:t>
              </m:r>
              <m:r>
                <w:rPr>
                  <w:rFonts w:ascii="Cambria Math" w:hAnsi="Cambria Math"/>
                </w:rPr>
                <m:t>(</m:t>
              </m:r>
              <m:r>
                <m:rPr>
                  <m:nor/>
                </m:rPr>
                <m:t>current imputation method</m:t>
              </m:r>
              <m:r>
                <w:rPr>
                  <w:rFonts w:ascii="Cambria Math" w:hAnsi="Cambria Math"/>
                </w:rPr>
                <m:t>)</m:t>
              </m:r>
            </m:num>
            <m:den>
              <m:r>
                <m:rPr>
                  <m:nor/>
                </m:rPr>
                <m:t>Classification error</m:t>
              </m:r>
              <m:r>
                <w:rPr>
                  <w:rFonts w:ascii="Cambria Math" w:hAnsi="Cambria Math"/>
                </w:rPr>
                <m:t>(</m:t>
              </m:r>
              <m:r>
                <m:rPr>
                  <m:nor/>
                </m:rPr>
                <m:t>imputation to the mean</m:t>
              </m:r>
              <m:r>
                <w:rPr>
                  <w:rFonts w:ascii="Cambria Math" w:hAnsi="Cambria Math"/>
                </w:rPr>
                <m:t>)</m:t>
              </m:r>
            </m:den>
          </m:f>
          <m:r>
            <w:rPr>
              <w:rFonts w:ascii="Cambria Math" w:hAnsi="Cambria Math"/>
            </w:rPr>
            <m:t>.</m:t>
          </m:r>
        </m:oMath>
      </m:oMathPara>
    </w:p>
    <w:p w:rsidR="00BF033B" w:rsidRDefault="00B20113">
      <w:pPr>
        <w:pStyle w:val="FirstParagraph"/>
      </w:pPr>
      <w:r>
        <w:t>This score is greater than 0 if the classification error of the current imputation method is less than that of imputation to the mean, equal to 0 if the two class</w:t>
      </w:r>
      <w:r>
        <w:t xml:space="preserve">ification errors are equal, and less than 0 of the classification error of the current imputation method is worse than imputation to the mean. These numeric and nominal scores are analogous to the more well known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Kappa statistics, respectively, but</w:t>
      </w:r>
      <w:r>
        <w:t xml:space="preserve"> are modified slightly in the current analysis so that imputation to the mean will always have a score of 0. This modification makes it easier to compare the accuracy of each imputation strategy directly with that of imputation to the mean.</w:t>
      </w:r>
    </w:p>
    <w:p w:rsidR="00BF033B" w:rsidRDefault="00BF033B">
      <w:pPr>
        <w:pStyle w:val="BodyText"/>
      </w:pPr>
    </w:p>
    <w:p w:rsidR="00BF033B" w:rsidRDefault="00B20113">
      <w:pPr>
        <w:pStyle w:val="Heading2"/>
      </w:pPr>
      <w:bookmarkStart w:id="8" w:name="risk-prediction-models"/>
      <w:bookmarkEnd w:id="7"/>
      <w:r>
        <w:t>Risk Predictio</w:t>
      </w:r>
      <w:r>
        <w:t>n Models</w:t>
      </w:r>
    </w:p>
    <w:p w:rsidR="00BF033B" w:rsidRDefault="00B20113">
      <w:pPr>
        <w:pStyle w:val="FirstParagraph"/>
      </w:pPr>
      <w:r>
        <w:t>We applied two modeling strategies after imputing missing values:</w:t>
      </w:r>
    </w:p>
    <w:p w:rsidR="00BF033B" w:rsidRDefault="00B20113">
      <w:pPr>
        <w:pStyle w:val="Compact"/>
        <w:numPr>
          <w:ilvl w:val="0"/>
          <w:numId w:val="14"/>
        </w:numPr>
      </w:pPr>
      <w:r>
        <w:t>Cox proportional hazards (PH) model with forward stepwise variable selection</w:t>
      </w:r>
    </w:p>
    <w:p w:rsidR="00BF033B" w:rsidRDefault="00B20113">
      <w:pPr>
        <w:pStyle w:val="Compact"/>
        <w:numPr>
          <w:ilvl w:val="0"/>
          <w:numId w:val="14"/>
        </w:numPr>
      </w:pPr>
      <w:r>
        <w:t>Gradient boosted decision trees (hereafter referred to as ‘boosting’)</w:t>
      </w:r>
    </w:p>
    <w:p w:rsidR="00BF033B" w:rsidRDefault="00B20113">
      <w:pPr>
        <w:pStyle w:val="FirstParagraph"/>
      </w:pPr>
      <w:r>
        <w:t>A thorough description of stepwise</w:t>
      </w:r>
      <w:r>
        <w:t xml:space="preserve"> variable selection and boosting can be found in Sections 6.1.2 and 8.2.2, respectively, of </w:t>
      </w:r>
      <w:r>
        <w:rPr>
          <w:i/>
        </w:rPr>
        <w:t>Introduction to Statistical Learning</w:t>
      </w:r>
      <w:r>
        <w:t>.</w:t>
      </w:r>
      <w:r>
        <w:rPr>
          <w:vertAlign w:val="superscript"/>
        </w:rPr>
        <w:t>36</w:t>
      </w:r>
      <w:r>
        <w:t xml:space="preserve"> Sir David Cox’s PH model is one of the most frequently applied methods for the analysis of right-censored time-to-event outc</w:t>
      </w:r>
      <w:r>
        <w:t>omes.</w:t>
      </w:r>
      <w:r>
        <w:rPr>
          <w:vertAlign w:val="superscript"/>
        </w:rPr>
        <w:t>37</w:t>
      </w:r>
      <w:r>
        <w:t xml:space="preserve"> According to the PH assumption, the effect of a unit increase in a predictor is multiplicative with respect to a baseline hazard function. Boosting grows a sequence of decision trees, each using information from the previous trees in an attempt to </w:t>
      </w:r>
      <w:r>
        <w:t>correct their errors.</w:t>
      </w:r>
      <w:r>
        <w:rPr>
          <w:vertAlign w:val="superscript"/>
        </w:rPr>
        <w:t>38,39</w:t>
      </w:r>
    </w:p>
    <w:p w:rsidR="00BF033B" w:rsidRDefault="00BF033B">
      <w:pPr>
        <w:pStyle w:val="BodyText"/>
      </w:pPr>
    </w:p>
    <w:p w:rsidR="00BF033B" w:rsidRDefault="00B20113">
      <w:pPr>
        <w:pStyle w:val="Heading2"/>
      </w:pPr>
      <w:bookmarkStart w:id="9" w:name="evaluation-of-predictions"/>
      <w:bookmarkEnd w:id="8"/>
      <w:r>
        <w:t>Evaluation of Predictions</w:t>
      </w:r>
    </w:p>
    <w:p w:rsidR="00BF033B" w:rsidRDefault="00B20113">
      <w:pPr>
        <w:pStyle w:val="FirstParagraph"/>
      </w:pPr>
      <w:r>
        <w:rPr>
          <w:b/>
        </w:rPr>
        <w:t>The Brier score:</w:t>
      </w:r>
      <w:r>
        <w:t xml:space="preserve"> The prognostic value of each risk prediction model was primarily assessed using the Brier score, which depends on both the discrimination and calibration of predicted risk values.</w:t>
      </w:r>
      <w:r>
        <w:rPr>
          <w:vertAlign w:val="superscript"/>
        </w:rPr>
        <w:t>40,41</w:t>
      </w:r>
      <w:r>
        <w:t xml:space="preserve"> </w:t>
      </w:r>
      <w:r>
        <w:t xml:space="preserve">Let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represent the observed status of individual </w:t>
      </w:r>
      <m:oMath>
        <m:r>
          <w:rPr>
            <w:rFonts w:ascii="Cambria Math" w:hAnsi="Cambria Math"/>
          </w:rPr>
          <m:t>i</m:t>
        </m:r>
      </m:oMath>
      <w:r>
        <w:t xml:space="preserve"> at time </w:t>
      </w:r>
      <m:oMath>
        <m:r>
          <w:rPr>
            <w:rFonts w:ascii="Cambria Math" w:hAnsi="Cambria Math"/>
          </w:rPr>
          <m:t>t</m:t>
        </m:r>
        <m:r>
          <w:rPr>
            <w:rFonts w:ascii="Cambria Math" w:hAnsi="Cambria Math"/>
          </w:rPr>
          <m:t>&gt;0</m:t>
        </m:r>
      </m:oMath>
      <w:r>
        <w:t xml:space="preserve"> in a testing set of </w:t>
      </w:r>
      <m:oMath>
        <m:r>
          <w:rPr>
            <w:rFonts w:ascii="Cambria Math" w:hAnsi="Cambria Math"/>
          </w:rPr>
          <m:t>M</m:t>
        </m:r>
      </m:oMath>
      <w:r>
        <w:t xml:space="preserve"> observations. Suppose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)=1</m:t>
        </m:r>
      </m:oMath>
      <w:r>
        <w:t xml:space="preserve"> if there is an observed event at or before </w:t>
      </w:r>
      <m:oMath>
        <m:r>
          <w:rPr>
            <w:rFonts w:ascii="Cambria Math" w:hAnsi="Cambria Math"/>
          </w:rPr>
          <m:t>t</m:t>
        </m:r>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)=0</m:t>
        </m:r>
      </m:oMath>
      <w:r>
        <w:t xml:space="preserve"> otherwise. The Brier score is computed with  where,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w:t>
      </w:r>
      <w:r>
        <w:t xml:space="preserve">observation, </w:t>
      </w:r>
      <m:oMath>
        <m:acc>
          <m:accPr>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oMath>
      <w:r>
        <w:t xml:space="preserve"> is the estimated probability of survival at time </w:t>
      </w:r>
      <m:oMath>
        <m:r>
          <w:rPr>
            <w:rFonts w:ascii="Cambria Math" w:hAnsi="Cambria Math"/>
          </w:rPr>
          <m:t>t</m:t>
        </m:r>
      </m:oMath>
      <w:r>
        <w:t xml:space="preserve"> according to a given risk prediction model,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the set of input values for predictor variables in the model, and </w:t>
      </w:r>
      <m:oMath>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is the inverse proportional censoring weight at time</w:t>
      </w:r>
      <w:r>
        <w:t xml:space="preserve"> </w:t>
      </w:r>
      <m:oMath>
        <m:r>
          <w:rPr>
            <w:rFonts w:ascii="Cambria Math" w:hAnsi="Cambria Math"/>
          </w:rPr>
          <m:t>t</m:t>
        </m:r>
      </m:oMath>
      <w:r>
        <w:t>.</w:t>
      </w:r>
      <w:r>
        <w:rPr>
          <w:vertAlign w:val="superscript"/>
        </w:rPr>
        <w:t>42</w:t>
      </w:r>
      <w:r>
        <w:t xml:space="preserve"> Thus, the Brier score is the mean squared difference between </w:t>
      </w:r>
      <w:r>
        <w:lastRenderedPageBreak/>
        <w:t xml:space="preserve">observed event status and expected event status according to a RPE at time </w:t>
      </w:r>
      <m:oMath>
        <m:r>
          <w:rPr>
            <w:rFonts w:ascii="Cambria Math" w:hAnsi="Cambria Math"/>
          </w:rPr>
          <m:t>t</m:t>
        </m:r>
      </m:oMath>
      <w:r>
        <w:t xml:space="preserve">. Throughout the current analysis, we set </w:t>
      </w:r>
      <m:oMath>
        <m:r>
          <w:rPr>
            <w:rFonts w:ascii="Cambria Math" w:hAnsi="Cambria Math"/>
          </w:rPr>
          <m:t>t</m:t>
        </m:r>
        <m:r>
          <w:rPr>
            <w:rFonts w:ascii="Cambria Math" w:hAnsi="Cambria Math"/>
          </w:rPr>
          <m:t>=6</m:t>
        </m:r>
      </m:oMath>
      <w:r>
        <w:t xml:space="preserve"> months after receiving MCS to focus on short term risk predictio</w:t>
      </w:r>
      <w:r>
        <w:t>n. Models have been developed to simultaneously predict short term and long term mortality risk after receiving MCS, but these are beyond the scope of the current study.</w:t>
      </w:r>
      <w:r>
        <w:rPr>
          <w:vertAlign w:val="superscript"/>
        </w:rPr>
        <w:t>43</w:t>
      </w:r>
    </w:p>
    <w:p w:rsidR="00BF033B" w:rsidRDefault="00BF033B">
      <w:pPr>
        <w:pStyle w:val="BodyText"/>
      </w:pPr>
    </w:p>
    <w:p w:rsidR="00BF033B" w:rsidRDefault="00B20113">
      <w:pPr>
        <w:pStyle w:val="BodyText"/>
      </w:pPr>
      <w:r>
        <w:rPr>
          <w:b/>
        </w:rPr>
        <w:t>The scaled Brier score:</w:t>
      </w:r>
      <w:r>
        <w:t xml:space="preserve"> The Brier score is dependent on the rate of observed events</w:t>
      </w:r>
      <w:r>
        <w:t>, which can make it a difficult metric to interpret. It is often more informative to scale the Brier score based on the Brier score of a naive model. More specifically, for a given risk prediction model, the scaled Brier score is computed as</w:t>
      </w:r>
    </w:p>
    <w:p w:rsidR="00BF033B" w:rsidRDefault="00B20113">
      <w:pPr>
        <w:pStyle w:val="BodyText"/>
      </w:pPr>
      <m:oMathPara>
        <m:oMathParaPr>
          <m:jc m:val="center"/>
        </m:oMathParaPr>
        <m:oMath>
          <m:r>
            <m:rPr>
              <m:nor/>
            </m:rPr>
            <m:t xml:space="preserve">Scaled </m:t>
          </m:r>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m:t>
          </m:r>
          <m:r>
            <m:rPr>
              <m:nor/>
            </m:rPr>
            <m:t xml:space="preserve">of model </m:t>
          </m:r>
          <m:r>
            <w:rPr>
              <w:rFonts w:ascii="Cambria Math" w:hAnsi="Cambria Math"/>
            </w:rPr>
            <m:t>=1-</m:t>
          </m:r>
          <m:f>
            <m:fPr>
              <m:ctrlPr>
                <w:rPr>
                  <w:rFonts w:ascii="Cambria Math" w:hAnsi="Cambria Math"/>
                </w:rPr>
              </m:ctrlPr>
            </m:fPr>
            <m:num>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of model</m:t>
              </m:r>
            </m:num>
            <m:den>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of naive model</m:t>
              </m:r>
            </m:den>
          </m:f>
          <m:r>
            <w:rPr>
              <w:rFonts w:ascii="Cambria Math" w:hAnsi="Cambria Math"/>
            </w:rPr>
            <m:t>.</m:t>
          </m:r>
        </m:oMath>
      </m:oMathPara>
    </w:p>
    <w:p w:rsidR="00BF033B" w:rsidRDefault="00B20113">
      <w:pPr>
        <w:pStyle w:val="FirstParagraph"/>
      </w:pPr>
      <w:r>
        <w:t xml:space="preserve">As the Brier score for risk prediction is analogous to mean-squared error for prediction of a continuous outcome, the scaled Brier score is analogous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Similar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a sc</w:t>
      </w:r>
      <w:r>
        <w:t xml:space="preserve">aled </w:t>
      </w:r>
      <m:oMath>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oMath>
      <w:r>
        <w:t xml:space="preserve"> of 1.00 and 0.00 indicate a perfect and worthless model, respectively. In our analyses, a Kaplan-Meier estimate based on the training data (</w:t>
      </w:r>
      <w:r>
        <w:rPr>
          <w:i/>
        </w:rPr>
        <w:t>i.e.</w:t>
      </w:r>
      <w:r>
        <w:t xml:space="preserve"> a risk prediction model that did not use any predictor variables) provided the naive prediction. In</w:t>
      </w:r>
      <w:r>
        <w:t xml:space="preserve"> the current analysis, we multiply scaled Brier score values by 100 for ease of interpretation.</w:t>
      </w:r>
    </w:p>
    <w:p w:rsidR="00BF033B" w:rsidRDefault="00BF033B">
      <w:pPr>
        <w:pStyle w:val="BodyText"/>
      </w:pPr>
    </w:p>
    <w:p w:rsidR="00BF033B" w:rsidRDefault="00B20113">
      <w:pPr>
        <w:pStyle w:val="BodyText"/>
      </w:pPr>
      <w:r>
        <w:rPr>
          <w:b/>
        </w:rPr>
        <w:t>Discrimination and calibration:</w:t>
      </w:r>
      <w:r>
        <w:t xml:space="preserve"> The discrimination of a risk prediction model measures the probability that the model will successfully identify which of two o</w:t>
      </w:r>
      <w:r>
        <w:t xml:space="preserve">bservations is at higher risk for the event of interest. We estimated discrimination using a time-dependent concordance (C-) index that accounted for covariate-dependent censoring. A C-index of 0.50 and 1.00 correspond </w:t>
      </w:r>
      <w:r>
        <w:lastRenderedPageBreak/>
        <w:t>to worthless and perfect discriminati</w:t>
      </w:r>
      <w:r>
        <w:t>on, respectively. Similar to the scaled Brier score, we multiply C-index values by 100 for ease of interpretation. Calibration slope plots measure a risk prediction model’s absolute accuracy. We estimated calibration error by averaging the squared distance</w:t>
      </w:r>
      <w:r>
        <w:t xml:space="preserve"> between expected and observed event rates according to a calibration plot. Full description of these evaluation metrics are available.</w:t>
      </w:r>
      <w:r>
        <w:rPr>
          <w:vertAlign w:val="superscript"/>
        </w:rPr>
        <w:t>44,45</w:t>
      </w:r>
    </w:p>
    <w:p w:rsidR="00BF033B" w:rsidRDefault="00BF033B">
      <w:pPr>
        <w:pStyle w:val="BodyText"/>
      </w:pPr>
    </w:p>
    <w:p w:rsidR="00BF033B" w:rsidRDefault="00B20113">
      <w:pPr>
        <w:pStyle w:val="Heading2"/>
      </w:pPr>
      <w:bookmarkStart w:id="10" w:name="X5fa704225504eb3cb2a87046811211235da956c"/>
      <w:bookmarkEnd w:id="9"/>
      <w:r>
        <w:t>Internal Validation via Monte-Carlo Cross-Validation (MCCV)</w:t>
      </w:r>
    </w:p>
    <w:p w:rsidR="00BF033B" w:rsidRDefault="00B20113">
      <w:pPr>
        <w:pStyle w:val="FirstParagraph"/>
      </w:pPr>
      <w:r>
        <w:t>To assess the prognostic value of each missing data st</w:t>
      </w:r>
      <w:r>
        <w:t>rategy, we internally validated a total of 23 modeling algorithm based on combinations of imputation strategies and modeling strategies described above. For convenience, we use the term `modeling algorithm’ to denote the combination of a missing data strat</w:t>
      </w:r>
      <w:r>
        <w:t>egy and a modeling strategy (</w:t>
      </w:r>
      <w:r>
        <w:rPr>
          <w:i/>
        </w:rPr>
        <w:t>e.g.</w:t>
      </w:r>
      <w:r>
        <w:t xml:space="preserve"> imputation using mean/mode values followed by fitting the PH model with stepwise variable selection).</w:t>
      </w:r>
      <w:r>
        <w:rPr>
          <w:vertAlign w:val="superscript"/>
        </w:rPr>
        <w:t>46</w:t>
      </w:r>
      <w:r>
        <w:t xml:space="preserve"> We conducted internal validation using 200 replicates of Monte-Carlo cross validation, a resampling technique for inte</w:t>
      </w:r>
      <w:r>
        <w:t>rnal validation.</w:t>
      </w:r>
    </w:p>
    <w:p w:rsidR="00BF033B" w:rsidRDefault="00BF033B">
      <w:pPr>
        <w:pStyle w:val="BodyText"/>
      </w:pPr>
    </w:p>
    <w:p w:rsidR="00BF033B" w:rsidRDefault="00B20113">
      <w:pPr>
        <w:pStyle w:val="BodyText"/>
      </w:pPr>
      <w:r>
        <w:rPr>
          <w:b/>
        </w:rPr>
        <w:t>Steps taken in each replicate:</w:t>
      </w:r>
      <w:r>
        <w:t xml:space="preserve"> In each replicate of Monte-Carlo cross validation, 50% of the available data were used for model training and testing. All predictor variables with &lt; 50% missing values were considered for imputation and sub</w:t>
      </w:r>
      <w:r>
        <w:t>sequent model development. Among these variables, artificial missingness (0%, 15%, or 30% additional missing values) was induced based on patient age, with younger and older patients more likely to have missing data compared to patients who were between 40</w:t>
      </w:r>
      <w:r>
        <w:t xml:space="preserve"> and 65 years of age. Prior to imputation, 50 predictor variables were selected using a boosting model that quantified variable importance as the fractional </w:t>
      </w:r>
      <w:r>
        <w:lastRenderedPageBreak/>
        <w:t>contribution of each predictor to the model based on the total gain attributed to using the predict</w:t>
      </w:r>
      <w:r>
        <w:t>or while growing decision trees. Imputation was conducted in the training and testing sets, separately, for each imputation strategy. Although some imputation strategies (</w:t>
      </w:r>
      <w:r>
        <w:rPr>
          <w:i/>
        </w:rPr>
        <w:t>e.g.</w:t>
      </w:r>
      <w:r>
        <w:t xml:space="preserve"> KNN and random forests) can impute data in the testing set using models fitted t</w:t>
      </w:r>
      <w:r>
        <w:t>o the training set, others (</w:t>
      </w:r>
      <w:r>
        <w:rPr>
          <w:i/>
        </w:rPr>
        <w:t>e.g.</w:t>
      </w:r>
      <w:r>
        <w:t xml:space="preserve"> Bayesian regression, PMM, and hot deck) cannot. Therefore, to ensure fair comparisons in our experiment, each imputation procedure imputed data in the training set using models fitted to the training set and then imputed da</w:t>
      </w:r>
      <w:r>
        <w:t>ta in the testing set using models fitted to the testing set. After imputation, Cox PH and boosting models were applied to each imputed dataset, separately. Last, model predictions for death and transplant were computed at 6 months following MCS surgery.</w:t>
      </w:r>
    </w:p>
    <w:p w:rsidR="00BF033B" w:rsidRDefault="00BF033B">
      <w:pPr>
        <w:pStyle w:val="BodyText"/>
      </w:pPr>
    </w:p>
    <w:p w:rsidR="00BF033B" w:rsidRDefault="00B20113">
      <w:pPr>
        <w:pStyle w:val="BodyText"/>
      </w:pPr>
      <w:r>
        <w:rPr>
          <w:b/>
        </w:rPr>
        <w:t>Bayesian analysis of model performance:</w:t>
      </w:r>
      <w:r>
        <w:t xml:space="preserve"> To determine whether any of the imputation methods described above had improved upon imputation to the mean, we applied Bayesian hierarchical models to analyze differences in scaled Brier score.</w:t>
      </w:r>
      <w:r>
        <w:rPr>
          <w:vertAlign w:val="superscript"/>
        </w:rPr>
        <w:t>47</w:t>
      </w:r>
      <w:r>
        <w:t xml:space="preserve"> This strategy provi</w:t>
      </w:r>
      <w:r>
        <w:t>des a flexible framework to conduct hypothesis testing and also accounts for correlation occurring within each replicate of Monte-Carlo cross validation. Specifically, within each replicate of Monte-Carlo cross validation, the performance of different mode</w:t>
      </w:r>
      <w:r>
        <w:t>ling algorithms are correlated because they are trained and tested using the same data.</w:t>
      </w:r>
    </w:p>
    <w:p w:rsidR="00BF033B" w:rsidRDefault="00BF033B">
      <w:pPr>
        <w:pStyle w:val="BodyText"/>
      </w:pPr>
    </w:p>
    <w:p w:rsidR="00BF033B" w:rsidRDefault="00B20113">
      <w:pPr>
        <w:pStyle w:val="Heading2"/>
      </w:pPr>
      <w:bookmarkStart w:id="11" w:name="statistical-analysis"/>
      <w:bookmarkEnd w:id="10"/>
      <w:r>
        <w:t>Statistical analysis</w:t>
      </w:r>
    </w:p>
    <w:p w:rsidR="00BF033B" w:rsidRDefault="00B20113">
      <w:pPr>
        <w:pStyle w:val="FirstParagraph"/>
      </w:pPr>
      <w:r>
        <w:t xml:space="preserve">Participant characteristics were tabulated for the overall population and stratified by event status. Continuous and categorical variables were summarized as mean (standard deviation) and </w:t>
      </w:r>
      <w:r>
        <w:lastRenderedPageBreak/>
        <w:t>percent, respectively. The number and proportion of missing values w</w:t>
      </w:r>
      <w:r>
        <w:t>ere also tabulated for the overall population and stratified by event status. Missing data patterns were visualized for the overall population using an UpSet plot.</w:t>
      </w:r>
      <w:r>
        <w:rPr>
          <w:vertAlign w:val="superscript"/>
        </w:rPr>
        <w:t>48</w:t>
      </w:r>
      <w:r>
        <w:t xml:space="preserve"> All of the proceeding analyses were conducted using resampling results from Monte-Carlo cr</w:t>
      </w:r>
      <w:r>
        <w:t>oss validation. Imputation accuracy was aggregated for all numeric and nominal variables to create two overall scores for each imputed dataset. For imputation methods that created multiple datasets, scores were aggregated over each dataset to provide a sin</w:t>
      </w:r>
      <w:r>
        <w:t>gle summary score. The distribution (</w:t>
      </w:r>
      <w:r>
        <w:rPr>
          <w:i/>
        </w:rPr>
        <w:t>i.e.</w:t>
      </w:r>
      <w:r>
        <w:t xml:space="preserve"> 25</w:t>
      </w:r>
      <w:r>
        <w:rPr>
          <w:vertAlign w:val="superscript"/>
        </w:rPr>
        <w:t>th</w:t>
      </w:r>
      <w:r>
        <w:t>, 50</w:t>
      </w:r>
      <w:r>
        <w:rPr>
          <w:vertAlign w:val="superscript"/>
        </w:rPr>
        <w:t>th</w:t>
      </w:r>
      <w:r>
        <w:t>, and 75</w:t>
      </w:r>
      <w:r>
        <w:rPr>
          <w:vertAlign w:val="superscript"/>
        </w:rPr>
        <w:t>th</w:t>
      </w:r>
      <w:r>
        <w:t xml:space="preserve"> percentile) of the scaled Brier score was estimated for each modeling algorithm.</w:t>
      </w:r>
    </w:p>
    <w:p w:rsidR="00BF033B" w:rsidRDefault="00BF033B">
      <w:pPr>
        <w:pStyle w:val="BodyText"/>
      </w:pPr>
    </w:p>
    <w:p w:rsidR="00BF033B" w:rsidRDefault="00B20113">
      <w:pPr>
        <w:pStyle w:val="BodyText"/>
      </w:pPr>
      <w:r>
        <w:t>We split our results from Monte-carlo cross validation into four datasets based on outcome (mortality or transp</w:t>
      </w:r>
      <w:r>
        <w:t>lant) and modeling procedure (Cox PH or boosting). For each dataset, we fit one hierarchical Bayesian model where the dependent variable was scaled Brier score and independent variables included the imputation strategy applied and the amount of artificiall</w:t>
      </w:r>
      <w:r>
        <w:t>y missing data (0%, 15%, or 30%) induced before imputation. With each model, we estimated the difference in scaled Brier score of downstream models when random forests, Bayesian regression, PMM, hot deck, MIA, or KNN imputation were applied to impute missi</w:t>
      </w:r>
      <w:r>
        <w:t>ng values instead of imputation to the mean.</w:t>
      </w:r>
    </w:p>
    <w:p w:rsidR="00BF033B" w:rsidRDefault="00BF033B">
      <w:pPr>
        <w:pStyle w:val="BodyText"/>
      </w:pPr>
    </w:p>
    <w:p w:rsidR="00BF033B" w:rsidRDefault="00B20113">
      <w:pPr>
        <w:pStyle w:val="Heading2"/>
      </w:pPr>
      <w:bookmarkStart w:id="12" w:name="computational-details"/>
      <w:bookmarkEnd w:id="11"/>
      <w:r>
        <w:t>Computational Details</w:t>
      </w:r>
    </w:p>
    <w:p w:rsidR="00BF033B" w:rsidRDefault="00B20113">
      <w:pPr>
        <w:pStyle w:val="FirstParagraph"/>
      </w:pPr>
      <w:r>
        <w:t>SAS software (version 9.4) and Python (version 3.8.2) were used to create analytic data for the current study.</w:t>
      </w:r>
      <w:r>
        <w:rPr>
          <w:vertAlign w:val="superscript"/>
        </w:rPr>
        <w:t>49,50</w:t>
      </w:r>
      <w:r>
        <w:t xml:space="preserve"> These analyses were completed using The American Heart Association Precision Medicine Platform (</w:t>
      </w:r>
      <w:hyperlink r:id="rId8">
        <w:r>
          <w:rPr>
            <w:rStyle w:val="Hyperlink"/>
          </w:rPr>
          <w:t>https://precision.heart.org/</w:t>
        </w:r>
      </w:hyperlink>
      <w:r>
        <w:t xml:space="preserve">). Base R (version 4.0.3) was used in </w:t>
      </w:r>
      <w:r>
        <w:lastRenderedPageBreak/>
        <w:t>combination with a number of open-source R pa</w:t>
      </w:r>
      <w:r>
        <w:t>ckages (</w:t>
      </w:r>
      <w:r>
        <w:rPr>
          <w:i/>
        </w:rPr>
        <w:t>e.g.</w:t>
      </w:r>
      <w:r>
        <w:t xml:space="preserve"> drake, tidyverse, naniar, table.glue, mice, miceRanger, and others) to conduct statistical analyses and create the current manuscript.</w:t>
      </w:r>
      <w:r>
        <w:rPr>
          <w:vertAlign w:val="superscript"/>
        </w:rPr>
        <w:t>51–61</w:t>
      </w:r>
      <w:r>
        <w:t xml:space="preserve"> Our R code is available on GitHub (see </w:t>
      </w:r>
      <w:hyperlink r:id="rId9">
        <w:r>
          <w:rPr>
            <w:rStyle w:val="Hyperlink"/>
          </w:rPr>
          <w:t>https://github.com/bcjaeger/INTERMACS-missing-data</w:t>
        </w:r>
      </w:hyperlink>
      <w:r>
        <w:t>).</w:t>
      </w:r>
      <w:r>
        <w:rPr>
          <w:vertAlign w:val="superscript"/>
        </w:rPr>
        <w:t>62</w:t>
      </w:r>
      <w:r>
        <w:t xml:space="preserve"> We used Cheaha, a high performance computing cluster at University of Alabama at Birmingham, to perform the 200 Monte-Carlo cross validation runs.</w:t>
      </w:r>
      <w:r>
        <w:rPr>
          <w:vertAlign w:val="superscript"/>
        </w:rPr>
        <w:t>63</w:t>
      </w:r>
    </w:p>
    <w:p w:rsidR="00BF033B" w:rsidRDefault="00BF033B">
      <w:pPr>
        <w:pStyle w:val="BodyText"/>
      </w:pPr>
    </w:p>
    <w:p w:rsidR="00BF033B" w:rsidRDefault="00B20113">
      <w:pPr>
        <w:pStyle w:val="Heading1"/>
      </w:pPr>
      <w:bookmarkStart w:id="13" w:name="results"/>
      <w:bookmarkEnd w:id="3"/>
      <w:bookmarkEnd w:id="12"/>
      <w:r>
        <w:t>RESULTS</w:t>
      </w:r>
    </w:p>
    <w:p w:rsidR="00BF033B" w:rsidRDefault="00BF033B">
      <w:pPr>
        <w:pStyle w:val="FirstParagraph"/>
      </w:pPr>
    </w:p>
    <w:p w:rsidR="00BF033B" w:rsidRDefault="00B20113">
      <w:pPr>
        <w:pStyle w:val="BodyText"/>
      </w:pPr>
      <w:r>
        <w:rPr>
          <w:b/>
        </w:rPr>
        <w:t>Patient Characteristics:</w:t>
      </w:r>
      <w:r>
        <w:t xml:space="preserve"> During the </w:t>
      </w:r>
      <w:r>
        <w:t xml:space="preserve">first 6 months after receiving MCS, 1,897 (13%) patients died and 1,067 (7.2%) had a transplant. In total, 981 (6.7%) patients had a follow-up time &lt; 6 months and were considered right-censored in the current analysis. The mean (standard deviation) age of </w:t>
      </w:r>
      <w:r>
        <w:t>patients was 57 (13) years, 66% of patients identified as white and 79% were male (Table 1).</w:t>
      </w:r>
    </w:p>
    <w:p w:rsidR="00BF033B" w:rsidRDefault="00BF033B">
      <w:pPr>
        <w:pStyle w:val="BodyText"/>
      </w:pPr>
    </w:p>
    <w:p w:rsidR="00BF033B" w:rsidRDefault="00B20113">
      <w:pPr>
        <w:pStyle w:val="BodyText"/>
      </w:pPr>
      <w:r>
        <w:rPr>
          <w:b/>
        </w:rPr>
        <w:t>Missing data:</w:t>
      </w:r>
      <w:r>
        <w:t xml:space="preserve"> Many predictor variables exhibited similar proportions of missing values in different outcome groups (Table 2). However, the number (percent) of mis</w:t>
      </w:r>
      <w:r>
        <w:t>sing values for surgery time was an exception, with 6,125 (41.6%) in the overall population, 795 (41.9%) among patients who died, and 110 (11.2%) among patients who were censored. This pattern is likely attributable to the later introduction of surgery tim</w:t>
      </w:r>
      <w:r>
        <w:t xml:space="preserve">e into the INTERMACS registry compared to other variables. The collection of surgery time in the INTERMACS registry began on May 30, </w:t>
      </w:r>
      <w:r>
        <w:lastRenderedPageBreak/>
        <w:t>2014. Additionally, missing values for surgery time were frequently accompanied by missing values for CV pressure (Figure 1</w:t>
      </w:r>
      <w:r>
        <w:t>).</w:t>
      </w:r>
    </w:p>
    <w:p w:rsidR="00BF033B" w:rsidRDefault="00BF033B">
      <w:pPr>
        <w:pStyle w:val="BodyText"/>
      </w:pPr>
    </w:p>
    <w:p w:rsidR="00BF033B" w:rsidRDefault="00B20113">
      <w:pPr>
        <w:pStyle w:val="BodyText"/>
      </w:pPr>
      <w:r>
        <w:rPr>
          <w:b/>
        </w:rPr>
        <w:t>Imputation accuracy:</w:t>
      </w:r>
      <w:r>
        <w:t xml:space="preserve"> Single imputation strategies were more accurate than their counterparts using multiple imputation in 8 out of 10 comparisons of nominal scores and 10 out of 10 comparisons of numeric scores (Table 3). When an additional 15% of data</w:t>
      </w:r>
      <w:r>
        <w:t xml:space="preserve"> were missing, single imputation KNN obtained the highest nominal accuracy (score: +0.02, 95% CI -0.05, 0.15) and single imputation with random forests obtained the highest numeric accuracy (score: +0.05, 95% CI 0.03, 0.08). When an additional 30% of data </w:t>
      </w:r>
      <w:r>
        <w:t>were missing, imputation to the mean obtained the highest numeric and nominal scores.</w:t>
      </w:r>
    </w:p>
    <w:p w:rsidR="00BF033B" w:rsidRDefault="00BF033B">
      <w:pPr>
        <w:pStyle w:val="BodyText"/>
      </w:pPr>
    </w:p>
    <w:p w:rsidR="00BF033B" w:rsidRDefault="00B20113">
      <w:pPr>
        <w:pStyle w:val="Heading2"/>
      </w:pPr>
      <w:bookmarkStart w:id="14" w:name="scaled-brier-score"/>
      <w:r>
        <w:t>Scaled Brier score</w:t>
      </w:r>
    </w:p>
    <w:p w:rsidR="00BF033B" w:rsidRDefault="00B20113">
      <w:pPr>
        <w:pStyle w:val="FirstParagraph"/>
      </w:pPr>
      <w:r>
        <w:rPr>
          <w:b/>
        </w:rPr>
        <w:t>Mortality risk prediction:</w:t>
      </w:r>
      <w:r>
        <w:t xml:space="preserve"> When no additional data were amputed and imputation to the mean was applied before fitting risk prediction models, the medi</w:t>
      </w:r>
      <w:r>
        <w:t>an (25</w:t>
      </w:r>
      <w:r>
        <w:rPr>
          <w:vertAlign w:val="superscript"/>
        </w:rPr>
        <w:t>th</w:t>
      </w:r>
      <w:r>
        <w:t>, 75</w:t>
      </w:r>
      <w:r>
        <w:rPr>
          <w:vertAlign w:val="superscript"/>
        </w:rPr>
        <w:t>th</w:t>
      </w:r>
      <w:r>
        <w:t xml:space="preserve"> percentile) scaled Brier score was 6.09 (5.71, 6.54) for Cox PH and 7.27 (6.83, 7.77) for boosting models (Table 4; top panel). Multiple imputation strategies universally obtained higher scaled Brier scores versus their single imputation cou</w:t>
      </w:r>
      <w:r>
        <w:t>nterparts. Multiple imputation using random forests provided the highest scaled Brier score compared to other strategies, leading to a median (25</w:t>
      </w:r>
      <w:r>
        <w:rPr>
          <w:vertAlign w:val="superscript"/>
        </w:rPr>
        <w:t>th</w:t>
      </w:r>
      <w:r>
        <w:t>, 75</w:t>
      </w:r>
      <w:r>
        <w:rPr>
          <w:vertAlign w:val="superscript"/>
        </w:rPr>
        <w:t>th</w:t>
      </w:r>
      <w:r>
        <w:t xml:space="preserve"> percentile) increase in the scaled Brier score of 0.34 (0.12, 0.54) for Cox PH and 0.34 (0.14, 0.58) f</w:t>
      </w:r>
      <w:r>
        <w:t>or boosting models. These performance increments improved when an additional 15% and 30% of data were amputed (Table 4; middle and bottom panel).</w:t>
      </w:r>
    </w:p>
    <w:p w:rsidR="00BF033B" w:rsidRDefault="00BF033B">
      <w:pPr>
        <w:pStyle w:val="BodyText"/>
      </w:pPr>
    </w:p>
    <w:p w:rsidR="00BF033B" w:rsidRDefault="00B20113">
      <w:pPr>
        <w:pStyle w:val="BodyText"/>
      </w:pPr>
      <w:r>
        <w:rPr>
          <w:b/>
        </w:rPr>
        <w:lastRenderedPageBreak/>
        <w:t>Transplant risk prediction</w:t>
      </w:r>
      <w:r>
        <w:t>: When no additional data were amputed and imputation to the mean was applied befor</w:t>
      </w:r>
      <w:r>
        <w:t>e fitting risk prediction models, the median (25</w:t>
      </w:r>
      <w:r>
        <w:rPr>
          <w:vertAlign w:val="superscript"/>
        </w:rPr>
        <w:t>th</w:t>
      </w:r>
      <w:r>
        <w:t>, 75</w:t>
      </w:r>
      <w:r>
        <w:rPr>
          <w:vertAlign w:val="superscript"/>
        </w:rPr>
        <w:t>th</w:t>
      </w:r>
      <w:r>
        <w:t xml:space="preserve"> percentile) scaled Brier score was 9.35 (8.80, 9.71) for Cox PH and 9.00 (8.55, 9.41) for boosting models (Table 5; top panel). For Cox PH models, imputation to the mean provided the lowest scaled Br</w:t>
      </w:r>
      <w:r>
        <w:t>ier score, and random forest imputation led to a median (25</w:t>
      </w:r>
      <w:r>
        <w:rPr>
          <w:vertAlign w:val="superscript"/>
        </w:rPr>
        <w:t>th</w:t>
      </w:r>
      <w:r>
        <w:t>, 75</w:t>
      </w:r>
      <w:r>
        <w:rPr>
          <w:vertAlign w:val="superscript"/>
        </w:rPr>
        <w:t>th</w:t>
      </w:r>
      <w:r>
        <w:t xml:space="preserve"> percentile) increase of 0.13 (0.03, 0.29) versus imputation to the mean. For boosting models, surprisingly, imputation to the mean provided a higher scaled Brier score than all imputation </w:t>
      </w:r>
      <w:r>
        <w:t>methods except for multiple imputation using Bayesian regression. When an additional 15% and 30% of data were amputed, the performance increments corresponding to the use of multiple imputation increased for both Cox PH and boosting models (Table 5; middle</w:t>
      </w:r>
      <w:r>
        <w:t xml:space="preserve"> and bottom panel).</w:t>
      </w:r>
    </w:p>
    <w:p w:rsidR="00BF033B" w:rsidRDefault="00BF033B">
      <w:pPr>
        <w:pStyle w:val="BodyText"/>
      </w:pPr>
    </w:p>
    <w:p w:rsidR="00BF033B" w:rsidRDefault="00B20113">
      <w:pPr>
        <w:pStyle w:val="Heading2"/>
      </w:pPr>
      <w:bookmarkStart w:id="15" w:name="discrimination-and-calibration"/>
      <w:bookmarkEnd w:id="14"/>
      <w:r>
        <w:t>Discrimination and calibration</w:t>
      </w:r>
    </w:p>
    <w:p w:rsidR="00BF033B" w:rsidRDefault="00B20113">
      <w:pPr>
        <w:pStyle w:val="FirstParagraph"/>
      </w:pPr>
      <w:r>
        <w:rPr>
          <w:b/>
        </w:rPr>
        <w:t>Mortality risk prediction:</w:t>
      </w:r>
      <w:r>
        <w:t xml:space="preserve"> Regardless of how much additional data were amputed, boosting models obtained higher median C-indices than PH models for prediction of 6-month mortality risk (Table 6). In addit</w:t>
      </w:r>
      <w:r>
        <w:t>ion, all models that used multiple imputation consistently obtained higher median C-indices compared to their counterparts using single imputation. When 0 and 15% additional data were amputed, median calibration error was lower for PH models compared to bo</w:t>
      </w:r>
      <w:r>
        <w:t>osting models, but boosting models obtained lower median calibration error when 30% additional data were amputed (Table 7). Almost all imputation strategies provided lower median calibration error compared with imputation to the mean.</w:t>
      </w:r>
    </w:p>
    <w:p w:rsidR="00BF033B" w:rsidRDefault="00BF033B">
      <w:pPr>
        <w:pStyle w:val="BodyText"/>
      </w:pPr>
    </w:p>
    <w:p w:rsidR="00BF033B" w:rsidRDefault="00B20113">
      <w:pPr>
        <w:pStyle w:val="BodyText"/>
      </w:pPr>
      <w:r>
        <w:rPr>
          <w:b/>
        </w:rPr>
        <w:lastRenderedPageBreak/>
        <w:t>Transplant risk pred</w:t>
      </w:r>
      <w:r>
        <w:rPr>
          <w:b/>
        </w:rPr>
        <w:t>iction:</w:t>
      </w:r>
      <w:r>
        <w:t xml:space="preserve"> For all amounts of additional data amputed, PH models obtained higher median C-indices than boosting models for prediction of 6-month transplant risk (Table 8). Similar to mortality risk prediction, multiple imputation strategies generally provided</w:t>
      </w:r>
      <w:r>
        <w:t xml:space="preserve"> higher C-indices than their counterparts using single imputation strategy. For boosting models, MIA provided higher C-indices compared to all other single imputation strategies and had similar or superior performance compared to several multiple imputatio</w:t>
      </w:r>
      <w:r>
        <w:t>n strategies. Differences in calibration error were minor when no additional missing data were amputed (Table 9). When an additional 30% of data were amputed, boosting models using MIA obtained lower calibration error than any other strategy.</w:t>
      </w:r>
    </w:p>
    <w:p w:rsidR="00BF033B" w:rsidRDefault="00BF033B">
      <w:pPr>
        <w:pStyle w:val="BodyText"/>
      </w:pPr>
    </w:p>
    <w:p w:rsidR="00BF033B" w:rsidRDefault="00B20113">
      <w:pPr>
        <w:pStyle w:val="Heading2"/>
      </w:pPr>
      <w:bookmarkStart w:id="16" w:name="bayesian-analysis-of-model-performance"/>
      <w:bookmarkEnd w:id="15"/>
      <w:r>
        <w:t>Bayesian ana</w:t>
      </w:r>
      <w:r>
        <w:t>lysis of model performance</w:t>
      </w:r>
    </w:p>
    <w:p w:rsidR="00BF033B" w:rsidRDefault="00B20113">
      <w:pPr>
        <w:pStyle w:val="FirstParagraph"/>
      </w:pPr>
      <w:r>
        <w:t xml:space="preserve">Adjusting for the amount of additional missing data amputed and the outcome variable, the posterior probability that an imputation strategy would improve the scaled Brier score of a downstream model relative to imputation to the </w:t>
      </w:r>
      <w:r>
        <w:t>mean was maximized by using multiple imputation with random forests (probability of improvement: &gt;0.999; Figure 2). Similarly, multiple imputation using random forests was estimated to have the highest posterior probability of improving the C-index in comp</w:t>
      </w:r>
      <w:r>
        <w:t>arison to using imputation to the mean (probability of improvement: &gt;0.999; Figure 3). However, the estimated posterior probability of a reduction in calibration was &gt;0.999 when using either single or multiple imputation with random forests compared with i</w:t>
      </w:r>
      <w:r>
        <w:t>mputation to the mean (Figure 4). Although imputation using random forest was estimated to be the best overall option, there was moderate to strong evidence that MIA and each multiple imputation strategy we applied would improve prognostic accuracy of down</w:t>
      </w:r>
      <w:r>
        <w:t>stream models compared with imputation to the mean.</w:t>
      </w:r>
    </w:p>
    <w:p w:rsidR="00BF033B" w:rsidRDefault="00BF033B">
      <w:pPr>
        <w:pStyle w:val="BodyText"/>
      </w:pPr>
    </w:p>
    <w:p w:rsidR="00BF033B" w:rsidRDefault="00B20113">
      <w:pPr>
        <w:pStyle w:val="Heading1"/>
      </w:pPr>
      <w:bookmarkStart w:id="17" w:name="discussion"/>
      <w:bookmarkEnd w:id="13"/>
      <w:bookmarkEnd w:id="16"/>
      <w:r>
        <w:t>DISCUSSION</w:t>
      </w:r>
    </w:p>
    <w:p w:rsidR="00BF033B" w:rsidRDefault="00B20113">
      <w:pPr>
        <w:pStyle w:val="FirstParagraph"/>
      </w:pPr>
      <w:r>
        <w:t xml:space="preserve">In this article, we leveraged INTERMACS registry data to evaluate how the use of different imputation strategies prior to fitting a risk prediction model would impact the external prognostic accuracy of the model. External prognostic accuracy was measured </w:t>
      </w:r>
      <w:r>
        <w:t>at 6 months after receiving MCS, and the primary measure of accuracy was the scaled Brier score. We evaluated the performance of 12 imputation strategies in a broad range of settings by varying (1) the amount of additional missing data amputed prior to per</w:t>
      </w:r>
      <w:r>
        <w:t xml:space="preserve">forming imputation, (2) the type of risk prediction model applied after imputation, and (3) the outcome variable for the risk prediction model. Our resampling experiment indicated that conducting multiple imputation has a high likelihood of increasing the </w:t>
      </w:r>
      <w:r>
        <w:t>downstream scaled Brier score and C-index of risk prediction models compared with imputation to the mean. Additionally, multiple imputation with random forests emerged as the imputation strategy that maximized the probability of developing a more prognosti</w:t>
      </w:r>
      <w:r>
        <w:t>c model compared with imputation to the mean.</w:t>
      </w:r>
    </w:p>
    <w:p w:rsidR="00BF033B" w:rsidRDefault="00BF033B">
      <w:pPr>
        <w:pStyle w:val="BodyText"/>
      </w:pPr>
    </w:p>
    <w:p w:rsidR="00BF033B" w:rsidRDefault="00B20113">
      <w:pPr>
        <w:pStyle w:val="BodyText"/>
      </w:pPr>
      <w:r>
        <w:t>In previous studies involving the INTERMACS data registry, imputation to the mean has been applied prior to developing a mortality risk prediction model.</w:t>
      </w:r>
      <w:r>
        <w:rPr>
          <w:vertAlign w:val="superscript"/>
        </w:rPr>
        <w:t>7–12</w:t>
      </w:r>
      <w:r>
        <w:t xml:space="preserve"> An interesting recent study indicates that imputati</w:t>
      </w:r>
      <w:r>
        <w:t>on to the mean can provide an asymptotically consistent prediction model, given the prediction model is flexible and non-linear.</w:t>
      </w:r>
      <w:r>
        <w:rPr>
          <w:vertAlign w:val="superscript"/>
        </w:rPr>
        <w:t>20</w:t>
      </w:r>
      <w:r>
        <w:t xml:space="preserve"> However, theoretical results for finite samples have not yet been established. Our results provide relevant data for the fini</w:t>
      </w:r>
      <w:r>
        <w:t xml:space="preserve">te sample case, suggesting that using imputation strategies considered in the current study instead of imputation to the mean can improve the prognostic accuracy of downstream models, particularly </w:t>
      </w:r>
      <w:r>
        <w:lastRenderedPageBreak/>
        <w:t>if multiple imputation is applied. Imputation to the mean s</w:t>
      </w:r>
      <w:r>
        <w:t>hould be avoided in future analyses of the INTERMACS registry and analyses where inflexible models are applied.</w:t>
      </w:r>
    </w:p>
    <w:p w:rsidR="00BF033B" w:rsidRDefault="00BF033B">
      <w:pPr>
        <w:pStyle w:val="BodyText"/>
      </w:pPr>
    </w:p>
    <w:p w:rsidR="00BF033B" w:rsidRDefault="00B20113">
      <w:pPr>
        <w:pStyle w:val="BodyText"/>
      </w:pPr>
      <w:r>
        <w:t>Previous research has also established evidence in favor of applying multiple imputation to improve the prognostic value of risk prediction mod</w:t>
      </w:r>
      <w:r>
        <w:t>els. For example, Hassan and Atiya demonstrated superior downstream prediction using an ensemble multiple imputation method on synthetic data with continuous outcomes.</w:t>
      </w:r>
      <w:r>
        <w:rPr>
          <w:vertAlign w:val="superscript"/>
        </w:rPr>
        <w:t>64</w:t>
      </w:r>
      <w:r>
        <w:t xml:space="preserve"> Similarly, Nanni et. al demonstrated superior performance in downstream prediction whe</w:t>
      </w:r>
      <w:r>
        <w:t>n missing values were imputed using their proposed ensemble multiple imputation method.</w:t>
      </w:r>
      <w:r>
        <w:rPr>
          <w:vertAlign w:val="superscript"/>
        </w:rPr>
        <w:t>65</w:t>
      </w:r>
      <w:r>
        <w:t xml:space="preserve"> Notably, the authors artificially induced missing values in these studies and the largest real dataset that was evaluated contained less than 700 observations. An art</w:t>
      </w:r>
      <w:r>
        <w:t>icle by Jerez et. al evaluated missing data strategies based on the downstream task of fitting a neural network and predicting early breast cancer relapse.</w:t>
      </w:r>
      <w:r>
        <w:rPr>
          <w:vertAlign w:val="superscript"/>
        </w:rPr>
        <w:t>19</w:t>
      </w:r>
      <w:r>
        <w:t xml:space="preserve"> The authors found that KNN imputation led to risk prediction models with the highest discriminatio</w:t>
      </w:r>
      <w:r>
        <w:t>n and lowest calibration error. Results from the current study are consistent with these previous findings but also extend their results by providing evidence from a larger source of data (</w:t>
      </w:r>
      <w:r>
        <w:rPr>
          <w:i/>
        </w:rPr>
        <w:t>i.e.</w:t>
      </w:r>
      <w:r>
        <w:t xml:space="preserve"> INTERMACS) and dealing with ‘real-world’ missing values.</w:t>
      </w:r>
    </w:p>
    <w:p w:rsidR="00BF033B" w:rsidRDefault="00BF033B">
      <w:pPr>
        <w:pStyle w:val="BodyText"/>
      </w:pPr>
    </w:p>
    <w:p w:rsidR="00BF033B" w:rsidRDefault="00B20113">
      <w:pPr>
        <w:pStyle w:val="BodyText"/>
      </w:pPr>
      <w:r>
        <w:t>Othe</w:t>
      </w:r>
      <w:r>
        <w:t>rs have previously evaluated imputation techniques based on the accuracy with which these techniques impute missing values in the training data.</w:t>
      </w:r>
      <w:r>
        <w:rPr>
          <w:vertAlign w:val="superscript"/>
        </w:rPr>
        <w:t>66–68</w:t>
      </w:r>
      <w:r>
        <w:t xml:space="preserve"> While it is intuitive to hypothesize that more accurate imputation will provide more prognostic downstream</w:t>
      </w:r>
      <w:r>
        <w:t xml:space="preserve"> models, our results do not support this supposition. For example, when an additional 30% of missing data were amputed, none of the missing data strategies we implemented obtained higher accuracy than imputation to </w:t>
      </w:r>
      <w:r>
        <w:lastRenderedPageBreak/>
        <w:t>the mean and multiple imputation strategi</w:t>
      </w:r>
      <w:r>
        <w:t xml:space="preserve">es obtained particularly low accuracy. However, </w:t>
      </w:r>
      <w:r>
        <w:rPr>
          <w:i/>
        </w:rPr>
        <w:t>all</w:t>
      </w:r>
      <w:r>
        <w:t xml:space="preserve"> </w:t>
      </w:r>
      <w:r>
        <w:t>of the multiple imputation strategies improved the prognostic accuracy of downstream models relative to imputation to the mean when an additional 30% of data were amputed prior to imputation of missing values. This result is likely explained by the bias va</w:t>
      </w:r>
      <w:r>
        <w:t>riance tradeoff. In particular, single imputation techniques may lead to prediction models with lower bias but higher variance than multiple imputation techniques.</w:t>
      </w:r>
    </w:p>
    <w:p w:rsidR="00BF033B" w:rsidRDefault="00BF033B">
      <w:pPr>
        <w:pStyle w:val="BodyText"/>
      </w:pPr>
    </w:p>
    <w:p w:rsidR="00BF033B" w:rsidRDefault="00B20113">
      <w:pPr>
        <w:pStyle w:val="BodyText"/>
      </w:pPr>
      <w:r>
        <w:rPr>
          <w:b/>
        </w:rPr>
        <w:t>Strengths and limitations:</w:t>
      </w:r>
      <w:r>
        <w:t xml:space="preserve"> The current analysis has a number of strengths. We leveraged the</w:t>
      </w:r>
      <w:r>
        <w:t xml:space="preserve"> INTERMACS data registry, comprising one of the largest cohorts of patients who received MCS. We applied a well known resampling method to internally validate modeling algorithms for risk prediction. We also made our analysis R code available in a public r</w:t>
      </w:r>
      <w:r>
        <w:t>epository (</w:t>
      </w:r>
      <w:hyperlink r:id="rId10">
        <w:r>
          <w:rPr>
            <w:rStyle w:val="Hyperlink"/>
          </w:rPr>
          <w:t>https://github.com/bcjaeger/INTERMACS-missing-data</w:t>
        </w:r>
      </w:hyperlink>
      <w:r>
        <w:t>). Last, the approach presented in this paper provides a general framework that can be applied in other studies where missing</w:t>
      </w:r>
      <w:r>
        <w:t xml:space="preserve"> data are imputed prior to fitting a risk prediction model. The current analysis should also be interpreted in the context of known limitations. We considered a small subset of existing strategies to impute missing data, and other strategies may have provi</w:t>
      </w:r>
      <w:r>
        <w:t>ded stronger improvements compared with imputation to the mean. The models we studied obtained low values of scaled Brier score, indicating low prediction accuracy. It is unclear how results may vary for models with higher prediction accuracy. Also, it was</w:t>
      </w:r>
      <w:r>
        <w:t xml:space="preserve"> not feasible to use only the training data to impute missing values in the testing data due to a lack of available software. Although the miceRanger R package allows imputation of new data using existing models, few software packages for imputation allow </w:t>
      </w:r>
      <w:r>
        <w:t xml:space="preserve">users to implement multiple imputation with this protocol. Future analyses </w:t>
      </w:r>
      <w:r>
        <w:lastRenderedPageBreak/>
        <w:t>should introduce more flexible software and hands-on tutorials so that investigators can optimize imputation of missing data.</w:t>
      </w:r>
    </w:p>
    <w:p w:rsidR="00BF033B" w:rsidRDefault="00BF033B">
      <w:pPr>
        <w:pStyle w:val="BodyText"/>
      </w:pPr>
    </w:p>
    <w:p w:rsidR="00BF033B" w:rsidRDefault="00B20113">
      <w:pPr>
        <w:pStyle w:val="BodyText"/>
      </w:pPr>
      <w:r>
        <w:rPr>
          <w:b/>
        </w:rPr>
        <w:t>Conclusion:</w:t>
      </w:r>
      <w:r>
        <w:t xml:space="preserve"> Selecting an optimal strategy to impute mi</w:t>
      </w:r>
      <w:r>
        <w:t>ssing values such as random forests can impact the prognostic accuracy of downstream risk prediction models. In the current analysis, conducting multiple imputation using random forests emerged as an optimal strategy to impute missing values in the INTERMA</w:t>
      </w:r>
      <w:r>
        <w:t>CS data. This investigation can directly inform future analyses of INTERMACS data and provide evidence quantifying the benefit of imputing missing data with sound methodology.</w:t>
      </w:r>
    </w:p>
    <w:p w:rsidR="00BF033B" w:rsidRDefault="00BF033B">
      <w:pPr>
        <w:pStyle w:val="BodyText"/>
      </w:pPr>
    </w:p>
    <w:p w:rsidR="00BF033B" w:rsidRDefault="00B20113">
      <w:pPr>
        <w:pStyle w:val="BodyText"/>
      </w:pPr>
      <w:r>
        <w:rPr>
          <w:b/>
        </w:rPr>
        <w:t>Sources of Funding:</w:t>
      </w:r>
      <w:r>
        <w:t xml:space="preserve"> This work is supported by the American Heart Association, g</w:t>
      </w:r>
      <w:r>
        <w:t>rant# 18AIML34280052. De-identified data provided from the INTERMACS contract with from the National Heart, Lung, and Blood Institute; National Institutes of Health; and Department of Health and Human Services, under contract# HHSN268201100025C.</w:t>
      </w:r>
    </w:p>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w:t>
      </w:r>
      <w:r>
        <w:t xml:space="preserve"> Participant characteristics overall and stratified by event status at 6 months following surgery to receive mechanical circulatory support. The majority of patients were male and nearly all mechanical circulatory support devices were left-ventricular assi</w:t>
      </w:r>
      <w:r>
        <w:t xml:space="preserve">stance devices. </w:t>
      </w:r>
    </w:p>
    <w:tbl>
      <w:tblPr>
        <w:tblW w:w="0" w:type="auto"/>
        <w:jc w:val="center"/>
        <w:tblLayout w:type="fixed"/>
        <w:tblLook w:val="0420" w:firstRow="1" w:lastRow="0" w:firstColumn="0" w:lastColumn="0" w:noHBand="0" w:noVBand="1"/>
      </w:tblPr>
      <w:tblGrid>
        <w:gridCol w:w="2160"/>
        <w:gridCol w:w="1296"/>
        <w:gridCol w:w="1296"/>
        <w:gridCol w:w="1296"/>
        <w:gridCol w:w="1296"/>
        <w:gridCol w:w="1296"/>
        <w:gridCol w:w="1296"/>
      </w:tblGrid>
      <w:tr w:rsidR="00BF033B">
        <w:trPr>
          <w:cantSplit/>
          <w:tblHeader/>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jc w:val="center"/>
            </w:pPr>
            <w:r>
              <w:rPr>
                <w:rFonts w:eastAsia="Times New Roman" w:cs="Times New Roman"/>
                <w:b/>
                <w:color w:val="000000"/>
              </w:rPr>
              <w:t>Overall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jc w:val="center"/>
            </w:pPr>
            <w:r>
              <w:rPr>
                <w:rFonts w:eastAsia="Times New Roman" w:cs="Times New Roman"/>
                <w:b/>
                <w:color w:val="000000"/>
              </w:rPr>
              <w:t>Dead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jc w:val="center"/>
            </w:pPr>
            <w:r>
              <w:rPr>
                <w:rFonts w:eastAsia="Times New Roman" w:cs="Times New Roman"/>
                <w:b/>
                <w:color w:val="000000"/>
              </w:rPr>
              <w:t>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jc w:val="center"/>
            </w:pPr>
            <w:r>
              <w:rPr>
                <w:rFonts w:eastAsia="Times New Roman" w:cs="Times New Roman"/>
                <w:b/>
                <w:color w:val="000000"/>
              </w:rPr>
              <w:t>Cessation of support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jc w:val="center"/>
            </w:pPr>
            <w:r>
              <w:rPr>
                <w:rFonts w:eastAsia="Times New Roman" w:cs="Times New Roman"/>
                <w:b/>
                <w:color w:val="000000"/>
              </w:rPr>
              <w:t>Alive on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40" w:after="40"/>
              <w:ind w:left="60" w:right="60"/>
              <w:jc w:val="center"/>
            </w:pPr>
            <w:r>
              <w:rPr>
                <w:rFonts w:eastAsia="Times New Roman" w:cs="Times New Roman"/>
                <w:b/>
                <w:color w:val="000000"/>
              </w:rPr>
              <w:t>Censored</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No. of patients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14,738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1,897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1,067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10,738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981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Age, years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57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62 (12)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54 (12)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52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57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57 (13)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Sex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Female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Male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Race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White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Black</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Other</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Body mass index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27 (6)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 (8)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28 (7)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Device strategy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Other</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Bridge to 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Destination therapy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LVEDD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6.83 (1.10)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6.56 (1.12)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6.86 (1.13)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6.33 (1.03)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6.88 (1.08)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6.78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Urinary albumin, 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3.41 (0.64)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3.26 (0.63)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3.51 (0.61)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3.43 (0.63)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3.43 (0.64)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3.40 (0.62)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Urinary creatinine,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1.39 (0.68)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1.54 (0.80)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1.36 (0.70)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1.17 (0.61)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1.37 (0.66)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1.36 (0.57)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CV pressure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10.8 (6.2)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12.2 (6.7)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10.6 (5.7)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9.9 (6.3)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10.7 (6.2)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10.3 (5.7)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Periphal edema</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BUN,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 (18)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 (20)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28 (19)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27 (21)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28 (17)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 (19)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Bilirubin levels,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1.37 (1.84)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1.80 (3.10)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1.42 (2.05)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1.47 (3.32)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1.29 (1.53)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1.27 (1.17)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Device type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t>Bi-ventricular assistance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300" w:right="60"/>
            </w:pPr>
            <w:r>
              <w:rPr>
                <w:rFonts w:eastAsia="Times New Roman" w:cs="Times New Roman"/>
                <w:color w:val="000000"/>
              </w:rPr>
              <w:lastRenderedPageBreak/>
              <w:t>Left-ventricular assistance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Surgery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292 (113)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337 (136)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272 (100)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291 (92)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286 (107)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289 (116)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B20113">
            <w:pPr>
              <w:spacing w:before="60" w:after="60"/>
              <w:ind w:left="60" w:right="60"/>
            </w:pPr>
            <w:r>
              <w:rPr>
                <w:rFonts w:eastAsia="Times New Roman" w:cs="Times New Roman"/>
                <w:color w:val="000000"/>
              </w:rPr>
              <w:t>CPB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95 (49)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113 (63)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92 (51)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94 (40)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92 (45)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94 (46)</w:t>
            </w:r>
          </w:p>
        </w:tc>
      </w:tr>
      <w:tr w:rsidR="00BF033B">
        <w:trPr>
          <w:cantSplit/>
          <w:jc w:val="center"/>
        </w:trPr>
        <w:tc>
          <w:tcPr>
            <w:tcW w:w="9936" w:type="dxa"/>
            <w:gridSpan w:val="7"/>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sz w:val="22"/>
                <w:szCs w:val="22"/>
                <w:vertAlign w:val="superscript"/>
              </w:rPr>
              <w:t>*</w:t>
            </w:r>
            <w:r>
              <w:rPr>
                <w:rFonts w:eastAsia="Times New Roman" w:cs="Times New Roman"/>
                <w:color w:val="000000"/>
                <w:sz w:val="22"/>
                <w:szCs w:val="22"/>
              </w:rPr>
              <w:t>Table values are mean (standard deviation) or %</w:t>
            </w:r>
          </w:p>
        </w:tc>
      </w:tr>
      <w:tr w:rsidR="00BF033B">
        <w:trPr>
          <w:cantSplit/>
          <w:jc w:val="center"/>
        </w:trPr>
        <w:tc>
          <w:tcPr>
            <w:tcW w:w="9936" w:type="dxa"/>
            <w:gridSpan w:val="7"/>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sz w:val="22"/>
                <w:szCs w:val="22"/>
              </w:rPr>
              <w:t>Abbreviations: LVEDD = left ventricular end diastolic dimension; CV = central venous; BUN = blood urea nitrogen; CPB = cardiopulmonary bypass</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Number (percent) of missing values for a selection of predictor variables in the overall population and in subgroups based on event status. Many predictor variables exhibited similar proportions of missing values in different outcome groups, but s</w:t>
      </w:r>
      <w:r>
        <w:t xml:space="preserve">urgery time was an exception. This pattern is likely due to the fact that surgery time was added to the INTERMACS data after 2012. </w:t>
      </w:r>
    </w:p>
    <w:tbl>
      <w:tblPr>
        <w:tblW w:w="0" w:type="auto"/>
        <w:jc w:val="center"/>
        <w:tblLayout w:type="fixed"/>
        <w:tblLook w:val="0420" w:firstRow="1" w:lastRow="0" w:firstColumn="0" w:lastColumn="0" w:noHBand="0" w:noVBand="1"/>
      </w:tblPr>
      <w:tblGrid>
        <w:gridCol w:w="2880"/>
        <w:gridCol w:w="1296"/>
        <w:gridCol w:w="1296"/>
        <w:gridCol w:w="1296"/>
        <w:gridCol w:w="1296"/>
        <w:gridCol w:w="1296"/>
        <w:gridCol w:w="1296"/>
      </w:tblGrid>
      <w:tr w:rsidR="00BF033B">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Variable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Overall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Dead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Alive on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Cessation of support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Censored</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CV pressure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7,415</w:t>
            </w:r>
            <w:r>
              <w:rPr>
                <w:rFonts w:eastAsia="Times New Roman" w:cs="Times New Roman"/>
                <w:color w:val="000000"/>
              </w:rPr>
              <w:br/>
              <w:t>(50.3%)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920</w:t>
            </w:r>
            <w:r>
              <w:rPr>
                <w:rFonts w:eastAsia="Times New Roman" w:cs="Times New Roman"/>
                <w:color w:val="000000"/>
              </w:rPr>
              <w:br/>
              <w:t>(48.5%)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5,507</w:t>
            </w:r>
            <w:r>
              <w:rPr>
                <w:rFonts w:eastAsia="Times New Roman" w:cs="Times New Roman"/>
                <w:color w:val="000000"/>
              </w:rPr>
              <w:br/>
            </w:r>
            <w:r>
              <w:rPr>
                <w:rFonts w:eastAsia="Times New Roman" w:cs="Times New Roman"/>
                <w:color w:val="000000"/>
              </w:rPr>
              <w:t>(51.3%)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539</w:t>
            </w:r>
            <w:r>
              <w:rPr>
                <w:rFonts w:eastAsia="Times New Roman" w:cs="Times New Roman"/>
                <w:color w:val="000000"/>
              </w:rPr>
              <w:br/>
              <w:t>(50.5%)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29</w:t>
            </w:r>
            <w:r>
              <w:rPr>
                <w:rFonts w:eastAsia="Times New Roman" w:cs="Times New Roman"/>
                <w:color w:val="000000"/>
              </w:rPr>
              <w:br/>
              <w:t>(52.7%)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420</w:t>
            </w:r>
            <w:r>
              <w:rPr>
                <w:rFonts w:eastAsia="Times New Roman" w:cs="Times New Roman"/>
                <w:color w:val="000000"/>
              </w:rPr>
              <w:br/>
              <w:t>(42.8%)</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Surgery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6,125</w:t>
            </w:r>
            <w:r>
              <w:rPr>
                <w:rFonts w:eastAsia="Times New Roman" w:cs="Times New Roman"/>
                <w:color w:val="000000"/>
              </w:rPr>
              <w:br/>
              <w:t>(41.6%)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795</w:t>
            </w:r>
            <w:r>
              <w:rPr>
                <w:rFonts w:eastAsia="Times New Roman" w:cs="Times New Roman"/>
                <w:color w:val="000000"/>
              </w:rPr>
              <w:br/>
              <w:t>(41.9%)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4,727</w:t>
            </w:r>
            <w:r>
              <w:rPr>
                <w:rFonts w:eastAsia="Times New Roman" w:cs="Times New Roman"/>
                <w:color w:val="000000"/>
              </w:rPr>
              <w:br/>
              <w:t>(44.0%)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470</w:t>
            </w:r>
            <w:r>
              <w:rPr>
                <w:rFonts w:eastAsia="Times New Roman" w:cs="Times New Roman"/>
                <w:color w:val="000000"/>
              </w:rPr>
              <w:br/>
              <w:t>(44.0%)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23</w:t>
            </w:r>
            <w:r>
              <w:rPr>
                <w:rFonts w:eastAsia="Times New Roman" w:cs="Times New Roman"/>
                <w:color w:val="000000"/>
              </w:rPr>
              <w:br/>
              <w:t>(41.8%)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110</w:t>
            </w:r>
            <w:r>
              <w:rPr>
                <w:rFonts w:eastAsia="Times New Roman" w:cs="Times New Roman"/>
                <w:color w:val="000000"/>
              </w:rPr>
              <w:br/>
              <w:t>(11.2%)</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Periphal edema</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5,093</w:t>
            </w:r>
            <w:r>
              <w:rPr>
                <w:rFonts w:eastAsia="Times New Roman" w:cs="Times New Roman"/>
                <w:color w:val="000000"/>
              </w:rPr>
              <w:br/>
              <w:t>(34.6%)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716</w:t>
            </w:r>
            <w:r>
              <w:rPr>
                <w:rFonts w:eastAsia="Times New Roman" w:cs="Times New Roman"/>
                <w:color w:val="000000"/>
              </w:rPr>
              <w:br/>
              <w:t>(37.7%)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3,935</w:t>
            </w:r>
            <w:r>
              <w:rPr>
                <w:rFonts w:eastAsia="Times New Roman" w:cs="Times New Roman"/>
                <w:color w:val="000000"/>
              </w:rPr>
              <w:br/>
              <w:t>(36.6%)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368</w:t>
            </w:r>
            <w:r>
              <w:rPr>
                <w:rFonts w:eastAsia="Times New Roman" w:cs="Times New Roman"/>
                <w:color w:val="000000"/>
              </w:rPr>
              <w:br/>
              <w:t>(34.5%)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15</w:t>
            </w:r>
            <w:r>
              <w:rPr>
                <w:rFonts w:eastAsia="Times New Roman" w:cs="Times New Roman"/>
                <w:color w:val="000000"/>
              </w:rPr>
              <w:br/>
              <w:t>(27.3%)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59</w:t>
            </w:r>
            <w:r>
              <w:rPr>
                <w:rFonts w:eastAsia="Times New Roman" w:cs="Times New Roman"/>
                <w:color w:val="000000"/>
              </w:rPr>
              <w:br/>
              <w:t>(6.01%)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LVEDD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3,155</w:t>
            </w:r>
            <w:r>
              <w:rPr>
                <w:rFonts w:eastAsia="Times New Roman" w:cs="Times New Roman"/>
                <w:color w:val="000000"/>
              </w:rPr>
              <w:br/>
              <w:t>(21.4%)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458</w:t>
            </w:r>
            <w:r>
              <w:rPr>
                <w:rFonts w:eastAsia="Times New Roman" w:cs="Times New Roman"/>
                <w:color w:val="000000"/>
              </w:rPr>
              <w:br/>
            </w:r>
            <w:r>
              <w:rPr>
                <w:rFonts w:eastAsia="Times New Roman" w:cs="Times New Roman"/>
                <w:color w:val="000000"/>
              </w:rPr>
              <w:t>(24.1%)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2,274</w:t>
            </w:r>
            <w:r>
              <w:rPr>
                <w:rFonts w:eastAsia="Times New Roman" w:cs="Times New Roman"/>
                <w:color w:val="000000"/>
              </w:rPr>
              <w:br/>
              <w:t>(21.2%)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235</w:t>
            </w:r>
            <w:r>
              <w:rPr>
                <w:rFonts w:eastAsia="Times New Roman" w:cs="Times New Roman"/>
                <w:color w:val="000000"/>
              </w:rPr>
              <w:br/>
              <w:t>(22.0%)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12</w:t>
            </w:r>
            <w:r>
              <w:rPr>
                <w:rFonts w:eastAsia="Times New Roman" w:cs="Times New Roman"/>
                <w:color w:val="000000"/>
              </w:rPr>
              <w:br/>
              <w:t>(21.8%)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176</w:t>
            </w:r>
            <w:r>
              <w:rPr>
                <w:rFonts w:eastAsia="Times New Roman" w:cs="Times New Roman"/>
                <w:color w:val="000000"/>
              </w:rPr>
              <w:br/>
              <w:t>(17.9%)</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Urinary albumin, 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1,014</w:t>
            </w:r>
            <w:r>
              <w:rPr>
                <w:rFonts w:eastAsia="Times New Roman" w:cs="Times New Roman"/>
                <w:color w:val="000000"/>
              </w:rPr>
              <w:br/>
              <w:t>(6.88%)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121</w:t>
            </w:r>
            <w:r>
              <w:rPr>
                <w:rFonts w:eastAsia="Times New Roman" w:cs="Times New Roman"/>
                <w:color w:val="000000"/>
              </w:rPr>
              <w:br/>
              <w:t>(6.38%)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745</w:t>
            </w:r>
            <w:r>
              <w:rPr>
                <w:rFonts w:eastAsia="Times New Roman" w:cs="Times New Roman"/>
                <w:color w:val="000000"/>
              </w:rPr>
              <w:br/>
              <w:t>(6.94%)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89</w:t>
            </w:r>
            <w:r>
              <w:rPr>
                <w:rFonts w:eastAsia="Times New Roman" w:cs="Times New Roman"/>
                <w:color w:val="000000"/>
              </w:rPr>
              <w:br/>
              <w:t>(8.34%)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w:t>
            </w:r>
            <w:r>
              <w:rPr>
                <w:rFonts w:eastAsia="Times New Roman" w:cs="Times New Roman"/>
                <w:color w:val="000000"/>
              </w:rPr>
              <w:br/>
              <w:t>(7.27%)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55</w:t>
            </w:r>
            <w:r>
              <w:rPr>
                <w:rFonts w:eastAsia="Times New Roman" w:cs="Times New Roman"/>
                <w:color w:val="000000"/>
              </w:rPr>
              <w:br/>
              <w:t>(5.61%)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CPB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1,010</w:t>
            </w:r>
            <w:r>
              <w:rPr>
                <w:rFonts w:eastAsia="Times New Roman" w:cs="Times New Roman"/>
                <w:color w:val="000000"/>
              </w:rPr>
              <w:br/>
              <w:t>(6.85%)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149</w:t>
            </w:r>
            <w:r>
              <w:rPr>
                <w:rFonts w:eastAsia="Times New Roman" w:cs="Times New Roman"/>
                <w:color w:val="000000"/>
              </w:rPr>
              <w:br/>
              <w:t>(7.85%)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678</w:t>
            </w:r>
            <w:r>
              <w:rPr>
                <w:rFonts w:eastAsia="Times New Roman" w:cs="Times New Roman"/>
                <w:color w:val="000000"/>
              </w:rPr>
              <w:br/>
              <w:t>(6.31%)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77</w:t>
            </w:r>
            <w:r>
              <w:rPr>
                <w:rFonts w:eastAsia="Times New Roman" w:cs="Times New Roman"/>
                <w:color w:val="000000"/>
              </w:rPr>
              <w:br/>
              <w:t>(7.22%)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w:t>
            </w:r>
            <w:r>
              <w:rPr>
                <w:rFonts w:eastAsia="Times New Roman" w:cs="Times New Roman"/>
                <w:color w:val="000000"/>
              </w:rPr>
              <w:br/>
              <w:t>(10.9%)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100</w:t>
            </w:r>
            <w:r>
              <w:rPr>
                <w:rFonts w:eastAsia="Times New Roman" w:cs="Times New Roman"/>
                <w:color w:val="000000"/>
              </w:rPr>
              <w:br/>
              <w:t>(10.2%)</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Bilirubin levels,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850</w:t>
            </w:r>
            <w:r>
              <w:rPr>
                <w:rFonts w:eastAsia="Times New Roman" w:cs="Times New Roman"/>
                <w:color w:val="000000"/>
              </w:rPr>
              <w:br/>
              <w:t>(5.77%)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113</w:t>
            </w:r>
            <w:r>
              <w:rPr>
                <w:rFonts w:eastAsia="Times New Roman" w:cs="Times New Roman"/>
                <w:color w:val="000000"/>
              </w:rPr>
              <w:br/>
              <w:t>(5.96%)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605</w:t>
            </w:r>
            <w:r>
              <w:rPr>
                <w:rFonts w:eastAsia="Times New Roman" w:cs="Times New Roman"/>
                <w:color w:val="000000"/>
              </w:rPr>
              <w:br/>
              <w:t>(5.63%)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82</w:t>
            </w:r>
            <w:r>
              <w:rPr>
                <w:rFonts w:eastAsia="Times New Roman" w:cs="Times New Roman"/>
                <w:color w:val="000000"/>
              </w:rPr>
              <w:br/>
              <w:t>(7.69%)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w:t>
            </w:r>
            <w:r>
              <w:rPr>
                <w:rFonts w:eastAsia="Times New Roman" w:cs="Times New Roman"/>
                <w:color w:val="000000"/>
              </w:rPr>
              <w:br/>
              <w:t>(7.27%)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46</w:t>
            </w:r>
            <w:r>
              <w:rPr>
                <w:rFonts w:eastAsia="Times New Roman" w:cs="Times New Roman"/>
                <w:color w:val="000000"/>
              </w:rPr>
              <w:br/>
              <w:t>(4.69%)</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Body mass index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77</w:t>
            </w:r>
            <w:r>
              <w:rPr>
                <w:rFonts w:eastAsia="Times New Roman" w:cs="Times New Roman"/>
                <w:color w:val="000000"/>
              </w:rPr>
              <w:br/>
              <w:t>(0.52%)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w:t>
            </w:r>
            <w:r>
              <w:rPr>
                <w:rFonts w:eastAsia="Times New Roman" w:cs="Times New Roman"/>
                <w:color w:val="000000"/>
              </w:rPr>
              <w:br/>
              <w:t>(0.58%)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55</w:t>
            </w:r>
            <w:r>
              <w:rPr>
                <w:rFonts w:eastAsia="Times New Roman" w:cs="Times New Roman"/>
                <w:color w:val="000000"/>
              </w:rPr>
              <w:br/>
              <w:t>(0.51%)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w:t>
            </w:r>
            <w:r>
              <w:rPr>
                <w:rFonts w:eastAsia="Times New Roman" w:cs="Times New Roman"/>
                <w:color w:val="000000"/>
              </w:rPr>
              <w:br/>
              <w:t>(0.56%)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w:t>
            </w:r>
            <w:r>
              <w:rPr>
                <w:rFonts w:eastAsia="Times New Roman" w:cs="Times New Roman"/>
                <w:color w:val="000000"/>
              </w:rPr>
              <w:br/>
              <w:t>(1.82%)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w:t>
            </w:r>
            <w:r>
              <w:rPr>
                <w:rFonts w:eastAsia="Times New Roman" w:cs="Times New Roman"/>
                <w:color w:val="000000"/>
              </w:rPr>
              <w:br/>
              <w:t>(0.41%)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BUN,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50</w:t>
            </w:r>
            <w:r>
              <w:rPr>
                <w:rFonts w:eastAsia="Times New Roman" w:cs="Times New Roman"/>
                <w:color w:val="000000"/>
              </w:rPr>
              <w:br/>
              <w:t>(0.34%)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w:t>
            </w:r>
            <w:r>
              <w:rPr>
                <w:rFonts w:eastAsia="Times New Roman" w:cs="Times New Roman"/>
                <w:color w:val="000000"/>
              </w:rPr>
              <w:br/>
              <w:t>(0.21%)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41</w:t>
            </w:r>
            <w:r>
              <w:rPr>
                <w:rFonts w:eastAsia="Times New Roman" w:cs="Times New Roman"/>
                <w:color w:val="000000"/>
              </w:rPr>
              <w:br/>
              <w:t>(0.38%)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w:t>
            </w:r>
            <w:r>
              <w:rPr>
                <w:rFonts w:eastAsia="Times New Roman" w:cs="Times New Roman"/>
                <w:color w:val="000000"/>
              </w:rPr>
              <w:br/>
              <w:t>(0.09%)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w:t>
            </w:r>
            <w:r>
              <w:rPr>
                <w:rFonts w:eastAsia="Times New Roman" w:cs="Times New Roman"/>
                <w:color w:val="000000"/>
              </w:rPr>
              <w:br/>
              <w:t>(0.41%)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Sex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24</w:t>
            </w:r>
            <w:r>
              <w:rPr>
                <w:rFonts w:eastAsia="Times New Roman" w:cs="Times New Roman"/>
                <w:color w:val="000000"/>
              </w:rPr>
              <w:br/>
            </w:r>
            <w:r>
              <w:rPr>
                <w:rFonts w:eastAsia="Times New Roman" w:cs="Times New Roman"/>
                <w:color w:val="000000"/>
              </w:rPr>
              <w:t>(0.16%)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w:t>
            </w:r>
            <w:r>
              <w:rPr>
                <w:rFonts w:eastAsia="Times New Roman" w:cs="Times New Roman"/>
                <w:color w:val="000000"/>
              </w:rPr>
              <w:br/>
              <w:t>(0.21%)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19</w:t>
            </w:r>
            <w:r>
              <w:rPr>
                <w:rFonts w:eastAsia="Times New Roman" w:cs="Times New Roman"/>
                <w:color w:val="000000"/>
              </w:rPr>
              <w:br/>
              <w:t>(0.18%)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w:t>
            </w:r>
            <w:r>
              <w:rPr>
                <w:rFonts w:eastAsia="Times New Roman" w:cs="Times New Roman"/>
                <w:color w:val="000000"/>
              </w:rPr>
              <w:br/>
              <w:t>(0.09%)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Urinary creatinine,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20</w:t>
            </w:r>
            <w:r>
              <w:rPr>
                <w:rFonts w:eastAsia="Times New Roman" w:cs="Times New Roman"/>
                <w:color w:val="000000"/>
              </w:rPr>
              <w:br/>
              <w:t>(0.14%)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w:t>
            </w:r>
            <w:r>
              <w:rPr>
                <w:rFonts w:eastAsia="Times New Roman" w:cs="Times New Roman"/>
                <w:color w:val="000000"/>
              </w:rPr>
              <w:br/>
              <w:t>(0.16%)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15</w:t>
            </w:r>
            <w:r>
              <w:rPr>
                <w:rFonts w:eastAsia="Times New Roman" w:cs="Times New Roman"/>
                <w:color w:val="000000"/>
              </w:rPr>
              <w:br/>
              <w:t>(0.14%)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w:t>
            </w:r>
            <w:r>
              <w:rPr>
                <w:rFonts w:eastAsia="Times New Roman" w:cs="Times New Roman"/>
                <w:color w:val="000000"/>
              </w:rPr>
              <w:br/>
              <w:t>(0.19%)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Age, years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Device strategy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Device type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10656" w:type="dxa"/>
            <w:gridSpan w:val="7"/>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sz w:val="22"/>
                <w:szCs w:val="22"/>
              </w:rPr>
              <w:lastRenderedPageBreak/>
              <w:t>Abbreviations: LVEDD = left ventricular end diastolic dimension; CV = central venous; BUN = blood urea nitrogen; CPB = cardiopulmonary bypass</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Accuracy of strategies to impute artificial missing data. Table values are the median change in accuracy (25th, 75th percentile) relative to the accuracy of imputation to the mean. In general, multiple imputation strategies had lower accuracy than</w:t>
      </w:r>
      <w:r>
        <w:t xml:space="preserve"> single imputation strategies, and few imputation strategies were more accurate than imputation to the mean.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Nominal variables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Numeric variables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(-0.34,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(-0.37,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-0.35</w:t>
            </w:r>
            <w:r>
              <w:rPr>
                <w:rFonts w:eastAsia="Times New Roman" w:cs="Times New Roman"/>
                <w:color w:val="000000"/>
              </w:rPr>
              <w:br/>
              <w:t>(-0.53,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-0.42</w:t>
            </w:r>
            <w:r>
              <w:rPr>
                <w:rFonts w:eastAsia="Times New Roman" w:cs="Times New Roman"/>
                <w:color w:val="000000"/>
              </w:rPr>
              <w:br/>
              <w:t>(-0.54, -0.36)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(-0.05,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(-0.09, 0.11)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(-0.01,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(-0.05, 0.00)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(-0.34,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(-0.35,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(-0.40, -0.20)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t>(-0.35, -0.21)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(-0.26,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(-0.26,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(0.03, 0.08)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(-0.01, 0.04)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-0.14</w:t>
            </w:r>
            <w:r>
              <w:rPr>
                <w:rFonts w:eastAsia="Times New Roman" w:cs="Times New Roman"/>
                <w:color w:val="000000"/>
              </w:rPr>
              <w:br/>
              <w:t>(-0.26,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-0.14</w:t>
            </w:r>
            <w:r>
              <w:rPr>
                <w:rFonts w:eastAsia="Times New Roman" w:cs="Times New Roman"/>
                <w:color w:val="000000"/>
              </w:rPr>
              <w:br/>
              <w:t>(-0.27,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-0.30</w:t>
            </w:r>
            <w:r>
              <w:rPr>
                <w:rFonts w:eastAsia="Times New Roman" w:cs="Times New Roman"/>
                <w:color w:val="000000"/>
              </w:rPr>
              <w:br/>
              <w:t>(-0.41,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-0.30</w:t>
            </w:r>
            <w:r>
              <w:rPr>
                <w:rFonts w:eastAsia="Times New Roman" w:cs="Times New Roman"/>
                <w:color w:val="000000"/>
              </w:rPr>
              <w:br/>
              <w:t>(-0.41, -0.23)</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(-0.34,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t>(-0.36,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r>
            <w:r>
              <w:rPr>
                <w:rFonts w:eastAsia="Times New Roman" w:cs="Times New Roman"/>
                <w:color w:val="000000"/>
              </w:rPr>
              <w:t>(-0.46, -0.30)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-0.40</w:t>
            </w:r>
            <w:r>
              <w:rPr>
                <w:rFonts w:eastAsia="Times New Roman" w:cs="Times New Roman"/>
                <w:color w:val="000000"/>
              </w:rPr>
              <w:br/>
              <w:t>(-0.53, -0.36)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(-0.09,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(-0.13,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(-0.03,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(-0.07, -0.04)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(-0.38,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(-0.37,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(-0.46,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(-0.40, -0.25)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(-0.28,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(-0.28,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(-0.03,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(-0.06, -0.01)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-0.17</w:t>
            </w:r>
            <w:r>
              <w:rPr>
                <w:rFonts w:eastAsia="Times New Roman" w:cs="Times New Roman"/>
                <w:color w:val="000000"/>
              </w:rPr>
              <w:br/>
              <w:t>(-0.29,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-0.17</w:t>
            </w:r>
            <w:r>
              <w:rPr>
                <w:rFonts w:eastAsia="Times New Roman" w:cs="Times New Roman"/>
                <w:color w:val="000000"/>
              </w:rPr>
              <w:br/>
              <w:t>(-0.29,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-0.31</w:t>
            </w:r>
            <w:r>
              <w:rPr>
                <w:rFonts w:eastAsia="Times New Roman" w:cs="Times New Roman"/>
                <w:color w:val="000000"/>
              </w:rPr>
              <w:br/>
              <w:t>(-0.43,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-0.31</w:t>
            </w:r>
            <w:r>
              <w:rPr>
                <w:rFonts w:eastAsia="Times New Roman" w:cs="Times New Roman"/>
                <w:color w:val="000000"/>
              </w:rPr>
              <w:br/>
              <w:t>(-0.43, -0.27)</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Median (25th, 75th percentile) change in scaled Brier score when different imputation strategies were applied to training and testing sets instead of imputation to the mean prior to developing a risk prediction model for mortality. Table values sh</w:t>
      </w:r>
      <w:r>
        <w:t>ow the scaled Brier score when the imputation method is imputation to the mean and the change in scaled Brier score relative to imputation to the mean for other imputation strategies. All table values are multiplied by 100 for ease of interpretation. Multi</w:t>
      </w:r>
      <w:r>
        <w:t xml:space="preserve">ple imputation with random forests leads to the highest scaled Brier score for both models and when 0%, 15%, or 30% of additional data in the training and testing sets were set to missing.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Gradient boosted decision t</w:t>
            </w:r>
            <w:r>
              <w:rPr>
                <w:rFonts w:eastAsia="Times New Roman" w:cs="Times New Roman"/>
                <w:b/>
                <w:color w:val="000000"/>
              </w:rPr>
              <w: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6.09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7.27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(-0.16,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r>
            <w:r>
              <w:rPr>
                <w:rFonts w:eastAsia="Times New Roman" w:cs="Times New Roman"/>
                <w:color w:val="000000"/>
              </w:rPr>
              <w:t>(-0.47,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(-0.15,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(-0.46,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(0.08, 0.45)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(-0.06,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(0.04, 0.34)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(-0.27,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+0.28</w:t>
            </w:r>
            <w:r>
              <w:rPr>
                <w:rFonts w:eastAsia="Times New Roman" w:cs="Times New Roman"/>
                <w:color w:val="000000"/>
              </w:rPr>
              <w:br/>
              <w:t>(0.06, 0.46)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-0.30</w:t>
            </w:r>
            <w:r>
              <w:rPr>
                <w:rFonts w:eastAsia="Times New Roman" w:cs="Times New Roman"/>
                <w:color w:val="000000"/>
              </w:rPr>
              <w:br/>
              <w:t>(-0.53,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(-0.01,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-0.22</w:t>
            </w:r>
            <w:r>
              <w:rPr>
                <w:rFonts w:eastAsia="Times New Roman" w:cs="Times New Roman"/>
                <w:color w:val="000000"/>
              </w:rPr>
              <w:br/>
            </w:r>
            <w:r>
              <w:rPr>
                <w:rFonts w:eastAsia="Times New Roman" w:cs="Times New Roman"/>
                <w:color w:val="000000"/>
              </w:rPr>
              <w:t>(-0.43,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(0.13, 0.54)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(-0.24, 0.33)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(0.12, 0.54)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(-0.32,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(0.14, 0.58)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-0.35</w:t>
            </w:r>
            <w:r>
              <w:rPr>
                <w:rFonts w:eastAsia="Times New Roman" w:cs="Times New Roman"/>
                <w:color w:val="000000"/>
              </w:rPr>
              <w:br/>
              <w:t>(-0.61,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(-0.10,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(-0.52,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(0.08, 0.52)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5.56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6.72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+0.52</w:t>
            </w:r>
            <w:r>
              <w:rPr>
                <w:rFonts w:eastAsia="Times New Roman" w:cs="Times New Roman"/>
                <w:color w:val="000000"/>
              </w:rPr>
              <w:br/>
              <w:t>(0.21, 0.77)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(-0.22, 0.46)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+0.49</w:t>
            </w:r>
            <w:r>
              <w:rPr>
                <w:rFonts w:eastAsia="Times New Roman" w:cs="Times New Roman"/>
                <w:color w:val="000000"/>
              </w:rPr>
              <w:br/>
              <w:t>(0.21, 0.78)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(-0.28, 0.33)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+0.58</w:t>
            </w:r>
            <w:r>
              <w:rPr>
                <w:rFonts w:eastAsia="Times New Roman" w:cs="Times New Roman"/>
                <w:color w:val="000000"/>
              </w:rPr>
              <w:br/>
              <w:t>(0.29, 0.92)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+0.36</w:t>
            </w:r>
            <w:r>
              <w:rPr>
                <w:rFonts w:eastAsia="Times New Roman" w:cs="Times New Roman"/>
                <w:color w:val="000000"/>
              </w:rPr>
              <w:br/>
              <w:t>(0.10, 0.65)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+0.53</w:t>
            </w:r>
            <w:r>
              <w:rPr>
                <w:rFonts w:eastAsia="Times New Roman" w:cs="Times New Roman"/>
                <w:color w:val="000000"/>
              </w:rPr>
              <w:br/>
              <w:t>(0.25, 0.79)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(-0.23, 0.36)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+0.42</w:t>
            </w:r>
            <w:r>
              <w:rPr>
                <w:rFonts w:eastAsia="Times New Roman" w:cs="Times New Roman"/>
                <w:color w:val="000000"/>
              </w:rPr>
              <w:br/>
              <w:t>(0.16, 0.68)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(-0.32, 0.41)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+0.54</w:t>
            </w:r>
            <w:r>
              <w:rPr>
                <w:rFonts w:eastAsia="Times New Roman" w:cs="Times New Roman"/>
                <w:color w:val="000000"/>
              </w:rPr>
              <w:br/>
              <w:t>(0.20, 0.90)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(-0.25,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+0.66</w:t>
            </w:r>
            <w:r>
              <w:rPr>
                <w:rFonts w:eastAsia="Times New Roman" w:cs="Times New Roman"/>
                <w:color w:val="000000"/>
              </w:rPr>
              <w:br/>
              <w:t>(0.32, 1.12)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+0.39</w:t>
            </w:r>
            <w:r>
              <w:rPr>
                <w:rFonts w:eastAsia="Times New Roman" w:cs="Times New Roman"/>
                <w:color w:val="000000"/>
              </w:rPr>
              <w:br/>
              <w:t>(-0.05, 0.75)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+0.76</w:t>
            </w:r>
            <w:r>
              <w:rPr>
                <w:rFonts w:eastAsia="Times New Roman" w:cs="Times New Roman"/>
                <w:color w:val="000000"/>
              </w:rPr>
              <w:br/>
              <w:t>(0.37, 1.12)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+0.35</w:t>
            </w:r>
            <w:r>
              <w:rPr>
                <w:rFonts w:eastAsia="Times New Roman" w:cs="Times New Roman"/>
                <w:color w:val="000000"/>
              </w:rPr>
              <w:br/>
              <w:t>(0.01, 0.76)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+0.73</w:t>
            </w:r>
            <w:r>
              <w:rPr>
                <w:rFonts w:eastAsia="Times New Roman" w:cs="Times New Roman"/>
                <w:color w:val="000000"/>
              </w:rPr>
              <w:br/>
              <w:t>(0.41, 1.06)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(-0.44,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+0.49</w:t>
            </w:r>
            <w:r>
              <w:rPr>
                <w:rFonts w:eastAsia="Times New Roman" w:cs="Times New Roman"/>
                <w:color w:val="000000"/>
              </w:rPr>
              <w:br/>
              <w:t>(0.10, 0.85)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t>(-0.21, 0.59)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+0.58</w:t>
            </w:r>
            <w:r>
              <w:rPr>
                <w:rFonts w:eastAsia="Times New Roman" w:cs="Times New Roman"/>
                <w:color w:val="000000"/>
              </w:rPr>
              <w:br/>
              <w:t>(0.29, 1.06)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4.79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6.29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+0.40</w:t>
            </w:r>
            <w:r>
              <w:rPr>
                <w:rFonts w:eastAsia="Times New Roman" w:cs="Times New Roman"/>
                <w:color w:val="000000"/>
              </w:rPr>
              <w:br/>
              <w:t>(0.11, 0.75)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+0.47</w:t>
            </w:r>
            <w:r>
              <w:rPr>
                <w:rFonts w:eastAsia="Times New Roman" w:cs="Times New Roman"/>
                <w:color w:val="000000"/>
              </w:rPr>
              <w:br/>
              <w:t>(0.03, 0.99)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+0.73</w:t>
            </w:r>
            <w:r>
              <w:rPr>
                <w:rFonts w:eastAsia="Times New Roman" w:cs="Times New Roman"/>
                <w:color w:val="000000"/>
              </w:rPr>
              <w:br/>
              <w:t>(0.22, 1.38)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(-0.24,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+0.51</w:t>
            </w:r>
            <w:r>
              <w:rPr>
                <w:rFonts w:eastAsia="Times New Roman" w:cs="Times New Roman"/>
                <w:color w:val="000000"/>
              </w:rPr>
              <w:br/>
              <w:t>(0.05, 0.99)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+0.57</w:t>
            </w:r>
            <w:r>
              <w:rPr>
                <w:rFonts w:eastAsia="Times New Roman" w:cs="Times New Roman"/>
                <w:color w:val="000000"/>
              </w:rPr>
              <w:br/>
              <w:t>(0.23, 0.97)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+0.77</w:t>
            </w:r>
            <w:r>
              <w:rPr>
                <w:rFonts w:eastAsia="Times New Roman" w:cs="Times New Roman"/>
                <w:color w:val="000000"/>
              </w:rPr>
              <w:br/>
              <w:t>(0.47, 1.18)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(-0.44,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+0.36</w:t>
            </w:r>
            <w:r>
              <w:rPr>
                <w:rFonts w:eastAsia="Times New Roman" w:cs="Times New Roman"/>
                <w:color w:val="000000"/>
              </w:rPr>
              <w:br/>
              <w:t>(0.09, 0.67)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(-0.36,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+0.71</w:t>
            </w:r>
            <w:r>
              <w:rPr>
                <w:rFonts w:eastAsia="Times New Roman" w:cs="Times New Roman"/>
                <w:color w:val="000000"/>
              </w:rPr>
              <w:br/>
              <w:t>(0.16, 1.36)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r>
            <w:r>
              <w:rPr>
                <w:rFonts w:eastAsia="Times New Roman" w:cs="Times New Roman"/>
                <w:color w:val="000000"/>
              </w:rPr>
              <w:t>(-0.33,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+0.58</w:t>
            </w:r>
            <w:r>
              <w:rPr>
                <w:rFonts w:eastAsia="Times New Roman" w:cs="Times New Roman"/>
                <w:color w:val="000000"/>
              </w:rPr>
              <w:br/>
              <w:t>(0.06, 1.05)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+0.62</w:t>
            </w:r>
            <w:r>
              <w:rPr>
                <w:rFonts w:eastAsia="Times New Roman" w:cs="Times New Roman"/>
                <w:color w:val="000000"/>
              </w:rPr>
              <w:br/>
              <w:t>(0.08, 1.22)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+1.04</w:t>
            </w:r>
            <w:r>
              <w:rPr>
                <w:rFonts w:eastAsia="Times New Roman" w:cs="Times New Roman"/>
                <w:color w:val="000000"/>
              </w:rPr>
              <w:br/>
              <w:t>(0.39, 1.83)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+0.39</w:t>
            </w:r>
            <w:r>
              <w:rPr>
                <w:rFonts w:eastAsia="Times New Roman" w:cs="Times New Roman"/>
                <w:color w:val="000000"/>
              </w:rPr>
              <w:br/>
              <w:t>(-0.19, 0.77)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+0.69</w:t>
            </w:r>
            <w:r>
              <w:rPr>
                <w:rFonts w:eastAsia="Times New Roman" w:cs="Times New Roman"/>
                <w:color w:val="000000"/>
              </w:rPr>
              <w:br/>
              <w:t>(0.27, 1.12)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+0.22</w:t>
            </w:r>
            <w:r>
              <w:rPr>
                <w:rFonts w:eastAsia="Times New Roman" w:cs="Times New Roman"/>
                <w:color w:val="000000"/>
              </w:rPr>
              <w:br/>
              <w:t>(-0.40,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+0.68</w:t>
            </w:r>
            <w:r>
              <w:rPr>
                <w:rFonts w:eastAsia="Times New Roman" w:cs="Times New Roman"/>
                <w:color w:val="000000"/>
              </w:rPr>
              <w:br/>
              <w:t>(0.10, 1.28)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(-0.44, 0.62)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+0.43</w:t>
            </w:r>
            <w:r>
              <w:rPr>
                <w:rFonts w:eastAsia="Times New Roman" w:cs="Times New Roman"/>
                <w:color w:val="000000"/>
              </w:rPr>
              <w:br/>
              <w:t>(-0.03, 0.93)</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Median (25th, 75th percentile) change in scaled Brier score when different imputation strategies were applied to training and testing sets instead of imputation to the mean prior to developing a risk prediction model for transplant. Table values s</w:t>
      </w:r>
      <w:r>
        <w:t>how the scaled Brier score when the imputation method is imputation to the mean and the change in scaled Brier score relative to imputation to the mean for other imputation strategies. All table values are multiplied by 100 for ease of interpretation. Whil</w:t>
      </w:r>
      <w:r>
        <w:t>e there was very little difference in scaled Brier score values when 0% of additional data were set to missing in the training and testing sets, missingness incorporated as an attribute, predictive mean matching, random forests, and Bayesian regression pro</w:t>
      </w:r>
      <w:r>
        <w:t xml:space="preserve">vided models with higher scaled Brier scores when 15% or 30% of additional missing data were amputed.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9.35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9.00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(-0.28, 0.13)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(-0.12,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(-0.04,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(-0.43,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(-0.20, 0.17)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(-0.04,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(0.00, 0.19)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-0.27</w:t>
            </w:r>
            <w:r>
              <w:rPr>
                <w:rFonts w:eastAsia="Times New Roman" w:cs="Times New Roman"/>
                <w:color w:val="000000"/>
              </w:rPr>
              <w:br/>
              <w:t>(-0.50,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(-0.20, 0.10)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(-0.12,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+0.14</w:t>
            </w:r>
            <w:r>
              <w:rPr>
                <w:rFonts w:eastAsia="Times New Roman" w:cs="Times New Roman"/>
                <w:color w:val="000000"/>
              </w:rPr>
              <w:br/>
              <w:t>(0.02, 0.29)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(-0.60,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(-0.23, 0.15)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(-0.10,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r>
            <w:r>
              <w:rPr>
                <w:rFonts w:eastAsia="Times New Roman" w:cs="Times New Roman"/>
                <w:color w:val="000000"/>
              </w:rPr>
              <w:t>(0.03, 0.29)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(-0.50,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(-0.21,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(-0.13,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(0.00, 0.26)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(-0.58,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(-0.13, 0.25)</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8.76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8.01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+0.50</w:t>
            </w:r>
            <w:r>
              <w:rPr>
                <w:rFonts w:eastAsia="Times New Roman" w:cs="Times New Roman"/>
                <w:color w:val="000000"/>
              </w:rPr>
              <w:br/>
              <w:t>(0.27, 0.78)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(-0.04, 0.55)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+0.42</w:t>
            </w:r>
            <w:r>
              <w:rPr>
                <w:rFonts w:eastAsia="Times New Roman" w:cs="Times New Roman"/>
                <w:color w:val="000000"/>
              </w:rPr>
              <w:br/>
              <w:t>(0.20, 0.78)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(-0.34,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(-0.02, 0.52)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+0.46</w:t>
            </w:r>
            <w:r>
              <w:rPr>
                <w:rFonts w:eastAsia="Times New Roman" w:cs="Times New Roman"/>
                <w:color w:val="000000"/>
              </w:rPr>
              <w:br/>
              <w:t>(0.20, 0.73)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+0.54</w:t>
            </w:r>
            <w:r>
              <w:rPr>
                <w:rFonts w:eastAsia="Times New Roman" w:cs="Times New Roman"/>
                <w:color w:val="000000"/>
              </w:rPr>
              <w:br/>
              <w:t>(0.28, 0.79)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(-0.41, 0.20)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(-0.12, 0.38)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lastRenderedPageBreak/>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+0.45</w:t>
            </w:r>
            <w:r>
              <w:rPr>
                <w:rFonts w:eastAsia="Times New Roman" w:cs="Times New Roman"/>
                <w:color w:val="000000"/>
              </w:rPr>
              <w:br/>
              <w:t>(0.10, 0.76)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+0.65</w:t>
            </w:r>
            <w:r>
              <w:rPr>
                <w:rFonts w:eastAsia="Times New Roman" w:cs="Times New Roman"/>
                <w:color w:val="000000"/>
              </w:rPr>
              <w:br/>
              <w:t>(0.34, 0.94)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(-0.34,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(0.02, 0.62)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+0.44</w:t>
            </w:r>
            <w:r>
              <w:rPr>
                <w:rFonts w:eastAsia="Times New Roman" w:cs="Times New Roman"/>
                <w:color w:val="000000"/>
              </w:rPr>
              <w:br/>
              <w:t>(0.12, 0.76)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+0.60</w:t>
            </w:r>
            <w:r>
              <w:rPr>
                <w:rFonts w:eastAsia="Times New Roman" w:cs="Times New Roman"/>
                <w:color w:val="000000"/>
              </w:rPr>
              <w:br/>
              <w:t>(0.32, 0.95)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(-0.35,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+0.16</w:t>
            </w:r>
            <w:r>
              <w:rPr>
                <w:rFonts w:eastAsia="Times New Roman" w:cs="Times New Roman"/>
                <w:color w:val="000000"/>
              </w:rPr>
              <w:br/>
              <w:t>(-0.09, 0.47)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+0.53</w:t>
            </w:r>
            <w:r>
              <w:rPr>
                <w:rFonts w:eastAsia="Times New Roman" w:cs="Times New Roman"/>
                <w:color w:val="000000"/>
              </w:rPr>
              <w:br/>
              <w:t>(0.21, 0.79)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+0.74</w:t>
            </w:r>
            <w:r>
              <w:rPr>
                <w:rFonts w:eastAsia="Times New Roman" w:cs="Times New Roman"/>
                <w:color w:val="000000"/>
              </w:rPr>
              <w:br/>
              <w:t>(0.37, 0.94)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(-0.39,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(-0.09, 0.56)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7.96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7.09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+0.83</w:t>
            </w:r>
            <w:r>
              <w:rPr>
                <w:rFonts w:eastAsia="Times New Roman" w:cs="Times New Roman"/>
                <w:color w:val="000000"/>
              </w:rPr>
              <w:br/>
              <w:t>(0.55, 1.10)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+0.45</w:t>
            </w:r>
            <w:r>
              <w:rPr>
                <w:rFonts w:eastAsia="Times New Roman" w:cs="Times New Roman"/>
                <w:color w:val="000000"/>
              </w:rPr>
              <w:br/>
              <w:t>(-0.02,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+0.60</w:t>
            </w:r>
            <w:r>
              <w:rPr>
                <w:rFonts w:eastAsia="Times New Roman" w:cs="Times New Roman"/>
                <w:color w:val="000000"/>
              </w:rPr>
              <w:br/>
              <w:t>(0.15, 1.11)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(-0.34, 0.41)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t>(-0.17, 0.65)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+0.42</w:t>
            </w:r>
            <w:r>
              <w:rPr>
                <w:rFonts w:eastAsia="Times New Roman" w:cs="Times New Roman"/>
                <w:color w:val="000000"/>
              </w:rPr>
              <w:br/>
              <w:t>(0.00, 0.79)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+0.61</w:t>
            </w:r>
            <w:r>
              <w:rPr>
                <w:rFonts w:eastAsia="Times New Roman" w:cs="Times New Roman"/>
                <w:color w:val="000000"/>
              </w:rPr>
              <w:br/>
              <w:t>(0.18, 0.90)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(-0.54,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(-0.22, 0.46)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+0.70</w:t>
            </w:r>
            <w:r>
              <w:rPr>
                <w:rFonts w:eastAsia="Times New Roman" w:cs="Times New Roman"/>
                <w:color w:val="000000"/>
              </w:rPr>
              <w:br/>
              <w:t>(0.21, 1.21)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+0.90</w:t>
            </w:r>
            <w:r>
              <w:rPr>
                <w:rFonts w:eastAsia="Times New Roman" w:cs="Times New Roman"/>
                <w:color w:val="000000"/>
              </w:rPr>
              <w:br/>
              <w:t>(0.46, 1.46)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(-0.32,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(-0.04, 0.85)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+0.70</w:t>
            </w:r>
            <w:r>
              <w:rPr>
                <w:rFonts w:eastAsia="Times New Roman" w:cs="Times New Roman"/>
                <w:color w:val="000000"/>
              </w:rPr>
              <w:br/>
              <w:t>(0.14, 1.27)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+0.93</w:t>
            </w:r>
            <w:r>
              <w:rPr>
                <w:rFonts w:eastAsia="Times New Roman" w:cs="Times New Roman"/>
                <w:color w:val="000000"/>
              </w:rPr>
              <w:br/>
              <w:t>(0.49, 1.45)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(-0.46, 0.43)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(-0.12, 0.66)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+0.77</w:t>
            </w:r>
            <w:r>
              <w:rPr>
                <w:rFonts w:eastAsia="Times New Roman" w:cs="Times New Roman"/>
                <w:color w:val="000000"/>
              </w:rPr>
              <w:br/>
              <w:t>(0.32, 1.40)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+1.00</w:t>
            </w:r>
            <w:r>
              <w:rPr>
                <w:rFonts w:eastAsia="Times New Roman" w:cs="Times New Roman"/>
                <w:color w:val="000000"/>
              </w:rPr>
              <w:br/>
              <w:t>(0.44, 1.53)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0.00</w:t>
            </w:r>
            <w:r>
              <w:rPr>
                <w:rFonts w:eastAsia="Times New Roman" w:cs="Times New Roman"/>
                <w:color w:val="000000"/>
              </w:rPr>
              <w:br/>
              <w:t>(-0.45,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(-0.17, 0.80)</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6: Median (25th, 75th percentile) change in concordance index when different imputation strategies were applied to training and testing sets instead of imputation to the mean prior to developing a risk prediction model for mortality. Table values sho</w:t>
      </w:r>
      <w:r>
        <w:t>w the concordance index when the imputation method is imputation to the mean and the change in concordance index relative to imputation to the mean for other imputation strategies. All table values are multiplied by 100 for ease of interpretation. Multiple</w:t>
      </w:r>
      <w:r>
        <w:t xml:space="preserve"> imputation with random forests led to the highest concordance index for boosting models when 0%, 15%, or 30% of additional data in the training and testing sets were set to missing. For proportional hazards models, multiple imputation with nearest neighbo</w:t>
      </w:r>
      <w:r>
        <w:t xml:space="preserve">rs or random forests was the most effective strategy.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69.3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70.7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0.00</w:t>
            </w:r>
            <w:r>
              <w:rPr>
                <w:rFonts w:eastAsia="Times New Roman" w:cs="Times New Roman"/>
                <w:color w:val="000000"/>
              </w:rPr>
              <w:br/>
              <w:t>(-0.20,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-0.20</w:t>
            </w:r>
            <w:r>
              <w:rPr>
                <w:rFonts w:eastAsia="Times New Roman" w:cs="Times New Roman"/>
                <w:color w:val="000000"/>
              </w:rPr>
              <w:br/>
              <w:t>(-0.44,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(-0.13,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t>(-0.36,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(-0.04, 0.28)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(-0.10,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+0.14</w:t>
            </w:r>
            <w:r>
              <w:rPr>
                <w:rFonts w:eastAsia="Times New Roman" w:cs="Times New Roman"/>
                <w:color w:val="000000"/>
              </w:rPr>
              <w:br/>
              <w:t>(-0.02, 0.36)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(-0.30, 0.13)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+0.14</w:t>
            </w:r>
            <w:r>
              <w:rPr>
                <w:rFonts w:eastAsia="Times New Roman" w:cs="Times New Roman"/>
                <w:color w:val="000000"/>
              </w:rPr>
              <w:br/>
              <w:t>(-0.03, 0.30)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(-0.56,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+0.11</w:t>
            </w:r>
            <w:r>
              <w:rPr>
                <w:rFonts w:eastAsia="Times New Roman" w:cs="Times New Roman"/>
                <w:color w:val="000000"/>
              </w:rPr>
              <w:br/>
              <w:t>(-0.05,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(-0.44,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(0.06, 0.39)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(-0.24,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+0.30</w:t>
            </w:r>
            <w:r>
              <w:rPr>
                <w:rFonts w:eastAsia="Times New Roman" w:cs="Times New Roman"/>
                <w:color w:val="000000"/>
              </w:rPr>
              <w:br/>
              <w:t>(0.08, 0.52)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(-0.26,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(0.07, 0.41)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-0.39</w:t>
            </w:r>
            <w:r>
              <w:rPr>
                <w:rFonts w:eastAsia="Times New Roman" w:cs="Times New Roman"/>
                <w:color w:val="000000"/>
              </w:rPr>
              <w:br/>
              <w:t>(-0.69,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(-0.16, 0.28)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(-0.44,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+0.22</w:t>
            </w:r>
            <w:r>
              <w:rPr>
                <w:rFonts w:eastAsia="Times New Roman" w:cs="Times New Roman"/>
                <w:color w:val="000000"/>
              </w:rPr>
              <w:br/>
              <w:t>(0.06, 0.41)</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69.2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70.5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(-0.11,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(-0.52,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+0.25</w:t>
            </w:r>
            <w:r>
              <w:rPr>
                <w:rFonts w:eastAsia="Times New Roman" w:cs="Times New Roman"/>
                <w:color w:val="000000"/>
              </w:rPr>
              <w:br/>
              <w:t>(-0.07,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-0.23</w:t>
            </w:r>
            <w:r>
              <w:rPr>
                <w:rFonts w:eastAsia="Times New Roman" w:cs="Times New Roman"/>
                <w:color w:val="000000"/>
              </w:rPr>
              <w:br/>
              <w:t>(-0.50,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(-0.07, 0.32)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+0.16</w:t>
            </w:r>
            <w:r>
              <w:rPr>
                <w:rFonts w:eastAsia="Times New Roman" w:cs="Times New Roman"/>
                <w:color w:val="000000"/>
              </w:rPr>
              <w:br/>
              <w:t>(-0.17, 0.42)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+0.30</w:t>
            </w:r>
            <w:r>
              <w:rPr>
                <w:rFonts w:eastAsia="Times New Roman" w:cs="Times New Roman"/>
                <w:color w:val="000000"/>
              </w:rPr>
              <w:br/>
              <w:t>(0.05, 0.56)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-0.16</w:t>
            </w:r>
            <w:r>
              <w:rPr>
                <w:rFonts w:eastAsia="Times New Roman" w:cs="Times New Roman"/>
                <w:color w:val="000000"/>
              </w:rPr>
              <w:br/>
              <w:t>(-0.33,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(-0.07, 0.31)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-0.42</w:t>
            </w:r>
            <w:r>
              <w:rPr>
                <w:rFonts w:eastAsia="Times New Roman" w:cs="Times New Roman"/>
                <w:color w:val="000000"/>
              </w:rPr>
              <w:br/>
              <w:t>(-0.83,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r>
            <w:r>
              <w:rPr>
                <w:rFonts w:eastAsia="Times New Roman" w:cs="Times New Roman"/>
                <w:color w:val="000000"/>
              </w:rPr>
              <w:t>(-0.07, 0.53)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t>(-0.54,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t>(0.06, 0.43)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(-0.39,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+0.41</w:t>
            </w:r>
            <w:r>
              <w:rPr>
                <w:rFonts w:eastAsia="Times New Roman" w:cs="Times New Roman"/>
                <w:color w:val="000000"/>
              </w:rPr>
              <w:br/>
              <w:t>(0.05, 0.64)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(-0.29,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+0.27</w:t>
            </w:r>
            <w:r>
              <w:rPr>
                <w:rFonts w:eastAsia="Times New Roman" w:cs="Times New Roman"/>
                <w:color w:val="000000"/>
              </w:rPr>
              <w:br/>
              <w:t>(0.04, 0.43)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-0.50</w:t>
            </w:r>
            <w:r>
              <w:rPr>
                <w:rFonts w:eastAsia="Times New Roman" w:cs="Times New Roman"/>
                <w:color w:val="000000"/>
              </w:rPr>
              <w:br/>
              <w:t>(-0.95, -0.06)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+0.20</w:t>
            </w:r>
            <w:r>
              <w:rPr>
                <w:rFonts w:eastAsia="Times New Roman" w:cs="Times New Roman"/>
                <w:color w:val="000000"/>
              </w:rPr>
              <w:br/>
              <w:t>(-0.11,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(-0.48,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+0.23</w:t>
            </w:r>
            <w:r>
              <w:rPr>
                <w:rFonts w:eastAsia="Times New Roman" w:cs="Times New Roman"/>
                <w:color w:val="000000"/>
              </w:rPr>
              <w:br/>
              <w:t>(0.07, 0.43)</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68.9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70.2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(-0.08,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(-0.52, 0.30)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(-0.23,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-0.22</w:t>
            </w:r>
            <w:r>
              <w:rPr>
                <w:rFonts w:eastAsia="Times New Roman" w:cs="Times New Roman"/>
                <w:color w:val="000000"/>
              </w:rPr>
              <w:br/>
              <w:t>(-0.47,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(-0.17, 0.32)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+0.17</w:t>
            </w:r>
            <w:r>
              <w:rPr>
                <w:rFonts w:eastAsia="Times New Roman" w:cs="Times New Roman"/>
                <w:color w:val="000000"/>
              </w:rPr>
              <w:br/>
              <w:t>(-0.11, 0.49)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+0.33</w:t>
            </w:r>
            <w:r>
              <w:rPr>
                <w:rFonts w:eastAsia="Times New Roman" w:cs="Times New Roman"/>
                <w:color w:val="000000"/>
              </w:rPr>
              <w:br/>
              <w:t>(0.09, 0.65)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(-0.27,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t>(-0.01, 0.38)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-0.75</w:t>
            </w:r>
            <w:r>
              <w:rPr>
                <w:rFonts w:eastAsia="Times New Roman" w:cs="Times New Roman"/>
                <w:color w:val="000000"/>
              </w:rPr>
              <w:br/>
              <w:t>(-1.15,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(-0.29,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-0.36</w:t>
            </w:r>
            <w:r>
              <w:rPr>
                <w:rFonts w:eastAsia="Times New Roman" w:cs="Times New Roman"/>
                <w:color w:val="000000"/>
              </w:rPr>
              <w:br/>
              <w:t>(-0.67,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+0.27</w:t>
            </w:r>
            <w:r>
              <w:rPr>
                <w:rFonts w:eastAsia="Times New Roman" w:cs="Times New Roman"/>
                <w:color w:val="000000"/>
              </w:rPr>
              <w:br/>
              <w:t>(0.04, 0.48)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(-0.80,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r>
            <w:r>
              <w:rPr>
                <w:rFonts w:eastAsia="Times New Roman" w:cs="Times New Roman"/>
                <w:color w:val="000000"/>
              </w:rPr>
              <w:t>(-0.10,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-0.16</w:t>
            </w:r>
            <w:r>
              <w:rPr>
                <w:rFonts w:eastAsia="Times New Roman" w:cs="Times New Roman"/>
                <w:color w:val="000000"/>
              </w:rPr>
              <w:br/>
              <w:t>(-0.47, 0.11)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(0.07, 0.52)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-0.75</w:t>
            </w:r>
            <w:r>
              <w:rPr>
                <w:rFonts w:eastAsia="Times New Roman" w:cs="Times New Roman"/>
                <w:color w:val="000000"/>
              </w:rPr>
              <w:br/>
              <w:t>(-1.28,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(-0.29, 0.48)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-0.36</w:t>
            </w:r>
            <w:r>
              <w:rPr>
                <w:rFonts w:eastAsia="Times New Roman" w:cs="Times New Roman"/>
                <w:color w:val="000000"/>
              </w:rPr>
              <w:br/>
              <w:t>(-0.70,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t>(-0.01, 0.44)</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7: Median (25th, 75th percentile) change in calibration error when different imputation strategies were applied to training and testing sets instead of imputation to the mean prior to developing a risk prediction model for mortality. Table values sho</w:t>
      </w:r>
      <w:r>
        <w:t xml:space="preserve">w the calibration error when the imputation method is imputation to the mean and the change in calibration error relative to imputation to the mean for other imputation strategies. All table values are multiplied by 100 for ease of interpretation. As more </w:t>
      </w:r>
      <w:r>
        <w:t xml:space="preserve">data in the training and testing sets were set to missing, single and multiple imputation with random forests emerged as the strategies with the lowest calibration error.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w:t>
            </w:r>
            <w:r>
              <w:rPr>
                <w:rFonts w:eastAsia="Times New Roman" w:cs="Times New Roman"/>
                <w:b/>
                <w:color w:val="000000"/>
              </w:rPr>
              <w:t>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2.41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3.29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(-1.07,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(-0.68,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-0.45</w:t>
            </w:r>
            <w:r>
              <w:rPr>
                <w:rFonts w:eastAsia="Times New Roman" w:cs="Times New Roman"/>
                <w:color w:val="000000"/>
              </w:rPr>
              <w:br/>
            </w:r>
            <w:r>
              <w:rPr>
                <w:rFonts w:eastAsia="Times New Roman" w:cs="Times New Roman"/>
                <w:color w:val="000000"/>
              </w:rPr>
              <w:t>(-1.25, 0.25)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(-1.12,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-0.90</w:t>
            </w:r>
            <w:r>
              <w:rPr>
                <w:rFonts w:eastAsia="Times New Roman" w:cs="Times New Roman"/>
                <w:color w:val="000000"/>
              </w:rPr>
              <w:br/>
              <w:t>(-1.98, 0.01)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(-0.59,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(-0.80, 0.39)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-0.30</w:t>
            </w:r>
            <w:r>
              <w:rPr>
                <w:rFonts w:eastAsia="Times New Roman" w:cs="Times New Roman"/>
                <w:color w:val="000000"/>
              </w:rPr>
              <w:br/>
              <w:t>(-1.14, 0.61)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-0.75</w:t>
            </w:r>
            <w:r>
              <w:rPr>
                <w:rFonts w:eastAsia="Times New Roman" w:cs="Times New Roman"/>
                <w:color w:val="000000"/>
              </w:rPr>
              <w:br/>
              <w:t>(-1.59,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-0.18</w:t>
            </w:r>
            <w:r>
              <w:rPr>
                <w:rFonts w:eastAsia="Times New Roman" w:cs="Times New Roman"/>
                <w:color w:val="000000"/>
              </w:rPr>
              <w:br/>
              <w:t>(-0.69,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-0.69</w:t>
            </w:r>
            <w:r>
              <w:rPr>
                <w:rFonts w:eastAsia="Times New Roman" w:cs="Times New Roman"/>
                <w:color w:val="000000"/>
              </w:rPr>
              <w:br/>
              <w:t>(-1.36,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-0.11</w:t>
            </w:r>
            <w:r>
              <w:rPr>
                <w:rFonts w:eastAsia="Times New Roman" w:cs="Times New Roman"/>
                <w:color w:val="000000"/>
              </w:rPr>
              <w:br/>
              <w:t>(-1.27,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-1.02</w:t>
            </w:r>
            <w:r>
              <w:rPr>
                <w:rFonts w:eastAsia="Times New Roman" w:cs="Times New Roman"/>
                <w:color w:val="000000"/>
              </w:rPr>
              <w:br/>
            </w:r>
            <w:r>
              <w:rPr>
                <w:rFonts w:eastAsia="Times New Roman" w:cs="Times New Roman"/>
                <w:color w:val="000000"/>
              </w:rPr>
              <w:t>(-2.08, -0.12)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(-0.58,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-0.46</w:t>
            </w:r>
            <w:r>
              <w:rPr>
                <w:rFonts w:eastAsia="Times New Roman" w:cs="Times New Roman"/>
                <w:color w:val="000000"/>
              </w:rPr>
              <w:br/>
              <w:t>(-1.10,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-0.56</w:t>
            </w:r>
            <w:r>
              <w:rPr>
                <w:rFonts w:eastAsia="Times New Roman" w:cs="Times New Roman"/>
                <w:color w:val="000000"/>
              </w:rPr>
              <w:br/>
              <w:t>(-1.38, 0.46)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-1.10</w:t>
            </w:r>
            <w:r>
              <w:rPr>
                <w:rFonts w:eastAsia="Times New Roman" w:cs="Times New Roman"/>
                <w:color w:val="000000"/>
              </w:rPr>
              <w:br/>
              <w:t>(-2.08,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(-0.75, 0.53)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-0.57</w:t>
            </w:r>
            <w:r>
              <w:rPr>
                <w:rFonts w:eastAsia="Times New Roman" w:cs="Times New Roman"/>
                <w:color w:val="000000"/>
              </w:rPr>
              <w:br/>
              <w:t>(-1.43,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t>(-1.08, 0.57)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-0.85</w:t>
            </w:r>
            <w:r>
              <w:rPr>
                <w:rFonts w:eastAsia="Times New Roman" w:cs="Times New Roman"/>
                <w:color w:val="000000"/>
              </w:rPr>
              <w:br/>
              <w:t>(-1.91, 0.12)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5.75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6.28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-2.83</w:t>
            </w:r>
            <w:r>
              <w:rPr>
                <w:rFonts w:eastAsia="Times New Roman" w:cs="Times New Roman"/>
                <w:color w:val="000000"/>
              </w:rPr>
              <w:br/>
              <w:t>(-4.81, -0.83)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-2.16</w:t>
            </w:r>
            <w:r>
              <w:rPr>
                <w:rFonts w:eastAsia="Times New Roman" w:cs="Times New Roman"/>
                <w:color w:val="000000"/>
              </w:rPr>
              <w:br/>
              <w:t>(-4.31, -1.08)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-3.92</w:t>
            </w:r>
            <w:r>
              <w:rPr>
                <w:rFonts w:eastAsia="Times New Roman" w:cs="Times New Roman"/>
                <w:color w:val="000000"/>
              </w:rPr>
              <w:br/>
              <w:t>(-6.23, -1.72)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-1.66</w:t>
            </w:r>
            <w:r>
              <w:rPr>
                <w:rFonts w:eastAsia="Times New Roman" w:cs="Times New Roman"/>
                <w:color w:val="000000"/>
              </w:rPr>
              <w:br/>
              <w:t>(-3.82,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-3.44</w:t>
            </w:r>
            <w:r>
              <w:rPr>
                <w:rFonts w:eastAsia="Times New Roman" w:cs="Times New Roman"/>
                <w:color w:val="000000"/>
              </w:rPr>
              <w:br/>
              <w:t>(-5.97, -1.48)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-2.01</w:t>
            </w:r>
            <w:r>
              <w:rPr>
                <w:rFonts w:eastAsia="Times New Roman" w:cs="Times New Roman"/>
                <w:color w:val="000000"/>
              </w:rPr>
              <w:br/>
            </w:r>
            <w:r>
              <w:rPr>
                <w:rFonts w:eastAsia="Times New Roman" w:cs="Times New Roman"/>
                <w:color w:val="000000"/>
              </w:rPr>
              <w:t>(-3.51,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-2.48</w:t>
            </w:r>
            <w:r>
              <w:rPr>
                <w:rFonts w:eastAsia="Times New Roman" w:cs="Times New Roman"/>
                <w:color w:val="000000"/>
              </w:rPr>
              <w:br/>
              <w:t>(-4.08, -1.14)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-0.61</w:t>
            </w:r>
            <w:r>
              <w:rPr>
                <w:rFonts w:eastAsia="Times New Roman" w:cs="Times New Roman"/>
                <w:color w:val="000000"/>
              </w:rPr>
              <w:br/>
              <w:t>(-2.28, 0.84)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-2.04</w:t>
            </w:r>
            <w:r>
              <w:rPr>
                <w:rFonts w:eastAsia="Times New Roman" w:cs="Times New Roman"/>
                <w:color w:val="000000"/>
              </w:rPr>
              <w:br/>
              <w:t>(-3.32, -0.63)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-3.83</w:t>
            </w:r>
            <w:r>
              <w:rPr>
                <w:rFonts w:eastAsia="Times New Roman" w:cs="Times New Roman"/>
                <w:color w:val="000000"/>
              </w:rPr>
              <w:br/>
              <w:t>(-6.40, -1.87)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-3.76</w:t>
            </w:r>
            <w:r>
              <w:rPr>
                <w:rFonts w:eastAsia="Times New Roman" w:cs="Times New Roman"/>
                <w:color w:val="000000"/>
              </w:rPr>
              <w:br/>
              <w:t>(-6.66, -1.04)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-3.52</w:t>
            </w:r>
            <w:r>
              <w:rPr>
                <w:rFonts w:eastAsia="Times New Roman" w:cs="Times New Roman"/>
                <w:color w:val="000000"/>
              </w:rPr>
              <w:br/>
              <w:t>(-6.43, -1.67)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-3.50</w:t>
            </w:r>
            <w:r>
              <w:rPr>
                <w:rFonts w:eastAsia="Times New Roman" w:cs="Times New Roman"/>
                <w:color w:val="000000"/>
              </w:rPr>
              <w:br/>
              <w:t>(-7.09, -1.00)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-3.80</w:t>
            </w:r>
            <w:r>
              <w:rPr>
                <w:rFonts w:eastAsia="Times New Roman" w:cs="Times New Roman"/>
                <w:color w:val="000000"/>
              </w:rPr>
              <w:br/>
              <w:t>(-5.75, -2.07)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-4.35</w:t>
            </w:r>
            <w:r>
              <w:rPr>
                <w:rFonts w:eastAsia="Times New Roman" w:cs="Times New Roman"/>
                <w:color w:val="000000"/>
              </w:rPr>
              <w:br/>
              <w:t>(-6.60,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(-6.34, -1.34)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-3.92</w:t>
            </w:r>
            <w:r>
              <w:rPr>
                <w:rFonts w:eastAsia="Times New Roman" w:cs="Times New Roman"/>
                <w:color w:val="000000"/>
              </w:rPr>
              <w:br/>
              <w:t>(-6.29, -1.50)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-3.76</w:t>
            </w:r>
            <w:r>
              <w:rPr>
                <w:rFonts w:eastAsia="Times New Roman" w:cs="Times New Roman"/>
                <w:color w:val="000000"/>
              </w:rPr>
              <w:br/>
              <w:t>(-6.45, -1.81)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-3.80</w:t>
            </w:r>
            <w:r>
              <w:rPr>
                <w:rFonts w:eastAsia="Times New Roman" w:cs="Times New Roman"/>
                <w:color w:val="000000"/>
              </w:rPr>
              <w:br/>
              <w:t>(-6.61, -1.04)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-3.79</w:t>
            </w:r>
            <w:r>
              <w:rPr>
                <w:rFonts w:eastAsia="Times New Roman" w:cs="Times New Roman"/>
                <w:color w:val="000000"/>
              </w:rPr>
              <w:br/>
              <w:t>(-6.80, -1.39)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-3.27</w:t>
            </w:r>
            <w:r>
              <w:rPr>
                <w:rFonts w:eastAsia="Times New Roman" w:cs="Times New Roman"/>
                <w:color w:val="000000"/>
              </w:rPr>
              <w:br/>
              <w:t>(-6.40, -0.46)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9.48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7.02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-1.61</w:t>
            </w:r>
            <w:r>
              <w:rPr>
                <w:rFonts w:eastAsia="Times New Roman" w:cs="Times New Roman"/>
                <w:color w:val="000000"/>
              </w:rPr>
              <w:br/>
              <w:t>(-5.29,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-4.95</w:t>
            </w:r>
            <w:r>
              <w:rPr>
                <w:rFonts w:eastAsia="Times New Roman" w:cs="Times New Roman"/>
                <w:color w:val="000000"/>
              </w:rPr>
              <w:br/>
              <w:t>(-9.18, -2.49)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-6.69</w:t>
            </w:r>
            <w:r>
              <w:rPr>
                <w:rFonts w:eastAsia="Times New Roman" w:cs="Times New Roman"/>
                <w:color w:val="000000"/>
              </w:rPr>
              <w:br/>
              <w:t>(-12.8,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-2.48</w:t>
            </w:r>
            <w:r>
              <w:rPr>
                <w:rFonts w:eastAsia="Times New Roman" w:cs="Times New Roman"/>
                <w:color w:val="000000"/>
              </w:rPr>
              <w:br/>
              <w:t>(-5.46,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-2.48</w:t>
            </w:r>
            <w:r>
              <w:rPr>
                <w:rFonts w:eastAsia="Times New Roman" w:cs="Times New Roman"/>
                <w:color w:val="000000"/>
              </w:rPr>
              <w:br/>
              <w:t>(-7.18,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-3.47</w:t>
            </w:r>
            <w:r>
              <w:rPr>
                <w:rFonts w:eastAsia="Times New Roman" w:cs="Times New Roman"/>
                <w:color w:val="000000"/>
              </w:rPr>
              <w:br/>
              <w:t>(-6.42,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-4.49</w:t>
            </w:r>
            <w:r>
              <w:rPr>
                <w:rFonts w:eastAsia="Times New Roman" w:cs="Times New Roman"/>
                <w:color w:val="000000"/>
              </w:rPr>
              <w:br/>
              <w:t>(-7.49, -2.39)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+0.73</w:t>
            </w:r>
            <w:r>
              <w:rPr>
                <w:rFonts w:eastAsia="Times New Roman" w:cs="Times New Roman"/>
                <w:color w:val="000000"/>
              </w:rPr>
              <w:br/>
              <w:t>(-1.56, 3.27)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-1.47</w:t>
            </w:r>
            <w:r>
              <w:rPr>
                <w:rFonts w:eastAsia="Times New Roman" w:cs="Times New Roman"/>
                <w:color w:val="000000"/>
              </w:rPr>
              <w:br/>
              <w:t>(-3.59, 0.59)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-7.33</w:t>
            </w:r>
            <w:r>
              <w:rPr>
                <w:rFonts w:eastAsia="Times New Roman" w:cs="Times New Roman"/>
                <w:color w:val="000000"/>
              </w:rPr>
              <w:br/>
              <w:t>(-13.0, -2.61)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-6.09</w:t>
            </w:r>
            <w:r>
              <w:rPr>
                <w:rFonts w:eastAsia="Times New Roman" w:cs="Times New Roman"/>
                <w:color w:val="000000"/>
              </w:rPr>
              <w:br/>
              <w:t>(-12.3,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-2.58</w:t>
            </w:r>
            <w:r>
              <w:rPr>
                <w:rFonts w:eastAsia="Times New Roman" w:cs="Times New Roman"/>
                <w:color w:val="000000"/>
              </w:rPr>
              <w:br/>
              <w:t>(-7.90,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-1.30</w:t>
            </w:r>
            <w:r>
              <w:rPr>
                <w:rFonts w:eastAsia="Times New Roman" w:cs="Times New Roman"/>
                <w:color w:val="000000"/>
              </w:rPr>
              <w:br/>
              <w:t>(-6.86, 2.29)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-7.81</w:t>
            </w:r>
            <w:r>
              <w:rPr>
                <w:rFonts w:eastAsia="Times New Roman" w:cs="Times New Roman"/>
                <w:color w:val="000000"/>
              </w:rPr>
              <w:br/>
              <w:t>(-13.1, -3.63)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-7.39</w:t>
            </w:r>
            <w:r>
              <w:rPr>
                <w:rFonts w:eastAsia="Times New Roman" w:cs="Times New Roman"/>
                <w:color w:val="000000"/>
              </w:rPr>
              <w:br/>
              <w:t>(-13.4, -2.37)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-3.53</w:t>
            </w:r>
            <w:r>
              <w:rPr>
                <w:rFonts w:eastAsia="Times New Roman" w:cs="Times New Roman"/>
                <w:color w:val="000000"/>
              </w:rPr>
              <w:br/>
              <w:t>(-7.87,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-2.58</w:t>
            </w:r>
            <w:r>
              <w:rPr>
                <w:rFonts w:eastAsia="Times New Roman" w:cs="Times New Roman"/>
                <w:color w:val="000000"/>
              </w:rPr>
              <w:br/>
              <w:t>(-7.27, 0.44)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-7.27</w:t>
            </w:r>
            <w:r>
              <w:rPr>
                <w:rFonts w:eastAsia="Times New Roman" w:cs="Times New Roman"/>
                <w:color w:val="000000"/>
              </w:rPr>
              <w:br/>
              <w:t>(-13.2, -2.44)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-5.91</w:t>
            </w:r>
            <w:r>
              <w:rPr>
                <w:rFonts w:eastAsia="Times New Roman" w:cs="Times New Roman"/>
                <w:color w:val="000000"/>
              </w:rPr>
              <w:br/>
            </w:r>
            <w:r>
              <w:rPr>
                <w:rFonts w:eastAsia="Times New Roman" w:cs="Times New Roman"/>
                <w:color w:val="000000"/>
              </w:rPr>
              <w:t>(-12.8,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-3.00</w:t>
            </w:r>
            <w:r>
              <w:rPr>
                <w:rFonts w:eastAsia="Times New Roman" w:cs="Times New Roman"/>
                <w:color w:val="000000"/>
              </w:rPr>
              <w:br/>
              <w:t>(-7.60, 0.97)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-0.54</w:t>
            </w:r>
            <w:r>
              <w:rPr>
                <w:rFonts w:eastAsia="Times New Roman" w:cs="Times New Roman"/>
                <w:color w:val="000000"/>
              </w:rPr>
              <w:br/>
              <w:t>(-6.60, 3.08)</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8: Median (25th, 75th percentile) change in concordance index when different imputation strategies were applied to training and testing sets instead of imputation to the mean prior to developing a risk prediction model for transplant. Table values sh</w:t>
      </w:r>
      <w:r>
        <w:t>ow the concordance index when the imputation method is imputation to the mean and the change in concordance index relative to imputation to the mean for other imputation strategies. All table values are multiplied by 100 for ease of interpretation. While t</w:t>
      </w:r>
      <w:r>
        <w:t>here was little difference in concordance index when 0% of additional data were set to missing in the training and testing sets, missingness incorporated as an attribute, predictive mean matching, random forests, and Bayesian regression provided models wit</w:t>
      </w:r>
      <w:r>
        <w:t xml:space="preserve">h higher concordance indices when 15% or 30% of additional missing data were amputed.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79.4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79.2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(-0.22,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(-0.12,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(-0.05,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(-0.40,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(-0.20, 0.15)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(-0.02,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(0.01, 0.17)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(-0.40,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(-0.18, 0.10)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(-0.11,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(0.01, 0.24)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(-0.57, -0.12)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(-0.19, 0.16)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(-0.09,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r>
            <w:r>
              <w:rPr>
                <w:rFonts w:eastAsia="Times New Roman" w:cs="Times New Roman"/>
                <w:color w:val="000000"/>
              </w:rPr>
              <w:t>(0.06, 0.24)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-0.26</w:t>
            </w:r>
            <w:r>
              <w:rPr>
                <w:rFonts w:eastAsia="Times New Roman" w:cs="Times New Roman"/>
                <w:color w:val="000000"/>
              </w:rPr>
              <w:br/>
              <w:t>(-0.46,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(-0.16,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(-0.15,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(0.01, 0.22)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(-0.54,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(-0.13, 0.22)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78.9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78.4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+0.47</w:t>
            </w:r>
            <w:r>
              <w:rPr>
                <w:rFonts w:eastAsia="Times New Roman" w:cs="Times New Roman"/>
                <w:color w:val="000000"/>
              </w:rPr>
              <w:br/>
              <w:t>(0.26, 0.71)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(0.04, 0.51)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+0.47</w:t>
            </w:r>
            <w:r>
              <w:rPr>
                <w:rFonts w:eastAsia="Times New Roman" w:cs="Times New Roman"/>
                <w:color w:val="000000"/>
              </w:rPr>
              <w:br/>
              <w:t>(0.26, 0.76)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(-0.40,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+0.29</w:t>
            </w:r>
            <w:r>
              <w:rPr>
                <w:rFonts w:eastAsia="Times New Roman" w:cs="Times New Roman"/>
                <w:color w:val="000000"/>
              </w:rPr>
              <w:br/>
              <w:t>(0.07, 0.58)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+0.36</w:t>
            </w:r>
            <w:r>
              <w:rPr>
                <w:rFonts w:eastAsia="Times New Roman" w:cs="Times New Roman"/>
                <w:color w:val="000000"/>
              </w:rPr>
              <w:br/>
              <w:t>(0.21, 0.54)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+0.46</w:t>
            </w:r>
            <w:r>
              <w:rPr>
                <w:rFonts w:eastAsia="Times New Roman" w:cs="Times New Roman"/>
                <w:color w:val="000000"/>
              </w:rPr>
              <w:br/>
              <w:t>(0.29, 0.62)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(-0.39,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+0.17</w:t>
            </w:r>
            <w:r>
              <w:rPr>
                <w:rFonts w:eastAsia="Times New Roman" w:cs="Times New Roman"/>
                <w:color w:val="000000"/>
              </w:rPr>
              <w:br/>
              <w:t>(-0.06, 0.39)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lastRenderedPageBreak/>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(0.11, 0.58)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+0.56</w:t>
            </w:r>
            <w:r>
              <w:rPr>
                <w:rFonts w:eastAsia="Times New Roman" w:cs="Times New Roman"/>
                <w:color w:val="000000"/>
              </w:rPr>
              <w:br/>
              <w:t>(0.37, 0.82)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(-0.38, 0.25)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(0.14, 0.61)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(0.13, 0.64)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+0.59</w:t>
            </w:r>
            <w:r>
              <w:rPr>
                <w:rFonts w:eastAsia="Times New Roman" w:cs="Times New Roman"/>
                <w:color w:val="000000"/>
              </w:rPr>
              <w:br/>
              <w:t>(0.36, 0.82)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-0.11</w:t>
            </w:r>
            <w:r>
              <w:rPr>
                <w:rFonts w:eastAsia="Times New Roman" w:cs="Times New Roman"/>
                <w:color w:val="000000"/>
              </w:rPr>
              <w:br/>
              <w:t>(-0.40,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+0.22</w:t>
            </w:r>
            <w:r>
              <w:rPr>
                <w:rFonts w:eastAsia="Times New Roman" w:cs="Times New Roman"/>
                <w:color w:val="000000"/>
              </w:rPr>
              <w:br/>
              <w:t>(-0.03, 0.51)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+0.39</w:t>
            </w:r>
            <w:r>
              <w:rPr>
                <w:rFonts w:eastAsia="Times New Roman" w:cs="Times New Roman"/>
                <w:color w:val="000000"/>
              </w:rPr>
              <w:br/>
              <w:t>(0.17, 0.63)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+0.60</w:t>
            </w:r>
            <w:r>
              <w:rPr>
                <w:rFonts w:eastAsia="Times New Roman" w:cs="Times New Roman"/>
                <w:color w:val="000000"/>
              </w:rPr>
              <w:br/>
              <w:t>(0.40, 0.83)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t>(-0.46,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+0.27</w:t>
            </w:r>
            <w:r>
              <w:rPr>
                <w:rFonts w:eastAsia="Times New Roman" w:cs="Times New Roman"/>
                <w:color w:val="000000"/>
              </w:rPr>
              <w:br/>
              <w:t>(-0.01, 0.64)</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78.4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77.4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+0.91</w:t>
            </w:r>
            <w:r>
              <w:rPr>
                <w:rFonts w:eastAsia="Times New Roman" w:cs="Times New Roman"/>
                <w:color w:val="000000"/>
              </w:rPr>
              <w:br/>
              <w:t>(0.52, 1.24)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+0.34</w:t>
            </w:r>
            <w:r>
              <w:rPr>
                <w:rFonts w:eastAsia="Times New Roman" w:cs="Times New Roman"/>
                <w:color w:val="000000"/>
              </w:rPr>
              <w:br/>
              <w:t>(-0.03, 0.72)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+0.74</w:t>
            </w:r>
            <w:r>
              <w:rPr>
                <w:rFonts w:eastAsia="Times New Roman" w:cs="Times New Roman"/>
                <w:color w:val="000000"/>
              </w:rPr>
              <w:br/>
              <w:t>(0.48, 1.11)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r>
            <w:r>
              <w:rPr>
                <w:rFonts w:eastAsia="Times New Roman" w:cs="Times New Roman"/>
                <w:color w:val="000000"/>
              </w:rPr>
              <w:t>(-0.53,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+0.55</w:t>
            </w:r>
            <w:r>
              <w:rPr>
                <w:rFonts w:eastAsia="Times New Roman" w:cs="Times New Roman"/>
                <w:color w:val="000000"/>
              </w:rPr>
              <w:br/>
              <w:t>(0.19, 0.86)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+0.28</w:t>
            </w:r>
            <w:r>
              <w:rPr>
                <w:rFonts w:eastAsia="Times New Roman" w:cs="Times New Roman"/>
                <w:color w:val="000000"/>
              </w:rPr>
              <w:br/>
              <w:t>(-0.02,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+0.43</w:t>
            </w:r>
            <w:r>
              <w:rPr>
                <w:rFonts w:eastAsia="Times New Roman" w:cs="Times New Roman"/>
                <w:color w:val="000000"/>
              </w:rPr>
              <w:br/>
              <w:t>(0.21, 0.66)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-0.32</w:t>
            </w:r>
            <w:r>
              <w:rPr>
                <w:rFonts w:eastAsia="Times New Roman" w:cs="Times New Roman"/>
                <w:color w:val="000000"/>
              </w:rPr>
              <w:br/>
              <w:t>(-0.78,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(-0.33, 0.31)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+0.62</w:t>
            </w:r>
            <w:r>
              <w:rPr>
                <w:rFonts w:eastAsia="Times New Roman" w:cs="Times New Roman"/>
                <w:color w:val="000000"/>
              </w:rPr>
              <w:br/>
              <w:t>(0.29, 0.98)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+1.02</w:t>
            </w:r>
            <w:r>
              <w:rPr>
                <w:rFonts w:eastAsia="Times New Roman" w:cs="Times New Roman"/>
                <w:color w:val="000000"/>
              </w:rPr>
              <w:br/>
              <w:t>(0.74, 1.34)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(-0.31,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+0.65</w:t>
            </w:r>
            <w:r>
              <w:rPr>
                <w:rFonts w:eastAsia="Times New Roman" w:cs="Times New Roman"/>
                <w:color w:val="000000"/>
              </w:rPr>
              <w:br/>
              <w:t>(0.29, 0.95)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+0.59</w:t>
            </w:r>
            <w:r>
              <w:rPr>
                <w:rFonts w:eastAsia="Times New Roman" w:cs="Times New Roman"/>
                <w:color w:val="000000"/>
              </w:rPr>
              <w:br/>
              <w:t>(0.22, 1.00)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+1.04</w:t>
            </w:r>
            <w:r>
              <w:rPr>
                <w:rFonts w:eastAsia="Times New Roman" w:cs="Times New Roman"/>
                <w:color w:val="000000"/>
              </w:rPr>
              <w:br/>
              <w:t>(0.76, 1.30)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-0.21</w:t>
            </w:r>
            <w:r>
              <w:rPr>
                <w:rFonts w:eastAsia="Times New Roman" w:cs="Times New Roman"/>
                <w:color w:val="000000"/>
              </w:rPr>
              <w:br/>
              <w:t>(-0.58,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+0.36</w:t>
            </w:r>
            <w:r>
              <w:rPr>
                <w:rFonts w:eastAsia="Times New Roman" w:cs="Times New Roman"/>
                <w:color w:val="000000"/>
              </w:rPr>
              <w:br/>
              <w:t>(0.01, 0.68)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+0.81</w:t>
            </w:r>
            <w:r>
              <w:rPr>
                <w:rFonts w:eastAsia="Times New Roman" w:cs="Times New Roman"/>
                <w:color w:val="000000"/>
              </w:rPr>
              <w:br/>
              <w:t>(0.41, 1.08)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+1.10</w:t>
            </w:r>
            <w:r>
              <w:rPr>
                <w:rFonts w:eastAsia="Times New Roman" w:cs="Times New Roman"/>
                <w:color w:val="000000"/>
              </w:rPr>
              <w:br/>
              <w:t>(0.80, 1.39)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(-0.54,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+0.47</w:t>
            </w:r>
            <w:r>
              <w:rPr>
                <w:rFonts w:eastAsia="Times New Roman" w:cs="Times New Roman"/>
                <w:color w:val="000000"/>
              </w:rPr>
              <w:br/>
              <w:t>(0.10, 0.91)</w:t>
            </w:r>
          </w:p>
        </w:tc>
      </w:tr>
    </w:tbl>
    <w:p w:rsidR="00BF033B" w:rsidRDefault="00B20113">
      <w:r>
        <w:br w:type="page"/>
      </w:r>
    </w:p>
    <w:p w:rsidR="00BF033B" w:rsidRDefault="00B2011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9: Median (25th, 75th percentile) change in calibration error when different imputation strategies were applied to training and testing sets instead of imputation to the mean prior to developing a risk prediction model for transplant. Table values sh</w:t>
      </w:r>
      <w:r>
        <w:t>ow the calibration error when the imputation method is imputation to the mean and the change in calibration error relative to imputation to the mean for other imputation strategies. All table values are multiplied by 100 for ease of interpretation. As more</w:t>
      </w:r>
      <w:r>
        <w:t xml:space="preserve"> data in the training and testing sets were set to missing, single and multiple imputation with nearest neighbors emerged as the optimal strategy for proportional hazards models while missingness incorporated as an attributed emerged an the optimal strateg</w:t>
      </w:r>
      <w:r>
        <w:t xml:space="preserve">y for boosting models.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1.79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(-0.53,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(-0.37,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0.00</w:t>
            </w:r>
            <w:r>
              <w:rPr>
                <w:rFonts w:eastAsia="Times New Roman" w:cs="Times New Roman"/>
                <w:color w:val="000000"/>
              </w:rPr>
              <w:br/>
              <w:t>(-0.39,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+0.11</w:t>
            </w:r>
            <w:r>
              <w:rPr>
                <w:rFonts w:eastAsia="Times New Roman" w:cs="Times New Roman"/>
                <w:color w:val="000000"/>
              </w:rPr>
              <w:br/>
              <w:t>(-0.56,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-0.07</w:t>
            </w:r>
            <w:r>
              <w:rPr>
                <w:rFonts w:eastAsia="Times New Roman" w:cs="Times New Roman"/>
                <w:color w:val="000000"/>
              </w:rPr>
              <w:br/>
              <w:t>(-0.67,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+0.00</w:t>
            </w:r>
            <w:r>
              <w:rPr>
                <w:rFonts w:eastAsia="Times New Roman" w:cs="Times New Roman"/>
                <w:color w:val="000000"/>
              </w:rPr>
              <w:br/>
              <w:t>(-0.25,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(-0.25,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(-0.40, 0.61)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-0.03</w:t>
            </w:r>
            <w:r>
              <w:rPr>
                <w:rFonts w:eastAsia="Times New Roman" w:cs="Times New Roman"/>
                <w:color w:val="000000"/>
              </w:rPr>
              <w:br/>
              <w:t>(-0.52,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(-0.34, 0.32)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-0.08</w:t>
            </w:r>
            <w:r>
              <w:rPr>
                <w:rFonts w:eastAsia="Times New Roman" w:cs="Times New Roman"/>
                <w:color w:val="000000"/>
              </w:rPr>
              <w:br/>
              <w:t>(-0.41,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+0.09</w:t>
            </w:r>
            <w:r>
              <w:rPr>
                <w:rFonts w:eastAsia="Times New Roman" w:cs="Times New Roman"/>
                <w:color w:val="000000"/>
              </w:rPr>
              <w:br/>
              <w:t>(-0.49,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(-0.63, 0.70)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(-0.39,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-0.06</w:t>
            </w:r>
            <w:r>
              <w:rPr>
                <w:rFonts w:eastAsia="Times New Roman" w:cs="Times New Roman"/>
                <w:color w:val="000000"/>
              </w:rPr>
              <w:br/>
              <w:t>(-0.35,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(-0.49,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+0.02</w:t>
            </w:r>
            <w:r>
              <w:rPr>
                <w:rFonts w:eastAsia="Times New Roman" w:cs="Times New Roman"/>
                <w:color w:val="000000"/>
              </w:rPr>
              <w:br/>
              <w:t>(-0.54, 0.56)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(-0.40,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-0.13</w:t>
            </w:r>
            <w:r>
              <w:rPr>
                <w:rFonts w:eastAsia="Times New Roman" w:cs="Times New Roman"/>
                <w:color w:val="000000"/>
              </w:rPr>
              <w:br/>
              <w:t>(-0.38,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+0.12</w:t>
            </w:r>
            <w:r>
              <w:rPr>
                <w:rFonts w:eastAsia="Times New Roman" w:cs="Times New Roman"/>
                <w:color w:val="000000"/>
              </w:rPr>
              <w:br/>
              <w:t>(-0.46,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+0.24</w:t>
            </w:r>
            <w:r>
              <w:rPr>
                <w:rFonts w:eastAsia="Times New Roman" w:cs="Times New Roman"/>
                <w:color w:val="000000"/>
              </w:rPr>
              <w:br/>
              <w:t>(-0.46, 1.04)</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2.48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2.51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-0.50</w:t>
            </w:r>
            <w:r>
              <w:rPr>
                <w:rFonts w:eastAsia="Times New Roman" w:cs="Times New Roman"/>
                <w:color w:val="000000"/>
              </w:rPr>
              <w:br/>
              <w:t>(-1.38,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-0.76</w:t>
            </w:r>
            <w:r>
              <w:rPr>
                <w:rFonts w:eastAsia="Times New Roman" w:cs="Times New Roman"/>
                <w:color w:val="000000"/>
              </w:rPr>
              <w:br/>
            </w:r>
            <w:r>
              <w:rPr>
                <w:rFonts w:eastAsia="Times New Roman" w:cs="Times New Roman"/>
                <w:color w:val="000000"/>
              </w:rPr>
              <w:t>(-1.95,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-0.51</w:t>
            </w:r>
            <w:r>
              <w:rPr>
                <w:rFonts w:eastAsia="Times New Roman" w:cs="Times New Roman"/>
                <w:color w:val="000000"/>
              </w:rPr>
              <w:br/>
              <w:t>(-2.14,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-0.01</w:t>
            </w:r>
            <w:r>
              <w:rPr>
                <w:rFonts w:eastAsia="Times New Roman" w:cs="Times New Roman"/>
                <w:color w:val="000000"/>
              </w:rPr>
              <w:br/>
              <w:t>(-1.00,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+0.69</w:t>
            </w:r>
            <w:r>
              <w:rPr>
                <w:rFonts w:eastAsia="Times New Roman" w:cs="Times New Roman"/>
                <w:color w:val="000000"/>
              </w:rPr>
              <w:br/>
              <w:t>(-0.47, 1.97)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-0.82</w:t>
            </w:r>
            <w:r>
              <w:rPr>
                <w:rFonts w:eastAsia="Times New Roman" w:cs="Times New Roman"/>
                <w:color w:val="000000"/>
              </w:rPr>
              <w:br/>
              <w:t>(-2.01,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-0.78</w:t>
            </w:r>
            <w:r>
              <w:rPr>
                <w:rFonts w:eastAsia="Times New Roman" w:cs="Times New Roman"/>
                <w:color w:val="000000"/>
              </w:rPr>
              <w:br/>
              <w:t>(-1.96,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+0.20</w:t>
            </w:r>
            <w:r>
              <w:rPr>
                <w:rFonts w:eastAsia="Times New Roman" w:cs="Times New Roman"/>
                <w:color w:val="000000"/>
              </w:rPr>
              <w:br/>
              <w:t>(-0.59, 1.01)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+0.23</w:t>
            </w:r>
            <w:r>
              <w:rPr>
                <w:rFonts w:eastAsia="Times New Roman" w:cs="Times New Roman"/>
                <w:color w:val="000000"/>
              </w:rPr>
              <w:br/>
              <w:t>(-0.73, 1.02)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-1.01</w:t>
            </w:r>
            <w:r>
              <w:rPr>
                <w:rFonts w:eastAsia="Times New Roman" w:cs="Times New Roman"/>
                <w:color w:val="000000"/>
              </w:rPr>
              <w:br/>
              <w:t>(-2.15,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-0.46</w:t>
            </w:r>
            <w:r>
              <w:rPr>
                <w:rFonts w:eastAsia="Times New Roman" w:cs="Times New Roman"/>
                <w:color w:val="000000"/>
              </w:rPr>
              <w:br/>
              <w:t>(-2.16,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+0.15</w:t>
            </w:r>
            <w:r>
              <w:rPr>
                <w:rFonts w:eastAsia="Times New Roman" w:cs="Times New Roman"/>
                <w:color w:val="000000"/>
              </w:rPr>
              <w:br/>
            </w:r>
            <w:r>
              <w:rPr>
                <w:rFonts w:eastAsia="Times New Roman" w:cs="Times New Roman"/>
                <w:color w:val="000000"/>
              </w:rPr>
              <w:t>(-0.91, 1.02)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+0.72</w:t>
            </w:r>
            <w:r>
              <w:rPr>
                <w:rFonts w:eastAsia="Times New Roman" w:cs="Times New Roman"/>
                <w:color w:val="000000"/>
              </w:rPr>
              <w:br/>
              <w:t>(-0.81, 1.87)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-0.80</w:t>
            </w:r>
            <w:r>
              <w:rPr>
                <w:rFonts w:eastAsia="Times New Roman" w:cs="Times New Roman"/>
                <w:color w:val="000000"/>
              </w:rPr>
              <w:br/>
              <w:t>(-2.32,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-0.59</w:t>
            </w:r>
            <w:r>
              <w:rPr>
                <w:rFonts w:eastAsia="Times New Roman" w:cs="Times New Roman"/>
                <w:color w:val="000000"/>
              </w:rPr>
              <w:br/>
              <w:t>(-2.03, 0.81)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-0.10</w:t>
            </w:r>
            <w:r>
              <w:rPr>
                <w:rFonts w:eastAsia="Times New Roman" w:cs="Times New Roman"/>
                <w:color w:val="000000"/>
              </w:rPr>
              <w:br/>
              <w:t>(-1.15,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+0.42</w:t>
            </w:r>
            <w:r>
              <w:rPr>
                <w:rFonts w:eastAsia="Times New Roman" w:cs="Times New Roman"/>
                <w:color w:val="000000"/>
              </w:rPr>
              <w:br/>
              <w:t>(-0.93, 1.34)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-0.94</w:t>
            </w:r>
            <w:r>
              <w:rPr>
                <w:rFonts w:eastAsia="Times New Roman" w:cs="Times New Roman"/>
                <w:color w:val="000000"/>
              </w:rPr>
              <w:br/>
              <w:t>(-2.32,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-0.64</w:t>
            </w:r>
            <w:r>
              <w:rPr>
                <w:rFonts w:eastAsia="Times New Roman" w:cs="Times New Roman"/>
                <w:color w:val="000000"/>
              </w:rPr>
              <w:br/>
              <w:t>(-2.04,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+0.19</w:t>
            </w:r>
            <w:r>
              <w:rPr>
                <w:rFonts w:eastAsia="Times New Roman" w:cs="Times New Roman"/>
                <w:color w:val="000000"/>
              </w:rPr>
              <w:br/>
              <w:t>(-0.76, 1.16)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+0.99</w:t>
            </w:r>
            <w:r>
              <w:rPr>
                <w:rFonts w:eastAsia="Times New Roman" w:cs="Times New Roman"/>
                <w:color w:val="000000"/>
              </w:rPr>
              <w:br/>
              <w:t>(-0.50, 2.27)</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B20113">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4.98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3.99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-1.52</w:t>
            </w:r>
            <w:r>
              <w:rPr>
                <w:rFonts w:eastAsia="Times New Roman" w:cs="Times New Roman"/>
                <w:color w:val="000000"/>
              </w:rPr>
              <w:br/>
              <w:t>(-2.62, -0.35)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-2.17</w:t>
            </w:r>
            <w:r>
              <w:rPr>
                <w:rFonts w:eastAsia="Times New Roman" w:cs="Times New Roman"/>
                <w:color w:val="000000"/>
              </w:rPr>
              <w:br/>
              <w:t>(-4.65,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-0.49</w:t>
            </w:r>
            <w:r>
              <w:rPr>
                <w:rFonts w:eastAsia="Times New Roman" w:cs="Times New Roman"/>
                <w:color w:val="000000"/>
              </w:rPr>
              <w:br/>
              <w:t>(-3.74, 2.34)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-0.53</w:t>
            </w:r>
            <w:r>
              <w:rPr>
                <w:rFonts w:eastAsia="Times New Roman" w:cs="Times New Roman"/>
                <w:color w:val="000000"/>
              </w:rPr>
              <w:br/>
              <w:t>(-2.79,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+1.89</w:t>
            </w:r>
            <w:r>
              <w:rPr>
                <w:rFonts w:eastAsia="Times New Roman" w:cs="Times New Roman"/>
                <w:color w:val="000000"/>
              </w:rPr>
              <w:br/>
              <w:t>(-0.93, 4.76)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-1.88</w:t>
            </w:r>
            <w:r>
              <w:rPr>
                <w:rFonts w:eastAsia="Times New Roman" w:cs="Times New Roman"/>
                <w:color w:val="000000"/>
              </w:rPr>
              <w:br/>
              <w:t>(-3.34,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-1.88</w:t>
            </w:r>
            <w:r>
              <w:rPr>
                <w:rFonts w:eastAsia="Times New Roman" w:cs="Times New Roman"/>
                <w:color w:val="000000"/>
              </w:rPr>
              <w:br/>
              <w:t>(-3.70,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-0.41</w:t>
            </w:r>
            <w:r>
              <w:rPr>
                <w:rFonts w:eastAsia="Times New Roman" w:cs="Times New Roman"/>
                <w:color w:val="000000"/>
              </w:rPr>
              <w:br/>
              <w:t>(-1.72,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-0.54</w:t>
            </w:r>
            <w:r>
              <w:rPr>
                <w:rFonts w:eastAsia="Times New Roman" w:cs="Times New Roman"/>
                <w:color w:val="000000"/>
              </w:rPr>
              <w:br/>
              <w:t>(-2.26, 0.88)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-1.30</w:t>
            </w:r>
            <w:r>
              <w:rPr>
                <w:rFonts w:eastAsia="Times New Roman" w:cs="Times New Roman"/>
                <w:color w:val="000000"/>
              </w:rPr>
              <w:br/>
              <w:t>(-4.52, 1.28)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+0.04</w:t>
            </w:r>
            <w:r>
              <w:rPr>
                <w:rFonts w:eastAsia="Times New Roman" w:cs="Times New Roman"/>
                <w:color w:val="000000"/>
              </w:rPr>
              <w:br/>
              <w:t>(-3.48, 2.70)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-0.05</w:t>
            </w:r>
            <w:r>
              <w:rPr>
                <w:rFonts w:eastAsia="Times New Roman" w:cs="Times New Roman"/>
                <w:color w:val="000000"/>
              </w:rPr>
              <w:br/>
              <w:t>(-2.54, 2.53)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+1.36</w:t>
            </w:r>
            <w:r>
              <w:rPr>
                <w:rFonts w:eastAsia="Times New Roman" w:cs="Times New Roman"/>
                <w:color w:val="000000"/>
              </w:rPr>
              <w:br/>
              <w:t>(-1.26, 4.01)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-1.80</w:t>
            </w:r>
            <w:r>
              <w:rPr>
                <w:rFonts w:eastAsia="Times New Roman" w:cs="Times New Roman"/>
                <w:color w:val="000000"/>
              </w:rPr>
              <w:br/>
              <w:t>(-4.34,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-0.58</w:t>
            </w:r>
            <w:r>
              <w:rPr>
                <w:rFonts w:eastAsia="Times New Roman" w:cs="Times New Roman"/>
                <w:color w:val="000000"/>
              </w:rPr>
              <w:br/>
            </w:r>
            <w:r>
              <w:rPr>
                <w:rFonts w:eastAsia="Times New Roman" w:cs="Times New Roman"/>
                <w:color w:val="000000"/>
              </w:rPr>
              <w:t>(-3.95, 2.18)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-0.55</w:t>
            </w:r>
            <w:r>
              <w:rPr>
                <w:rFonts w:eastAsia="Times New Roman" w:cs="Times New Roman"/>
                <w:color w:val="000000"/>
              </w:rPr>
              <w:br/>
              <w:t>(-2.64,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+0.33</w:t>
            </w:r>
            <w:r>
              <w:rPr>
                <w:rFonts w:eastAsia="Times New Roman" w:cs="Times New Roman"/>
                <w:color w:val="000000"/>
              </w:rPr>
              <w:br/>
              <w:t>(-2.27, 2.77)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-1.34</w:t>
            </w:r>
            <w:r>
              <w:rPr>
                <w:rFonts w:eastAsia="Times New Roman" w:cs="Times New Roman"/>
                <w:color w:val="000000"/>
              </w:rPr>
              <w:br/>
              <w:t>(-4.22, 1.59)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-0.23</w:t>
            </w:r>
            <w:r>
              <w:rPr>
                <w:rFonts w:eastAsia="Times New Roman" w:cs="Times New Roman"/>
                <w:color w:val="000000"/>
              </w:rPr>
              <w:br/>
              <w:t>(-3.15, 2.61)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-0.16</w:t>
            </w:r>
            <w:r>
              <w:rPr>
                <w:rFonts w:eastAsia="Times New Roman" w:cs="Times New Roman"/>
                <w:color w:val="000000"/>
              </w:rPr>
              <w:br/>
              <w:t>(-2.47, 1.94)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20113">
            <w:pPr>
              <w:spacing w:before="60" w:after="60"/>
              <w:ind w:left="60" w:right="60"/>
              <w:jc w:val="center"/>
            </w:pPr>
            <w:r>
              <w:rPr>
                <w:rFonts w:eastAsia="Times New Roman" w:cs="Times New Roman"/>
                <w:color w:val="000000"/>
              </w:rPr>
              <w:t>+0.89</w:t>
            </w:r>
            <w:r>
              <w:rPr>
                <w:rFonts w:eastAsia="Times New Roman" w:cs="Times New Roman"/>
                <w:color w:val="000000"/>
              </w:rPr>
              <w:br/>
              <w:t>(-1.89, 3.67)</w:t>
            </w:r>
          </w:p>
        </w:tc>
      </w:tr>
    </w:tbl>
    <w:p w:rsidR="00BF033B" w:rsidRDefault="00B20113">
      <w:r>
        <w:br w:type="page"/>
      </w:r>
    </w:p>
    <w:p w:rsidR="00BF033B" w:rsidRDefault="00B20113">
      <w:pPr>
        <w:pStyle w:val="Figure"/>
        <w:jc w:val="center"/>
      </w:pPr>
      <w:r>
        <w:rPr>
          <w:noProof/>
        </w:rPr>
        <w:lastRenderedPageBreak/>
        <w:drawing>
          <wp:inline distT="0" distB="0" distL="0" distR="0">
            <wp:extent cx="59436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2550" cy="76200"/>
                    </a:xfrm>
                    <a:prstGeom prst="rect">
                      <a:avLst/>
                    </a:prstGeom>
                    <a:noFill/>
                  </pic:spPr>
                </pic:pic>
              </a:graphicData>
            </a:graphic>
          </wp:inline>
        </w:drawing>
      </w:r>
    </w:p>
    <w:p w:rsidR="00BF033B" w:rsidRDefault="00B20113">
      <w:pPr>
        <w:pStyle w:val="ImageCaption"/>
      </w:pPr>
      <w:r>
        <w:t xml:space="preserve">Figure </w:t>
      </w:r>
      <w:bookmarkStart w:id="18" w:name="upset"/>
      <w:r>
        <w:fldChar w:fldCharType="begin"/>
      </w:r>
      <w:r>
        <w:instrText>SEQ fig \* Arabic</w:instrText>
      </w:r>
      <w:r w:rsidR="008C156F">
        <w:fldChar w:fldCharType="separate"/>
      </w:r>
      <w:r w:rsidR="008C156F">
        <w:rPr>
          <w:noProof/>
        </w:rPr>
        <w:t>1</w:t>
      </w:r>
      <w:r>
        <w:fldChar w:fldCharType="end"/>
      </w:r>
      <w:bookmarkEnd w:id="18"/>
      <w:r>
        <w:t>: An upset plot showing three variables from the INTERMACS registry an</w:t>
      </w:r>
      <w:r>
        <w:t xml:space="preserve">d all combinations of missing patterns. The bottom left plot shows the number of missing values for each variable, separately. The top right plot shows the number of missing values for each combination of the three variables. For example, there were 2,618 </w:t>
      </w:r>
      <w:r>
        <w:t>rows in the overall INTERMACS data where both CV pressure and surgery time were missing.</w:t>
      </w:r>
    </w:p>
    <w:p w:rsidR="00BF033B" w:rsidRDefault="00B20113">
      <w:r>
        <w:br w:type="page"/>
      </w:r>
    </w:p>
    <w:p w:rsidR="00BF033B" w:rsidRDefault="00B20113">
      <w:pPr>
        <w:pStyle w:val="Figure"/>
        <w:jc w:val="center"/>
      </w:pPr>
      <w:r>
        <w:rPr>
          <w:noProof/>
        </w:rPr>
        <w:lastRenderedPageBreak/>
        <w:drawing>
          <wp:inline distT="0" distB="0" distL="0" distR="0">
            <wp:extent cx="64008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76200"/>
                    </a:xfrm>
                    <a:prstGeom prst="rect">
                      <a:avLst/>
                    </a:prstGeom>
                    <a:noFill/>
                  </pic:spPr>
                </pic:pic>
              </a:graphicData>
            </a:graphic>
          </wp:inline>
        </w:drawing>
      </w:r>
    </w:p>
    <w:p w:rsidR="00BF033B" w:rsidRDefault="00B20113">
      <w:pPr>
        <w:pStyle w:val="ImageCaption"/>
      </w:pPr>
      <w:r>
        <w:t xml:space="preserve">Figure </w:t>
      </w:r>
      <w:bookmarkStart w:id="19" w:name="fig_md_strat_infer_ipa"/>
      <w:r>
        <w:fldChar w:fldCharType="begin"/>
      </w:r>
      <w:r>
        <w:instrText>SEQ fig \* Arabic</w:instrText>
      </w:r>
      <w:r w:rsidR="008C156F">
        <w:fldChar w:fldCharType="separate"/>
      </w:r>
      <w:r w:rsidR="008C156F">
        <w:rPr>
          <w:noProof/>
        </w:rPr>
        <w:t>2</w:t>
      </w:r>
      <w:r>
        <w:fldChar w:fldCharType="end"/>
      </w:r>
      <w:bookmarkEnd w:id="19"/>
      <w:r>
        <w:t xml:space="preserve">: </w:t>
      </w:r>
      <w:r>
        <w:t>Posterior distribution of differences in scaled Brier score values (multiplied by 100) relative to imputation to the mean when different imputation strategies are applied before fitting a risk prediction model. Results are aggregated over scenarios where t</w:t>
      </w:r>
      <w:r>
        <w:t xml:space="preserve">he outcome is mortality and transplant and the amount of additional missing data is 0%, 15%, or 30%. Posterior probability that the difference in scaled Brier score exceeds 0, indicating an improvement in overall model accuracy, is printed to the right of </w:t>
      </w:r>
      <w:r>
        <w:t>each distribution. Each multiple imputation strategy and single imputation with missingness incorporated as an attribute had over 90% posterior predicted probability of increasing the scaled Brier score versus using imputation to the mean.</w:t>
      </w:r>
    </w:p>
    <w:p w:rsidR="00BF033B" w:rsidRDefault="00B20113">
      <w:r>
        <w:br w:type="page"/>
      </w:r>
    </w:p>
    <w:p w:rsidR="00BF033B" w:rsidRDefault="00B20113">
      <w:pPr>
        <w:pStyle w:val="Figure"/>
        <w:jc w:val="center"/>
      </w:pPr>
      <w:r>
        <w:rPr>
          <w:noProof/>
        </w:rPr>
        <w:lastRenderedPageBreak/>
        <w:drawing>
          <wp:inline distT="0" distB="0" distL="0" distR="0">
            <wp:extent cx="64008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76200"/>
                    </a:xfrm>
                    <a:prstGeom prst="rect">
                      <a:avLst/>
                    </a:prstGeom>
                    <a:noFill/>
                  </pic:spPr>
                </pic:pic>
              </a:graphicData>
            </a:graphic>
          </wp:inline>
        </w:drawing>
      </w:r>
    </w:p>
    <w:p w:rsidR="00BF033B" w:rsidRDefault="00B20113">
      <w:pPr>
        <w:pStyle w:val="ImageCaption"/>
      </w:pPr>
      <w:r>
        <w:t xml:space="preserve">Figure </w:t>
      </w:r>
      <w:bookmarkStart w:id="20" w:name="fig_md_strat_infer_auc"/>
      <w:r>
        <w:fldChar w:fldCharType="begin"/>
      </w:r>
      <w:r>
        <w:instrText>SEQ fig \* Arabic</w:instrText>
      </w:r>
      <w:r w:rsidR="008C156F">
        <w:fldChar w:fldCharType="separate"/>
      </w:r>
      <w:r w:rsidR="008C156F">
        <w:rPr>
          <w:noProof/>
        </w:rPr>
        <w:t>3</w:t>
      </w:r>
      <w:r>
        <w:fldChar w:fldCharType="end"/>
      </w:r>
      <w:bookmarkEnd w:id="20"/>
      <w:r>
        <w:t>: Posterior distribution of differences in concordance index values (multiplied by 100) relative to imputation to the mean when different imputation strategies are applied before fitting a risk prediction model. Results are aggregated ov</w:t>
      </w:r>
      <w:r>
        <w:t>er scenarios where the outcome is mortality and transplant and the amount of additional missing data is 0%, 15%, or 30%. Posterior probability that the difference in concordance index exceeds 0, indicating an improvement in model discrimination, is printed</w:t>
      </w:r>
      <w:r>
        <w:t xml:space="preserve"> to the right of each distribution. Multiple imputation with predictive mean matching, random forests, and Bayesian regression each had over 90% posterior predicted probability of increasing the concordance index versus using imputation to the mean.</w:t>
      </w:r>
    </w:p>
    <w:p w:rsidR="00BF033B" w:rsidRDefault="00B20113">
      <w:r>
        <w:br w:type="page"/>
      </w:r>
    </w:p>
    <w:p w:rsidR="00BF033B" w:rsidRDefault="00B20113">
      <w:pPr>
        <w:pStyle w:val="Figure"/>
        <w:jc w:val="center"/>
      </w:pPr>
      <w:r>
        <w:rPr>
          <w:noProof/>
        </w:rPr>
        <w:lastRenderedPageBreak/>
        <w:drawing>
          <wp:inline distT="0" distB="0" distL="0" distR="0">
            <wp:extent cx="64008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88900" cy="76200"/>
                    </a:xfrm>
                    <a:prstGeom prst="rect">
                      <a:avLst/>
                    </a:prstGeom>
                    <a:noFill/>
                  </pic:spPr>
                </pic:pic>
              </a:graphicData>
            </a:graphic>
          </wp:inline>
        </w:drawing>
      </w:r>
    </w:p>
    <w:p w:rsidR="00BF033B" w:rsidRDefault="00B20113">
      <w:pPr>
        <w:pStyle w:val="ImageCaption"/>
      </w:pPr>
      <w:r>
        <w:t>Fi</w:t>
      </w:r>
      <w:r>
        <w:t xml:space="preserve">gure </w:t>
      </w:r>
      <w:bookmarkStart w:id="21" w:name="fig_md_strat_infer_cal_error"/>
      <w:r>
        <w:fldChar w:fldCharType="begin"/>
      </w:r>
      <w:r>
        <w:instrText>SEQ fig \* Arabic</w:instrText>
      </w:r>
      <w:r w:rsidR="008C156F">
        <w:fldChar w:fldCharType="separate"/>
      </w:r>
      <w:r w:rsidR="008C156F">
        <w:rPr>
          <w:noProof/>
        </w:rPr>
        <w:t>4</w:t>
      </w:r>
      <w:r>
        <w:fldChar w:fldCharType="end"/>
      </w:r>
      <w:bookmarkEnd w:id="21"/>
      <w:r>
        <w:t>: Posterior distribution of differences in calibration error values (multiplied by 100) relative to imputation to the mean when different imputation strategies are applied before fitting a risk prediction model. Results are aggregat</w:t>
      </w:r>
      <w:r>
        <w:t xml:space="preserve">ed over scenarios where the outcome is mortality and transplant and the amount of additional missing data is 0%, 15%, or 30%. Posterior probability that the difference in calibration error is less than 0, indicating an improvement in model calibration, is </w:t>
      </w:r>
      <w:r>
        <w:t>printed to the right of each distribution. Every imputation strategy evaluated had over 90% posterior predicted probability of improving model calibration versus using imputation to the mean.</w:t>
      </w:r>
    </w:p>
    <w:p w:rsidR="00BF033B" w:rsidRDefault="00B20113">
      <w:r>
        <w:br w:type="page"/>
      </w:r>
    </w:p>
    <w:p w:rsidR="00BF033B" w:rsidRDefault="00B20113">
      <w:pPr>
        <w:pStyle w:val="Heading1"/>
      </w:pPr>
      <w:bookmarkStart w:id="22" w:name="references"/>
      <w:bookmarkEnd w:id="17"/>
      <w:r>
        <w:lastRenderedPageBreak/>
        <w:t>REFERENCES</w:t>
      </w:r>
    </w:p>
    <w:p w:rsidR="00BF033B" w:rsidRDefault="00B20113">
      <w:pPr>
        <w:pStyle w:val="Bibliography"/>
      </w:pPr>
      <w:bookmarkStart w:id="23" w:name="ref-benjamin2017heart"/>
      <w:bookmarkStart w:id="24" w:name="refs"/>
      <w:r>
        <w:t xml:space="preserve">1. </w:t>
      </w:r>
      <w:r>
        <w:tab/>
        <w:t>Benjamin EJ, Blaha MJ, Chiuve SE, Cushman M, Da</w:t>
      </w:r>
      <w:r>
        <w:t>s SR, Deo R, et al. Heart disease and stroke statistics-2017 update: A report from the american heart association. Circulation 2017;135:e146–e603.</w:t>
      </w:r>
    </w:p>
    <w:p w:rsidR="00BF033B" w:rsidRDefault="00B20113">
      <w:pPr>
        <w:pStyle w:val="Bibliography"/>
      </w:pPr>
      <w:bookmarkStart w:id="25" w:name="ref-national2017health"/>
      <w:bookmarkEnd w:id="23"/>
      <w:r>
        <w:t xml:space="preserve">2. </w:t>
      </w:r>
      <w:r>
        <w:tab/>
        <w:t>Health Statistics NC for. Health, united states, 2016, with chartbook on long-term trends in health. Gove</w:t>
      </w:r>
      <w:r>
        <w:t>rnment Printing Office; 2017.</w:t>
      </w:r>
    </w:p>
    <w:p w:rsidR="00BF033B" w:rsidRDefault="00B20113">
      <w:pPr>
        <w:pStyle w:val="Bibliography"/>
      </w:pPr>
      <w:bookmarkStart w:id="26" w:name="ref-patel2014contemporary"/>
      <w:bookmarkEnd w:id="25"/>
      <w:r>
        <w:t xml:space="preserve">3. </w:t>
      </w:r>
      <w:r>
        <w:tab/>
        <w:t>Patel CB, Cowger JA, Zuckermann A. A contemporary review of mechanical circulatory support. The Journal of Heart and Lung Transplantation 2014;33:667–674.</w:t>
      </w:r>
    </w:p>
    <w:p w:rsidR="00BF033B" w:rsidRDefault="00B20113">
      <w:pPr>
        <w:pStyle w:val="Bibliography"/>
      </w:pPr>
      <w:bookmarkStart w:id="27" w:name="ref-slaughter2009advanced"/>
      <w:bookmarkEnd w:id="26"/>
      <w:r>
        <w:t xml:space="preserve">4. </w:t>
      </w:r>
      <w:r>
        <w:tab/>
        <w:t>Slaughter MS, Rogers JG, Milano CA, Russell SD, Conte JV, Feldm</w:t>
      </w:r>
      <w:r>
        <w:t>an D, et al. Advanced heart failure treated with continuous-flow left ventricular assist device. New England Journal of Medicine 2009;361:2241–2251.</w:t>
      </w:r>
    </w:p>
    <w:p w:rsidR="00BF033B" w:rsidRDefault="00B20113">
      <w:pPr>
        <w:pStyle w:val="Bibliography"/>
      </w:pPr>
      <w:bookmarkStart w:id="28" w:name="ref-miller2011left"/>
      <w:bookmarkEnd w:id="27"/>
      <w:r>
        <w:t xml:space="preserve">5. </w:t>
      </w:r>
      <w:r>
        <w:tab/>
        <w:t>Miller LW. Left ventricular assist devices are underutilized. Circulation 2011;123:1552–1558.</w:t>
      </w:r>
    </w:p>
    <w:p w:rsidR="00BF033B" w:rsidRDefault="00B20113">
      <w:pPr>
        <w:pStyle w:val="Bibliography"/>
      </w:pPr>
      <w:bookmarkStart w:id="29" w:name="ref-stewart2011keeping"/>
      <w:bookmarkEnd w:id="28"/>
      <w:r>
        <w:t xml:space="preserve">6. </w:t>
      </w:r>
      <w:r>
        <w:tab/>
        <w:t>Stewa</w:t>
      </w:r>
      <w:r>
        <w:t>rt GC, Stevenson LW. Keeping left ventricular assist device acceleration on track. Circulation 2011;123:1559–1568.</w:t>
      </w:r>
    </w:p>
    <w:p w:rsidR="00BF033B" w:rsidRDefault="00B20113">
      <w:pPr>
        <w:pStyle w:val="Bibliography"/>
      </w:pPr>
      <w:bookmarkStart w:id="30" w:name="ref-hsich2012should"/>
      <w:bookmarkEnd w:id="29"/>
      <w:r>
        <w:t xml:space="preserve">7. </w:t>
      </w:r>
      <w:r>
        <w:tab/>
        <w:t>Hsich EM, Naftel DC, Myers SL, Gorodeski EZ, Grady KL, Schmuhl D, et al. Should women receive left ventricular assist device support? Fin</w:t>
      </w:r>
      <w:r>
        <w:t>dings from INTERMACS. Circulation: Heart Failure 2012;5:234–240.</w:t>
      </w:r>
    </w:p>
    <w:p w:rsidR="00BF033B" w:rsidRDefault="00B20113">
      <w:pPr>
        <w:pStyle w:val="Bibliography"/>
      </w:pPr>
      <w:bookmarkStart w:id="31" w:name="ref-cotts2014predictors"/>
      <w:bookmarkEnd w:id="30"/>
      <w:r>
        <w:t xml:space="preserve">8. </w:t>
      </w:r>
      <w:r>
        <w:tab/>
        <w:t>Cotts WG, McGee Jr EC, Myers SL, Naftel DC, Young JB, Kirklin JK, et al. Predictors of hospital length of stay after implantation of a left ventricular assist device: An analysis of the I</w:t>
      </w:r>
      <w:r>
        <w:t>NTERMACS registry. The Journal of Heart and Lung Transplantation 2014;33:682–688.</w:t>
      </w:r>
    </w:p>
    <w:p w:rsidR="00BF033B" w:rsidRDefault="00B20113">
      <w:pPr>
        <w:pStyle w:val="Bibliography"/>
      </w:pPr>
      <w:bookmarkStart w:id="32" w:name="ref-eckman2011survival"/>
      <w:bookmarkEnd w:id="31"/>
      <w:r>
        <w:t xml:space="preserve">9. </w:t>
      </w:r>
      <w:r>
        <w:tab/>
        <w:t>Eckman P, Rosenbaum A, Vongooru H, Basraon J, John R, Levy W, et al. Survival of INTERMACS profile 4-6 patients after left ventricular assist device implant is improved c</w:t>
      </w:r>
      <w:r>
        <w:t>ompared to seattle heart failure model estimated survival. Journal of Cardiac Failure 2011;17:S38–S39.</w:t>
      </w:r>
    </w:p>
    <w:p w:rsidR="00BF033B" w:rsidRDefault="00B20113">
      <w:pPr>
        <w:pStyle w:val="Bibliography"/>
      </w:pPr>
      <w:bookmarkStart w:id="33" w:name="ref-kirklin2017eighth"/>
      <w:bookmarkEnd w:id="32"/>
      <w:r>
        <w:t xml:space="preserve">10. </w:t>
      </w:r>
      <w:r>
        <w:tab/>
        <w:t>Kirklin JK, Pagani FD, Kormos RL, Stevenson LW, Blume ED, Myers SL, et al. Eighth annual INTERMACS report: Special focus on framing the impact of ad</w:t>
      </w:r>
      <w:r>
        <w:t>verse events. The Journal of Heart and Lung Transplantation 2017;36:1080–1086. doi:</w:t>
      </w:r>
      <w:hyperlink r:id="rId15">
        <w:r>
          <w:rPr>
            <w:rStyle w:val="Hyperlink"/>
          </w:rPr>
          <w:t>https://www.ncbi.nlm.nih.gov/pubmed/28942782</w:t>
        </w:r>
      </w:hyperlink>
      <w:r>
        <w:t>.</w:t>
      </w:r>
    </w:p>
    <w:p w:rsidR="00BF033B" w:rsidRDefault="00B20113">
      <w:pPr>
        <w:pStyle w:val="Bibliography"/>
      </w:pPr>
      <w:bookmarkStart w:id="34" w:name="ref-kormos2019society"/>
      <w:bookmarkEnd w:id="33"/>
      <w:r>
        <w:t xml:space="preserve">11. </w:t>
      </w:r>
      <w:r>
        <w:tab/>
        <w:t>Kormos RL, Cowger J, Pagani FD, Teuteberg JJ, Goldstein DJ</w:t>
      </w:r>
      <w:r>
        <w:t>, Jacobs JP, et al. The society of thoracic surgeons INTERMACS database annual report: Evolving indications, outcomes, and scientific partnerships. The Journal of Heart and Lung Transplantation 2019;38:114–126.</w:t>
      </w:r>
    </w:p>
    <w:p w:rsidR="00BF033B" w:rsidRDefault="00B20113">
      <w:pPr>
        <w:pStyle w:val="Bibliography"/>
      </w:pPr>
      <w:bookmarkStart w:id="35" w:name="ref-Adamo950"/>
      <w:bookmarkEnd w:id="34"/>
      <w:r>
        <w:t xml:space="preserve">12. </w:t>
      </w:r>
      <w:r>
        <w:tab/>
        <w:t>Adamo L, Tang Y, Nassif ME, Novak E, Jon</w:t>
      </w:r>
      <w:r>
        <w:t>es PG, LaRue S, et al. The HeartMate risk score identifies patients with similar mortality risk across all INTERMACS profiles in a large multicenter analysis. JACC: Heart Failure 2016;4:950–958. doi:</w:t>
      </w:r>
      <w:hyperlink r:id="rId16">
        <w:r>
          <w:rPr>
            <w:rStyle w:val="Hyperlink"/>
          </w:rPr>
          <w:t>10.1016/j.jchf.2016.07.014</w:t>
        </w:r>
      </w:hyperlink>
      <w:r>
        <w:t>.</w:t>
      </w:r>
    </w:p>
    <w:p w:rsidR="00BF033B" w:rsidRDefault="00B20113">
      <w:pPr>
        <w:pStyle w:val="Bibliography"/>
      </w:pPr>
      <w:bookmarkStart w:id="36" w:name="ref-rubin2004multiple"/>
      <w:bookmarkEnd w:id="35"/>
      <w:r>
        <w:lastRenderedPageBreak/>
        <w:t xml:space="preserve">13. </w:t>
      </w:r>
      <w:r>
        <w:tab/>
        <w:t>Rubin DB. Multiple imputation for nonresponse in surveys. vol. 81. John Wiley &amp; Sons; 2004.</w:t>
      </w:r>
    </w:p>
    <w:p w:rsidR="00BF033B" w:rsidRDefault="00B20113">
      <w:pPr>
        <w:pStyle w:val="Bibliography"/>
      </w:pPr>
      <w:bookmarkStart w:id="37" w:name="ref-van2018flexible"/>
      <w:bookmarkEnd w:id="36"/>
      <w:r>
        <w:t xml:space="preserve">14. </w:t>
      </w:r>
      <w:r>
        <w:tab/>
        <w:t>Van Buuren S. Flexible imputation of missing data. Chapman; Hall/CRC; 2018. doi:</w:t>
      </w:r>
      <w:hyperlink r:id="rId17">
        <w:r>
          <w:rPr>
            <w:rStyle w:val="Hyperlink"/>
          </w:rPr>
          <w:t>10.1201/b11826</w:t>
        </w:r>
      </w:hyperlink>
      <w:r>
        <w:t>.</w:t>
      </w:r>
    </w:p>
    <w:p w:rsidR="00BF033B" w:rsidRDefault="00B20113">
      <w:pPr>
        <w:pStyle w:val="Bibliography"/>
      </w:pPr>
      <w:bookmarkStart w:id="38" w:name="ref-sterne2009multiple"/>
      <w:bookmarkEnd w:id="37"/>
      <w:r>
        <w:t xml:space="preserve">15. </w:t>
      </w:r>
      <w:r>
        <w:tab/>
        <w:t>Sterne JA, White IR, Carlin JB, Spratt M, Royston P, Kenward MG, et al. Multiple imputation for missing data in epidemiological and clinical research: Potential and pitfalls. Bmj 2009;338.</w:t>
      </w:r>
    </w:p>
    <w:p w:rsidR="00BF033B" w:rsidRDefault="00B20113">
      <w:pPr>
        <w:pStyle w:val="Bibliography"/>
      </w:pPr>
      <w:bookmarkStart w:id="39" w:name="ref-van2020rebutting"/>
      <w:bookmarkEnd w:id="38"/>
      <w:r>
        <w:t xml:space="preserve">16. </w:t>
      </w:r>
      <w:r>
        <w:tab/>
        <w:t xml:space="preserve">Ginkel JR van, Linting M, Rippe </w:t>
      </w:r>
      <w:r>
        <w:t>RC, Voort A van der. Rebutting existing misconceptions about multiple imputation as a method for handling missing data. Journal of Personality Assessment 2020;102:297–308.</w:t>
      </w:r>
    </w:p>
    <w:p w:rsidR="00BF033B" w:rsidRDefault="00B20113">
      <w:pPr>
        <w:pStyle w:val="Bibliography"/>
      </w:pPr>
      <w:bookmarkStart w:id="40" w:name="ref-hastie2009elements"/>
      <w:bookmarkEnd w:id="39"/>
      <w:r>
        <w:t xml:space="preserve">17. </w:t>
      </w:r>
      <w:r>
        <w:tab/>
        <w:t xml:space="preserve">Hastie T, Tibshirani R, Friedman J. The elements of statistical learning: Data </w:t>
      </w:r>
      <w:r>
        <w:t>mining, inference, and prediction. Springer Science &amp; Business Media; 2009.</w:t>
      </w:r>
    </w:p>
    <w:p w:rsidR="00BF033B" w:rsidRDefault="00B20113">
      <w:pPr>
        <w:pStyle w:val="Bibliography"/>
      </w:pPr>
      <w:bookmarkStart w:id="41" w:name="ref-kuhn2019feature"/>
      <w:bookmarkEnd w:id="40"/>
      <w:r>
        <w:t xml:space="preserve">18. </w:t>
      </w:r>
      <w:r>
        <w:tab/>
        <w:t>Kuhn M, Johnson K. Feature engineering and selection: A practical approach for predictive models. CRC Press; 2019.</w:t>
      </w:r>
    </w:p>
    <w:p w:rsidR="00BF033B" w:rsidRDefault="00B20113">
      <w:pPr>
        <w:pStyle w:val="Bibliography"/>
      </w:pPr>
      <w:bookmarkStart w:id="42" w:name="ref-jerez2010missing"/>
      <w:bookmarkEnd w:id="41"/>
      <w:r>
        <w:t xml:space="preserve">19. </w:t>
      </w:r>
      <w:r>
        <w:tab/>
      </w:r>
      <w:r>
        <w:t>Jerez JM, Molina I, Garcı́a-Laencina PJ, Alba E, Ribelles N, Martı́n M, et al. Missing data imputation using statistical and machine learning methods in a real breast cancer problem. Artificial Intelligence in Medicine 2010;50:105–115.</w:t>
      </w:r>
    </w:p>
    <w:p w:rsidR="00BF033B" w:rsidRDefault="00B20113">
      <w:pPr>
        <w:pStyle w:val="Bibliography"/>
      </w:pPr>
      <w:bookmarkStart w:id="43" w:name="ref-josse2019consistency"/>
      <w:bookmarkEnd w:id="42"/>
      <w:r>
        <w:t xml:space="preserve">20. </w:t>
      </w:r>
      <w:r>
        <w:tab/>
        <w:t xml:space="preserve">Josse J, Prost </w:t>
      </w:r>
      <w:r>
        <w:t>N, Scornet E, Varoquaux G. On the consistency of supervised learning with missing values. arXiv Preprint arXiv:190206931 2019.</w:t>
      </w:r>
    </w:p>
    <w:p w:rsidR="00BF033B" w:rsidRDefault="00B20113">
      <w:pPr>
        <w:pStyle w:val="Bibliography"/>
      </w:pPr>
      <w:bookmarkStart w:id="44" w:name="ref-thomas2014pre"/>
      <w:bookmarkEnd w:id="43"/>
      <w:r>
        <w:t xml:space="preserve">21. </w:t>
      </w:r>
      <w:r>
        <w:tab/>
        <w:t>Thomas SS, Nahumi N, Han J, Lippel M, Colombo P, Yuzefpolskaya M, et al. Pre-operative mortality risk assessment in patients</w:t>
      </w:r>
      <w:r>
        <w:t xml:space="preserve"> with continuous-flow left ventricular assist devices: Application of the HeartMate II risk score. The Journal of Heart and Lung Transplantation 2014;33:675–681.</w:t>
      </w:r>
    </w:p>
    <w:p w:rsidR="00BF033B" w:rsidRDefault="00B20113">
      <w:pPr>
        <w:pStyle w:val="Bibliography"/>
      </w:pPr>
      <w:bookmarkStart w:id="45" w:name="ref-azur2011multiple"/>
      <w:bookmarkEnd w:id="44"/>
      <w:r>
        <w:t xml:space="preserve">22. </w:t>
      </w:r>
      <w:r>
        <w:tab/>
        <w:t xml:space="preserve">Azur MJ, Stuart EA, Frangakis C, Leaf PJ. Multiple imputation by chained equations: What </w:t>
      </w:r>
      <w:r>
        <w:t>is it and how does it work? International Journal of Methods in Psychiatric Research 2011;20:40–49. doi:</w:t>
      </w:r>
      <w:hyperlink r:id="rId18">
        <w:r>
          <w:rPr>
            <w:rStyle w:val="Hyperlink"/>
          </w:rPr>
          <w:t>10.1002/mpr.329</w:t>
        </w:r>
      </w:hyperlink>
      <w:r>
        <w:t>.</w:t>
      </w:r>
    </w:p>
    <w:p w:rsidR="00BF033B" w:rsidRDefault="00B20113">
      <w:pPr>
        <w:pStyle w:val="Bibliography"/>
      </w:pPr>
      <w:bookmarkStart w:id="46" w:name="ref-van2006fully"/>
      <w:bookmarkEnd w:id="45"/>
      <w:r>
        <w:t xml:space="preserve">23. </w:t>
      </w:r>
      <w:r>
        <w:tab/>
        <w:t>Van Buuren S, Brand JP, Groothuis-Oudshoorn CG, Rubin DB. Fully conditional spe</w:t>
      </w:r>
      <w:r>
        <w:t>cification in multivariate imputation. Journal of Statistical Computation and Simulation 2006;76:1049–1064. doi:</w:t>
      </w:r>
      <w:hyperlink r:id="rId19">
        <w:r>
          <w:rPr>
            <w:rStyle w:val="Hyperlink"/>
          </w:rPr>
          <w:t>https://doi.org/10.1080/10629360600810434</w:t>
        </w:r>
      </w:hyperlink>
      <w:r>
        <w:t>.</w:t>
      </w:r>
    </w:p>
    <w:p w:rsidR="00BF033B" w:rsidRDefault="00B20113">
      <w:pPr>
        <w:pStyle w:val="Bibliography"/>
      </w:pPr>
      <w:bookmarkStart w:id="47" w:name="ref-landerman1997empirical"/>
      <w:bookmarkEnd w:id="46"/>
      <w:r>
        <w:t xml:space="preserve">24. </w:t>
      </w:r>
      <w:r>
        <w:tab/>
        <w:t>Landerman LR, Land KC, Pieper CF. A</w:t>
      </w:r>
      <w:r>
        <w:t>n empirical evaluation of the predictive mean matching method for imputing missing values. Sociological Methods &amp; Research 1997;26:3–33. doi:</w:t>
      </w:r>
      <w:hyperlink r:id="rId20">
        <w:r>
          <w:rPr>
            <w:rStyle w:val="Hyperlink"/>
          </w:rPr>
          <w:t>https://doi.org/10.1177/0049124197026001001</w:t>
        </w:r>
      </w:hyperlink>
      <w:r>
        <w:t>.</w:t>
      </w:r>
    </w:p>
    <w:p w:rsidR="00BF033B" w:rsidRDefault="00B20113">
      <w:pPr>
        <w:pStyle w:val="Bibliography"/>
      </w:pPr>
      <w:bookmarkStart w:id="48" w:name="ref-chen2000nearest"/>
      <w:bookmarkEnd w:id="47"/>
      <w:r>
        <w:t xml:space="preserve">25. </w:t>
      </w:r>
      <w:r>
        <w:tab/>
      </w:r>
      <w:r>
        <w:t>Chen J, Shao J. Nearest neighbor imputation for survey data. Journal of Official Statistics 2000;16:113.</w:t>
      </w:r>
    </w:p>
    <w:p w:rsidR="00BF033B" w:rsidRDefault="00B20113">
      <w:pPr>
        <w:pStyle w:val="Bibliography"/>
      </w:pPr>
      <w:bookmarkStart w:id="49" w:name="ref-gower"/>
      <w:bookmarkEnd w:id="48"/>
      <w:r>
        <w:t xml:space="preserve">26. </w:t>
      </w:r>
      <w:r>
        <w:tab/>
        <w:t>Gower JC. A general coefficient of similarity and some of its properties. Biometrics 1971;27:857–871.</w:t>
      </w:r>
    </w:p>
    <w:p w:rsidR="00BF033B" w:rsidRDefault="00B20113">
      <w:pPr>
        <w:pStyle w:val="Bibliography"/>
      </w:pPr>
      <w:bookmarkStart w:id="50" w:name="ref-andridge2010hotdeck"/>
      <w:bookmarkEnd w:id="49"/>
      <w:r>
        <w:lastRenderedPageBreak/>
        <w:t xml:space="preserve">27. </w:t>
      </w:r>
      <w:r>
        <w:tab/>
        <w:t>Andridge RR, Little RJ. A review of hot</w:t>
      </w:r>
      <w:r>
        <w:t xml:space="preserve"> deck imputation for survey non-response. International Statistical Review 2010;78:40–64. doi:</w:t>
      </w:r>
      <w:hyperlink r:id="rId21">
        <w:r>
          <w:rPr>
            <w:rStyle w:val="Hyperlink"/>
          </w:rPr>
          <w:t>https://doi.org/10.1111/j.1751-5823.2010.00103.x</w:t>
        </w:r>
      </w:hyperlink>
      <w:r>
        <w:t>.</w:t>
      </w:r>
    </w:p>
    <w:p w:rsidR="00BF033B" w:rsidRDefault="00B20113">
      <w:pPr>
        <w:pStyle w:val="Bibliography"/>
      </w:pPr>
      <w:bookmarkStart w:id="51" w:name="ref-Breiman2001"/>
      <w:bookmarkEnd w:id="50"/>
      <w:r>
        <w:t xml:space="preserve">28. </w:t>
      </w:r>
      <w:r>
        <w:tab/>
        <w:t>Breiman L. Random forests. Machine Lear</w:t>
      </w:r>
      <w:r>
        <w:t>ning 2001;45:5–32. doi:</w:t>
      </w:r>
      <w:hyperlink r:id="rId22">
        <w:r>
          <w:rPr>
            <w:rStyle w:val="Hyperlink"/>
          </w:rPr>
          <w:t>10.1023/A:1010933404324</w:t>
        </w:r>
      </w:hyperlink>
      <w:r>
        <w:t>.</w:t>
      </w:r>
    </w:p>
    <w:p w:rsidR="00BF033B" w:rsidRDefault="00B20113">
      <w:pPr>
        <w:pStyle w:val="Bibliography"/>
      </w:pPr>
      <w:bookmarkStart w:id="52" w:name="ref-hothorn2006survival"/>
      <w:bookmarkEnd w:id="51"/>
      <w:r>
        <w:t xml:space="preserve">29. </w:t>
      </w:r>
      <w:r>
        <w:tab/>
        <w:t>Hothorn T, Buehlmann P, Dudoit S, Molinaro A, Van Der Laan M. Survival ensembles. Biostatistics 2006;7:355–373. doi:</w:t>
      </w:r>
      <w:hyperlink r:id="rId23">
        <w:r>
          <w:rPr>
            <w:rStyle w:val="Hyperlink"/>
          </w:rPr>
          <w:t>https://doi.org/10.1093/biostatistics/kxj011</w:t>
        </w:r>
      </w:hyperlink>
      <w:r>
        <w:t>.</w:t>
      </w:r>
    </w:p>
    <w:p w:rsidR="00BF033B" w:rsidRDefault="00B20113">
      <w:pPr>
        <w:pStyle w:val="Bibliography"/>
      </w:pPr>
      <w:bookmarkStart w:id="53" w:name="ref-strobl2007bias"/>
      <w:bookmarkEnd w:id="52"/>
      <w:r>
        <w:t xml:space="preserve">30. </w:t>
      </w:r>
      <w:r>
        <w:tab/>
        <w:t>Strobl C, Boulesteix A-L, Zeileis A, Hothorn T. Bias in random forest variable importance measures: Illustrations, sources and a solution. BMC Bioinformatics 2007;8.</w:t>
      </w:r>
    </w:p>
    <w:p w:rsidR="00BF033B" w:rsidRDefault="00B20113">
      <w:pPr>
        <w:pStyle w:val="Bibliography"/>
      </w:pPr>
      <w:bookmarkStart w:id="54" w:name="ref-strobl2008conditional"/>
      <w:bookmarkEnd w:id="53"/>
      <w:r>
        <w:t>31.</w:t>
      </w:r>
      <w:r>
        <w:t xml:space="preserve"> </w:t>
      </w:r>
      <w:r>
        <w:tab/>
        <w:t>Strobl C, Boulesteix A-L, Kneib T, Augustin T, Zeileis A. Conditional variable importance for random forests. BMC Bioinformatics 2008;9.</w:t>
      </w:r>
    </w:p>
    <w:p w:rsidR="00BF033B" w:rsidRDefault="00B20113">
      <w:pPr>
        <w:pStyle w:val="Bibliography"/>
      </w:pPr>
      <w:bookmarkStart w:id="55" w:name="ref-ishwaran2008random"/>
      <w:bookmarkEnd w:id="54"/>
      <w:r>
        <w:t xml:space="preserve">32. </w:t>
      </w:r>
      <w:r>
        <w:tab/>
        <w:t>Ishwaran H, Kogalur UB, Blackstone EH, Lauer MS, others. Random survival forests. The Annals of Applied Statisti</w:t>
      </w:r>
      <w:r>
        <w:t>cs 2008;2:841–860.</w:t>
      </w:r>
    </w:p>
    <w:p w:rsidR="00BF033B" w:rsidRDefault="00B20113">
      <w:pPr>
        <w:pStyle w:val="Bibliography"/>
      </w:pPr>
      <w:bookmarkStart w:id="56" w:name="ref-jaeger2019oblique"/>
      <w:bookmarkEnd w:id="55"/>
      <w:r>
        <w:t xml:space="preserve">33. </w:t>
      </w:r>
      <w:r>
        <w:tab/>
        <w:t>Jaeger BC, Long DL, Long DM, Sims M, Szychowski JM, Min Y-I, et al. Oblique random survival forests. The Annals of Applied Statistics 2019;13:1847–1883.</w:t>
      </w:r>
    </w:p>
    <w:p w:rsidR="00BF033B" w:rsidRDefault="00B20113">
      <w:pPr>
        <w:pStyle w:val="Bibliography"/>
      </w:pPr>
      <w:bookmarkStart w:id="57" w:name="ref-twala2009empirical"/>
      <w:bookmarkEnd w:id="56"/>
      <w:r>
        <w:t xml:space="preserve">34. </w:t>
      </w:r>
      <w:r>
        <w:tab/>
        <w:t>Twala B. An empirical comparison of techniques for handling incomplete dat</w:t>
      </w:r>
      <w:r>
        <w:t>a using decision trees. Applied Artificial Intelligence 2009;23:373–405.</w:t>
      </w:r>
    </w:p>
    <w:p w:rsidR="00BF033B" w:rsidRDefault="00B20113">
      <w:pPr>
        <w:pStyle w:val="Bibliography"/>
      </w:pPr>
      <w:bookmarkStart w:id="58" w:name="ref-ding2010investigation"/>
      <w:bookmarkEnd w:id="57"/>
      <w:r>
        <w:t xml:space="preserve">35. </w:t>
      </w:r>
      <w:r>
        <w:tab/>
        <w:t>Ding Y, Simonoff JS. An investigation of missing data methods for classification trees applied to binary response data. Journal of Machine Learning Research 2010;11:131–170.</w:t>
      </w:r>
    </w:p>
    <w:p w:rsidR="00BF033B" w:rsidRDefault="00B20113">
      <w:pPr>
        <w:pStyle w:val="Bibliography"/>
      </w:pPr>
      <w:bookmarkStart w:id="59" w:name="ref-james2013introduction"/>
      <w:bookmarkEnd w:id="58"/>
      <w:r>
        <w:t xml:space="preserve">36. </w:t>
      </w:r>
      <w:r>
        <w:tab/>
        <w:t>James G, Witten D, Hastie T, Tibshirani R. An introduction to statistical learning. vol. 112. Springer; 2013.</w:t>
      </w:r>
    </w:p>
    <w:p w:rsidR="00BF033B" w:rsidRDefault="00B20113">
      <w:pPr>
        <w:pStyle w:val="Bibliography"/>
      </w:pPr>
      <w:bookmarkStart w:id="60" w:name="ref-kleinbaum2010survival"/>
      <w:bookmarkEnd w:id="59"/>
      <w:r>
        <w:t xml:space="preserve">37. </w:t>
      </w:r>
      <w:r>
        <w:tab/>
        <w:t>Kleinbaum DG, Klein M. Survival analysis. vol. 3. Springer; 2010. doi:</w:t>
      </w:r>
      <w:hyperlink r:id="rId24">
        <w:r>
          <w:rPr>
            <w:rStyle w:val="Hyperlink"/>
          </w:rPr>
          <w:t>https://d</w:t>
        </w:r>
        <w:r>
          <w:rPr>
            <w:rStyle w:val="Hyperlink"/>
          </w:rPr>
          <w:t>oi.org/10.1007/978-1-4419-6646-9</w:t>
        </w:r>
      </w:hyperlink>
      <w:r>
        <w:t>.</w:t>
      </w:r>
    </w:p>
    <w:p w:rsidR="00BF033B" w:rsidRDefault="00B20113">
      <w:pPr>
        <w:pStyle w:val="Bibliography"/>
      </w:pPr>
      <w:bookmarkStart w:id="61" w:name="ref-friedman2001greedy"/>
      <w:bookmarkEnd w:id="60"/>
      <w:r>
        <w:t xml:space="preserve">38. </w:t>
      </w:r>
      <w:r>
        <w:tab/>
        <w:t>Friedman JH. Greedy function approximation: A gradient boosting machine. Annals of Statistics 2001:1189–1232. doi:</w:t>
      </w:r>
      <w:hyperlink r:id="rId25">
        <w:r>
          <w:rPr>
            <w:rStyle w:val="Hyperlink"/>
          </w:rPr>
          <w:t>10.1214/aos/1013203451</w:t>
        </w:r>
      </w:hyperlink>
      <w:r>
        <w:t>.</w:t>
      </w:r>
    </w:p>
    <w:p w:rsidR="00BF033B" w:rsidRDefault="00B20113">
      <w:pPr>
        <w:pStyle w:val="Bibliography"/>
      </w:pPr>
      <w:bookmarkStart w:id="62" w:name="ref-chen2016xgboost"/>
      <w:bookmarkEnd w:id="61"/>
      <w:r>
        <w:t xml:space="preserve">39. </w:t>
      </w:r>
      <w:r>
        <w:tab/>
        <w:t>Chen T, Guestrin</w:t>
      </w:r>
      <w:r>
        <w:t xml:space="preserve"> C. XGBoost: A scalable tree boosting system. Proceedings of the 22Nd ACM SIGKDD international conference on knowledge discovery and data mining, New York, NY, USA: ACM; 2016, p. 785–794. doi:</w:t>
      </w:r>
      <w:hyperlink r:id="rId26">
        <w:r>
          <w:rPr>
            <w:rStyle w:val="Hyperlink"/>
          </w:rPr>
          <w:t>10.11</w:t>
        </w:r>
        <w:r>
          <w:rPr>
            <w:rStyle w:val="Hyperlink"/>
          </w:rPr>
          <w:t>45/2939672.2939785</w:t>
        </w:r>
      </w:hyperlink>
      <w:r>
        <w:t>.</w:t>
      </w:r>
    </w:p>
    <w:p w:rsidR="00BF033B" w:rsidRDefault="00B20113">
      <w:pPr>
        <w:pStyle w:val="Bibliography"/>
      </w:pPr>
      <w:bookmarkStart w:id="63" w:name="ref-graf1999assessment"/>
      <w:bookmarkEnd w:id="62"/>
      <w:r>
        <w:t xml:space="preserve">40. </w:t>
      </w:r>
      <w:r>
        <w:tab/>
        <w:t>Graf E, Schmoor C, Sauerbrei W, Schumacher M. Assessment and comparison of prognostic classification schemes for survival data. Statistics in Medicine 1999;18:2529–2545.</w:t>
      </w:r>
    </w:p>
    <w:p w:rsidR="00BF033B" w:rsidRDefault="00B20113">
      <w:pPr>
        <w:pStyle w:val="Bibliography"/>
      </w:pPr>
      <w:bookmarkStart w:id="64" w:name="ref-rufibach2010use"/>
      <w:bookmarkEnd w:id="63"/>
      <w:r>
        <w:t xml:space="preserve">41. </w:t>
      </w:r>
      <w:r>
        <w:tab/>
        <w:t>Rufibach K. Use of brier score to assess binary predicti</w:t>
      </w:r>
      <w:r>
        <w:t>ons. Journal of Clinical Epidemiology 2010;63:938–939. doi:</w:t>
      </w:r>
      <w:hyperlink r:id="rId27">
        <w:r>
          <w:rPr>
            <w:rStyle w:val="Hyperlink"/>
          </w:rPr>
          <w:t>https://doi.org/10.1016/j.jclinepi.2009.11.009</w:t>
        </w:r>
      </w:hyperlink>
      <w:r>
        <w:t>.</w:t>
      </w:r>
    </w:p>
    <w:p w:rsidR="00BF033B" w:rsidRDefault="00B20113">
      <w:pPr>
        <w:pStyle w:val="Bibliography"/>
      </w:pPr>
      <w:bookmarkStart w:id="65" w:name="ref-gerds2006consistent"/>
      <w:bookmarkEnd w:id="64"/>
      <w:r>
        <w:t xml:space="preserve">42. </w:t>
      </w:r>
      <w:r>
        <w:tab/>
        <w:t>Gerds TA, Schumacher M. Consistent estimation of the expected brier score in g</w:t>
      </w:r>
      <w:r>
        <w:t>eneral survival models with right-censored event times. Biometrical Journal 2006;48:1029–1040.</w:t>
      </w:r>
    </w:p>
    <w:p w:rsidR="00BF033B" w:rsidRDefault="00B20113">
      <w:pPr>
        <w:pStyle w:val="Bibliography"/>
      </w:pPr>
      <w:bookmarkStart w:id="66" w:name="ref-blackstone1986decomposition"/>
      <w:bookmarkEnd w:id="65"/>
      <w:r>
        <w:lastRenderedPageBreak/>
        <w:t xml:space="preserve">43. </w:t>
      </w:r>
      <w:r>
        <w:tab/>
        <w:t>Blackstone EH, Naftel DC, Turner Jr ME. The decomposition of time-varying hazard into phases, each incorporating a separate stream of concomitant informatio</w:t>
      </w:r>
      <w:r>
        <w:t>n. Journal of the American Statistical Association 1986;81:615–624.</w:t>
      </w:r>
    </w:p>
    <w:p w:rsidR="00BF033B" w:rsidRDefault="00B20113">
      <w:pPr>
        <w:pStyle w:val="Bibliography"/>
      </w:pPr>
      <w:bookmarkStart w:id="67" w:name="ref-gerds2014calibration"/>
      <w:bookmarkEnd w:id="66"/>
      <w:r>
        <w:t xml:space="preserve">44. </w:t>
      </w:r>
      <w:r>
        <w:tab/>
        <w:t>Gerds TA, Andersen PK, Kattan MW. Calibration plots for risk prediction models in the presence of competing risks. Statistics in Medicine 2014;33:3191–3203. doi:</w:t>
      </w:r>
      <w:hyperlink r:id="rId28">
        <w:r>
          <w:rPr>
            <w:rStyle w:val="Hyperlink"/>
          </w:rPr>
          <w:t>https://doi.org/10.1002/sim.6152</w:t>
        </w:r>
      </w:hyperlink>
      <w:r>
        <w:t>.</w:t>
      </w:r>
    </w:p>
    <w:p w:rsidR="00BF033B" w:rsidRDefault="00B20113">
      <w:pPr>
        <w:pStyle w:val="Bibliography"/>
      </w:pPr>
      <w:bookmarkStart w:id="68" w:name="ref-gerds2013estimating"/>
      <w:bookmarkEnd w:id="67"/>
      <w:r>
        <w:t xml:space="preserve">45. </w:t>
      </w:r>
      <w:r>
        <w:tab/>
        <w:t>Gerds TA, Kattan MW, Schumacher M, Yu C. Estimating a time-dependent concordance index for survival prediction models with covariate dependent censoring. Statistics in Medicine 2013;32:21</w:t>
      </w:r>
      <w:r>
        <w:t>73–2184. doi:</w:t>
      </w:r>
      <w:hyperlink r:id="rId29">
        <w:r>
          <w:rPr>
            <w:rStyle w:val="Hyperlink"/>
          </w:rPr>
          <w:t>10.1002/sim.5681</w:t>
        </w:r>
      </w:hyperlink>
      <w:r>
        <w:t>.</w:t>
      </w:r>
    </w:p>
    <w:p w:rsidR="00BF033B" w:rsidRDefault="00B20113">
      <w:pPr>
        <w:pStyle w:val="Bibliography"/>
      </w:pPr>
      <w:bookmarkStart w:id="69" w:name="ref-kuhn2013applied"/>
      <w:bookmarkEnd w:id="68"/>
      <w:r>
        <w:t xml:space="preserve">46. </w:t>
      </w:r>
      <w:r>
        <w:tab/>
        <w:t>Kuhn M, Johnson K. Applied predictive modeling. vol. 26. Springer; 2013. doi:</w:t>
      </w:r>
      <w:hyperlink r:id="rId30">
        <w:r>
          <w:rPr>
            <w:rStyle w:val="Hyperlink"/>
          </w:rPr>
          <w:t>10.1007/978-1-4614-6849-3</w:t>
        </w:r>
      </w:hyperlink>
      <w:r>
        <w:t>.</w:t>
      </w:r>
    </w:p>
    <w:p w:rsidR="00BF033B" w:rsidRDefault="00B20113">
      <w:pPr>
        <w:pStyle w:val="Bibliography"/>
      </w:pPr>
      <w:bookmarkStart w:id="70" w:name="ref-benavoli2017time"/>
      <w:bookmarkEnd w:id="69"/>
      <w:r>
        <w:t>47.</w:t>
      </w:r>
      <w:r>
        <w:t xml:space="preserve"> </w:t>
      </w:r>
      <w:r>
        <w:tab/>
        <w:t>Benavoli A, Corani G, Demšar J, Zaffalon M. Time for a change: A tutorial for comparing multiple classifiers through bayesian analysis. The Journal of Machine Learning Research 2017;18:2653–2688.</w:t>
      </w:r>
    </w:p>
    <w:p w:rsidR="00BF033B" w:rsidRDefault="00B20113">
      <w:pPr>
        <w:pStyle w:val="Bibliography"/>
      </w:pPr>
      <w:bookmarkStart w:id="71" w:name="ref-lex2014upset"/>
      <w:bookmarkEnd w:id="70"/>
      <w:r>
        <w:t xml:space="preserve">48. </w:t>
      </w:r>
      <w:r>
        <w:tab/>
        <w:t>Lex A, Gehlenborg N, Strobelt H, Vuillemot R, Pfister</w:t>
      </w:r>
      <w:r>
        <w:t xml:space="preserve"> H. UpSet: Visualization of intersecting sets. IEEE Transactions on Visualization and Computer Graphics 2014;20:1983–1992.</w:t>
      </w:r>
    </w:p>
    <w:p w:rsidR="00BF033B" w:rsidRDefault="00B20113">
      <w:pPr>
        <w:pStyle w:val="Bibliography"/>
      </w:pPr>
      <w:bookmarkStart w:id="72" w:name="ref-van1995python"/>
      <w:bookmarkEnd w:id="71"/>
      <w:r>
        <w:t xml:space="preserve">49. </w:t>
      </w:r>
      <w:r>
        <w:tab/>
        <w:t>Van Rossum G, Drake Jr FL. Python reference manual. Centrum voor Wiskunde en Informatica Amsterdam; 1995.</w:t>
      </w:r>
    </w:p>
    <w:p w:rsidR="00BF033B" w:rsidRDefault="00B20113">
      <w:pPr>
        <w:pStyle w:val="Bibliography"/>
      </w:pPr>
      <w:bookmarkStart w:id="73" w:name="ref-sas2013"/>
      <w:bookmarkEnd w:id="72"/>
      <w:r>
        <w:t xml:space="preserve">50. </w:t>
      </w:r>
      <w:r>
        <w:tab/>
        <w:t xml:space="preserve">2013 SIInc. SAS® </w:t>
      </w:r>
      <w:r>
        <w:t>9.4 statements: reference. Cary, NC: SAS Institute Inc; n.d.</w:t>
      </w:r>
    </w:p>
    <w:p w:rsidR="00BF033B" w:rsidRDefault="00B20113">
      <w:pPr>
        <w:pStyle w:val="Bibliography"/>
      </w:pPr>
      <w:bookmarkStart w:id="74" w:name="ref-drake"/>
      <w:bookmarkEnd w:id="73"/>
      <w:r>
        <w:t xml:space="preserve">51. </w:t>
      </w:r>
      <w:r>
        <w:tab/>
        <w:t>Landau WM. The drake r package: A pipeline toolkit for reproducibility and high-performance computing. Journal of Open Source Software 2018;3.</w:t>
      </w:r>
    </w:p>
    <w:p w:rsidR="00BF033B" w:rsidRDefault="00B20113">
      <w:pPr>
        <w:pStyle w:val="Bibliography"/>
      </w:pPr>
      <w:bookmarkStart w:id="75" w:name="ref-naniar"/>
      <w:bookmarkEnd w:id="74"/>
      <w:r>
        <w:t xml:space="preserve">52. </w:t>
      </w:r>
      <w:r>
        <w:tab/>
        <w:t>Tierney N, Cook D, McBain M, Fay C. Naniar</w:t>
      </w:r>
      <w:r>
        <w:t>: Data structures, summaries, and visualisations for missing data. 2020.</w:t>
      </w:r>
    </w:p>
    <w:p w:rsidR="00BF033B" w:rsidRDefault="00B20113">
      <w:pPr>
        <w:pStyle w:val="Bibliography"/>
      </w:pPr>
      <w:bookmarkStart w:id="76" w:name="ref-mice"/>
      <w:bookmarkEnd w:id="75"/>
      <w:r>
        <w:t xml:space="preserve">53. </w:t>
      </w:r>
      <w:r>
        <w:tab/>
        <w:t>van Buuren S, Groothuis-Oudshoorn K. mice: Multivariate imputation by chained equations in r. Journal of Statistical Software 2011;45:1–67.</w:t>
      </w:r>
    </w:p>
    <w:p w:rsidR="00BF033B" w:rsidRDefault="00B20113">
      <w:pPr>
        <w:pStyle w:val="Bibliography"/>
      </w:pPr>
      <w:bookmarkStart w:id="77" w:name="ref-miceRanger"/>
      <w:bookmarkEnd w:id="76"/>
      <w:r>
        <w:t xml:space="preserve">54. </w:t>
      </w:r>
      <w:r>
        <w:tab/>
        <w:t>Wilson S. miceRanger: Multiple im</w:t>
      </w:r>
      <w:r>
        <w:t>putation by chained equations with random forests. 2020.</w:t>
      </w:r>
    </w:p>
    <w:p w:rsidR="00BF033B" w:rsidRDefault="00B20113">
      <w:pPr>
        <w:pStyle w:val="Bibliography"/>
      </w:pPr>
      <w:bookmarkStart w:id="78" w:name="ref-table.glue"/>
      <w:bookmarkEnd w:id="77"/>
      <w:r>
        <w:t xml:space="preserve">55. </w:t>
      </w:r>
      <w:r>
        <w:tab/>
        <w:t>Jaeger BC. Table.glue: Make and apply customized rounding specifications for tables. n.d.</w:t>
      </w:r>
    </w:p>
    <w:p w:rsidR="00BF033B" w:rsidRDefault="00B20113">
      <w:pPr>
        <w:pStyle w:val="Bibliography"/>
      </w:pPr>
      <w:bookmarkStart w:id="79" w:name="ref-tidyverse"/>
      <w:bookmarkEnd w:id="78"/>
      <w:r>
        <w:t xml:space="preserve">56. </w:t>
      </w:r>
      <w:r>
        <w:tab/>
        <w:t>Wickham H, Averick M, Bryan J, Chang W, McGowan LD, François R, et al. Welcome to the tidyverse. Jo</w:t>
      </w:r>
      <w:r>
        <w:t>urnal of Open Source Software 2019;4:1686. doi:</w:t>
      </w:r>
      <w:hyperlink r:id="rId31">
        <w:r>
          <w:rPr>
            <w:rStyle w:val="Hyperlink"/>
          </w:rPr>
          <w:t>10.21105/joss.01686</w:t>
        </w:r>
      </w:hyperlink>
      <w:r>
        <w:t>.</w:t>
      </w:r>
    </w:p>
    <w:p w:rsidR="00BF033B" w:rsidRDefault="00B20113">
      <w:pPr>
        <w:pStyle w:val="Bibliography"/>
      </w:pPr>
      <w:bookmarkStart w:id="80" w:name="ref-rstanarm"/>
      <w:bookmarkEnd w:id="79"/>
      <w:r>
        <w:t xml:space="preserve">57. </w:t>
      </w:r>
      <w:r>
        <w:tab/>
        <w:t>Goodrich B, Gabry J, Ali I, Brilleman S. Rstanarm: Bayesian applied regression modeling via Stan. 2020.</w:t>
      </w:r>
    </w:p>
    <w:p w:rsidR="00BF033B" w:rsidRDefault="00B20113">
      <w:pPr>
        <w:pStyle w:val="Bibliography"/>
      </w:pPr>
      <w:bookmarkStart w:id="81" w:name="ref-tidybayes"/>
      <w:bookmarkEnd w:id="80"/>
      <w:r>
        <w:t xml:space="preserve">58. </w:t>
      </w:r>
      <w:r>
        <w:tab/>
        <w:t>Kay M. tidybayes: T</w:t>
      </w:r>
      <w:r>
        <w:t>idy data and geoms for Bayesian models. 2020. doi:</w:t>
      </w:r>
      <w:hyperlink r:id="rId32">
        <w:r>
          <w:rPr>
            <w:rStyle w:val="Hyperlink"/>
          </w:rPr>
          <w:t>10.5281/zenodo.1308151</w:t>
        </w:r>
      </w:hyperlink>
      <w:r>
        <w:t>.</w:t>
      </w:r>
    </w:p>
    <w:p w:rsidR="00BF033B" w:rsidRDefault="00B20113">
      <w:pPr>
        <w:pStyle w:val="Bibliography"/>
      </w:pPr>
      <w:bookmarkStart w:id="82" w:name="ref-survival"/>
      <w:bookmarkEnd w:id="81"/>
      <w:r>
        <w:lastRenderedPageBreak/>
        <w:t xml:space="preserve">59. </w:t>
      </w:r>
      <w:r>
        <w:tab/>
        <w:t>Therneau TM. A package for survival analysis in r. 2020.</w:t>
      </w:r>
    </w:p>
    <w:p w:rsidR="00BF033B" w:rsidRDefault="00B20113">
      <w:pPr>
        <w:pStyle w:val="Bibliography"/>
      </w:pPr>
      <w:bookmarkStart w:id="83" w:name="ref-tidymodels"/>
      <w:bookmarkEnd w:id="82"/>
      <w:r>
        <w:t xml:space="preserve">60. </w:t>
      </w:r>
      <w:r>
        <w:tab/>
        <w:t>Kuhn M, Wickham H. Tidymodels: A collection of packages f</w:t>
      </w:r>
      <w:r>
        <w:t>or modeling and machine learning using tidyverse principles. 2020.</w:t>
      </w:r>
    </w:p>
    <w:p w:rsidR="00BF033B" w:rsidRDefault="00B20113">
      <w:pPr>
        <w:pStyle w:val="Bibliography"/>
      </w:pPr>
      <w:bookmarkStart w:id="84" w:name="ref-riskRegression"/>
      <w:bookmarkEnd w:id="83"/>
      <w:r>
        <w:t xml:space="preserve">61. </w:t>
      </w:r>
      <w:r>
        <w:tab/>
        <w:t>Gerds TA, Ozenne B. riskRegression: Risk regression models and prediction scores for survival analysis with competing risks. 2020.</w:t>
      </w:r>
    </w:p>
    <w:p w:rsidR="00BF033B" w:rsidRDefault="00B20113">
      <w:pPr>
        <w:pStyle w:val="Bibliography"/>
      </w:pPr>
      <w:bookmarkStart w:id="85" w:name="ref-byron_2020_4247449"/>
      <w:bookmarkEnd w:id="84"/>
      <w:r>
        <w:t xml:space="preserve">62. </w:t>
      </w:r>
      <w:r>
        <w:tab/>
        <w:t xml:space="preserve">Jaeger BC. INTERMACS-missing-data. Available at </w:t>
      </w:r>
      <w:r>
        <w:t>https://github.com/bcjaeger/INTERMACS-missing-data. DOI: 10.5281/zenodo.4247449. Zenodo; 2020. doi:</w:t>
      </w:r>
      <w:hyperlink r:id="rId33">
        <w:r>
          <w:rPr>
            <w:rStyle w:val="Hyperlink"/>
          </w:rPr>
          <w:t>10.5281/zenodo.4247449</w:t>
        </w:r>
      </w:hyperlink>
      <w:r>
        <w:t>.</w:t>
      </w:r>
    </w:p>
    <w:p w:rsidR="00BF033B" w:rsidRDefault="00B20113">
      <w:pPr>
        <w:pStyle w:val="Bibliography"/>
      </w:pPr>
      <w:bookmarkStart w:id="86" w:name="ref-cheaha"/>
      <w:bookmarkEnd w:id="85"/>
      <w:r>
        <w:t xml:space="preserve">63. </w:t>
      </w:r>
      <w:r>
        <w:tab/>
        <w:t>Cheaha - UABgrid documentation. Available at https://docs.uabgrid.uab.</w:t>
      </w:r>
      <w:r>
        <w:t>edu/wiki/cheaha. Last accessed: 2020-11-03 n.d.</w:t>
      </w:r>
    </w:p>
    <w:p w:rsidR="00BF033B" w:rsidRDefault="00B20113">
      <w:pPr>
        <w:pStyle w:val="Bibliography"/>
      </w:pPr>
      <w:bookmarkStart w:id="87" w:name="ref-hassan2007regression"/>
      <w:bookmarkEnd w:id="86"/>
      <w:r>
        <w:t xml:space="preserve">64. </w:t>
      </w:r>
      <w:r>
        <w:tab/>
        <w:t>Hassan MM, Atiya AF, El-Gayar N, El-Fouly R. Regression in the presence missing data using ensemble methods. Neural networks, 2007. IJCNN 2007, IEEE; 2007, p. 1261–1265. doi:</w:t>
      </w:r>
      <w:hyperlink r:id="rId34">
        <w:r>
          <w:rPr>
            <w:rStyle w:val="Hyperlink"/>
          </w:rPr>
          <w:t>10.1109/IJCNN.2007.4371139</w:t>
        </w:r>
      </w:hyperlink>
      <w:r>
        <w:t>.</w:t>
      </w:r>
    </w:p>
    <w:p w:rsidR="00BF033B" w:rsidRDefault="00B20113">
      <w:pPr>
        <w:pStyle w:val="Bibliography"/>
      </w:pPr>
      <w:bookmarkStart w:id="88" w:name="ref-nanni2012classifier"/>
      <w:bookmarkEnd w:id="87"/>
      <w:r>
        <w:t xml:space="preserve">65. </w:t>
      </w:r>
      <w:r>
        <w:tab/>
        <w:t>Nanni L, Lumini A, Brahnam S. A classifier ensemble approach for the missing feature problem. Artificial Intelligence in Medicine 2012;55:37–50.</w:t>
      </w:r>
    </w:p>
    <w:p w:rsidR="00BF033B" w:rsidRDefault="00B20113">
      <w:pPr>
        <w:pStyle w:val="Bibliography"/>
      </w:pPr>
      <w:bookmarkStart w:id="89" w:name="ref-tutz2015improved"/>
      <w:bookmarkEnd w:id="88"/>
      <w:r>
        <w:t xml:space="preserve">66. </w:t>
      </w:r>
      <w:r>
        <w:tab/>
        <w:t>Tutz G, Ramzan S. Improved methods for t</w:t>
      </w:r>
      <w:r>
        <w:t>he imputation of missing data by nearest neighbor methods. Computational Statistics &amp; Data Analysis 2015;90:84–99.</w:t>
      </w:r>
    </w:p>
    <w:p w:rsidR="00BF033B" w:rsidRDefault="00B20113">
      <w:pPr>
        <w:pStyle w:val="Bibliography"/>
      </w:pPr>
      <w:bookmarkStart w:id="90" w:name="ref-little2013joys"/>
      <w:bookmarkEnd w:id="89"/>
      <w:r>
        <w:t xml:space="preserve">67. </w:t>
      </w:r>
      <w:r>
        <w:tab/>
        <w:t>Little TD, Jorgensen TD, Lang KM, Moore EWG. On the joys of missing data. Journal of Pediatric Psychology 2013;39:151–162.</w:t>
      </w:r>
    </w:p>
    <w:p w:rsidR="00BF033B" w:rsidRDefault="00B20113">
      <w:pPr>
        <w:pStyle w:val="Bibliography"/>
      </w:pPr>
      <w:bookmarkStart w:id="91" w:name="ref-steele2018machine"/>
      <w:bookmarkEnd w:id="90"/>
      <w:r>
        <w:t xml:space="preserve">68. </w:t>
      </w:r>
      <w:r>
        <w:tab/>
        <w:t>Steele A</w:t>
      </w:r>
      <w:r>
        <w:t>J, Denaxas SC, Shah AD, Hemingway H, Luscombe NM. Machine learning models in electronic health records can outperform conventional survival models for predicting patient mortality in coronary artery disease. PloS One 2018;13:e0202344.</w:t>
      </w:r>
      <w:bookmarkEnd w:id="22"/>
      <w:bookmarkEnd w:id="24"/>
      <w:bookmarkEnd w:id="91"/>
    </w:p>
    <w:sectPr w:rsidR="00BF033B" w:rsidSect="0061025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13" w:rsidRDefault="00B20113">
      <w:pPr>
        <w:spacing w:after="0"/>
      </w:pPr>
      <w:r>
        <w:separator/>
      </w:r>
    </w:p>
  </w:endnote>
  <w:endnote w:type="continuationSeparator" w:id="0">
    <w:p w:rsidR="00B20113" w:rsidRDefault="00B20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20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B20113">
        <w:pPr>
          <w:pStyle w:val="Footer"/>
        </w:pPr>
        <w:r>
          <w:fldChar w:fldCharType="begin"/>
        </w:r>
        <w:r>
          <w:instrText xml:space="preserve"> PAGE   \* MERGEFORMAT </w:instrText>
        </w:r>
        <w:r>
          <w:fldChar w:fldCharType="separate"/>
        </w:r>
        <w:r w:rsidR="009619AF">
          <w:rPr>
            <w:noProof/>
          </w:rPr>
          <w:t>1</w:t>
        </w:r>
        <w:r>
          <w:rPr>
            <w:noProof/>
          </w:rPr>
          <w:fldChar w:fldCharType="end"/>
        </w:r>
      </w:p>
    </w:sdtContent>
  </w:sdt>
  <w:p w:rsidR="00314C34" w:rsidRDefault="00B201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20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13" w:rsidRDefault="00B20113">
      <w:r>
        <w:separator/>
      </w:r>
    </w:p>
  </w:footnote>
  <w:footnote w:type="continuationSeparator" w:id="0">
    <w:p w:rsidR="00B20113" w:rsidRDefault="00B20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20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201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B20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4101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A6A04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84D58"/>
    <w:rsid w:val="008C156F"/>
    <w:rsid w:val="008D6863"/>
    <w:rsid w:val="009619AF"/>
    <w:rsid w:val="00B20113"/>
    <w:rsid w:val="00B86B75"/>
    <w:rsid w:val="00BC48D5"/>
    <w:rsid w:val="00BF033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1581"/>
  <w15:docId w15:val="{8E03BE10-5751-478E-ACC7-FD9B5B76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cision.heart.org/" TargetMode="External"/><Relationship Id="rId13" Type="http://schemas.openxmlformats.org/officeDocument/2006/relationships/image" Target="media/image3.png"/><Relationship Id="rId18" Type="http://schemas.openxmlformats.org/officeDocument/2006/relationships/hyperlink" Target="https://doi.org/10.1002/mpr.329" TargetMode="External"/><Relationship Id="rId26" Type="http://schemas.openxmlformats.org/officeDocument/2006/relationships/hyperlink" Target="https://doi.org/10.1145/2939672.2939785"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111/j.1751-5823.2010.00103.x" TargetMode="External"/><Relationship Id="rId34" Type="http://schemas.openxmlformats.org/officeDocument/2006/relationships/hyperlink" Target="https://doi.org/10.1109/IJCNN.2007.4371139" TargetMode="External"/><Relationship Id="rId42" Type="http://schemas.openxmlformats.org/officeDocument/2006/relationships/theme" Target="theme/theme1.xml"/><Relationship Id="rId7" Type="http://schemas.openxmlformats.org/officeDocument/2006/relationships/hyperlink" Target="https://biolincc.nhlbi.nih.gov/studies/intermacs/" TargetMode="External"/><Relationship Id="rId12" Type="http://schemas.openxmlformats.org/officeDocument/2006/relationships/image" Target="media/image2.png"/><Relationship Id="rId17" Type="http://schemas.openxmlformats.org/officeDocument/2006/relationships/hyperlink" Target="https://doi.org/10.1201/b11826" TargetMode="External"/><Relationship Id="rId25" Type="http://schemas.openxmlformats.org/officeDocument/2006/relationships/hyperlink" Target="https://doi.org/10.1214/aos/1013203451" TargetMode="External"/><Relationship Id="rId33" Type="http://schemas.openxmlformats.org/officeDocument/2006/relationships/hyperlink" Target="https://doi.org/10.5281/zenodo.424744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jchf.2016.07.014" TargetMode="External"/><Relationship Id="rId20" Type="http://schemas.openxmlformats.org/officeDocument/2006/relationships/hyperlink" Target="https://doi.org/10.1177/0049124197026001001" TargetMode="External"/><Relationship Id="rId29" Type="http://schemas.openxmlformats.org/officeDocument/2006/relationships/hyperlink" Target="https://doi.org/10.1002/sim.568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07/978-1-4419-6646-9" TargetMode="External"/><Relationship Id="rId32" Type="http://schemas.openxmlformats.org/officeDocument/2006/relationships/hyperlink" Target="https://doi.org/10.5281/zenodo.130815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ncbi.nlm.nih.gov/pubmed/28942782" TargetMode="External"/><Relationship Id="rId23" Type="http://schemas.openxmlformats.org/officeDocument/2006/relationships/hyperlink" Target="https://doi.org/10.1093/biostatistics/kxj011" TargetMode="External"/><Relationship Id="rId28" Type="http://schemas.openxmlformats.org/officeDocument/2006/relationships/hyperlink" Target="https://doi.org/10.1002/sim.6152" TargetMode="External"/><Relationship Id="rId36" Type="http://schemas.openxmlformats.org/officeDocument/2006/relationships/header" Target="header2.xml"/><Relationship Id="rId10" Type="http://schemas.openxmlformats.org/officeDocument/2006/relationships/hyperlink" Target="https://github.com/bcjaeger/INTERMACS-missing-data" TargetMode="External"/><Relationship Id="rId19" Type="http://schemas.openxmlformats.org/officeDocument/2006/relationships/hyperlink" Target="https://doi.org/10.1080/10629360600810434" TargetMode="External"/><Relationship Id="rId31"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yperlink" Target="https://github.com/bcjaeger/INTERMACS-missing-data" TargetMode="External"/><Relationship Id="rId14" Type="http://schemas.openxmlformats.org/officeDocument/2006/relationships/image" Target="media/image4.png"/><Relationship Id="rId22" Type="http://schemas.openxmlformats.org/officeDocument/2006/relationships/hyperlink" Target="https://doi.org/10.1023/A:1010933404324" TargetMode="External"/><Relationship Id="rId27" Type="http://schemas.openxmlformats.org/officeDocument/2006/relationships/hyperlink" Target="https://doi.org/10.1016/j.jclinepi.2009.11.009" TargetMode="External"/><Relationship Id="rId30" Type="http://schemas.openxmlformats.org/officeDocument/2006/relationships/hyperlink" Target="https://doi.org/10.1007/978-1-4614-6849-3"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11767</Words>
  <Characters>67078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Improving Outcome Predictions for Patients Receiving Mechanical Circulatory Support by Optimizing Imputation of Missing Values</vt:lpstr>
    </vt:vector>
  </TitlesOfParts>
  <Company/>
  <LinksUpToDate>false</LinksUpToDate>
  <CharactersWithSpaces>78688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Outcome Predictions for Patients Receiving Mechanical Circulatory Support by Optimizing Imputation of Missing Values</dc:title>
  <dc:creator/>
  <cp:keywords/>
  <cp:lastModifiedBy>Byron Jaeger</cp:lastModifiedBy>
  <cp:revision>3</cp:revision>
  <dcterms:created xsi:type="dcterms:W3CDTF">2020-12-16T16:14:00Z</dcterms:created>
  <dcterms:modified xsi:type="dcterms:W3CDTF">2020-12-16T16:32:00Z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ccqo.csl</vt:lpwstr>
  </property>
  <property fmtid="{D5CDD505-2E9C-101B-9397-08002B2CF9AE}" pid="4" name="output">
    <vt:lpwstr/>
  </property>
</Properties>
</file>