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3,012)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3,795)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1,420)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1,703)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1,236)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(49.0, 50.7)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(48.8, 50.5)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(53.3, 54.8)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(58.3, 59.4)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gender,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</w:tr>
      <w:tr>
        <w:trPr>
          <w:trHeight w:val="360" w:hRule="auto"/>
        </w:trPr>
        body 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(192, 196)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(196, 201)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(200, 205)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(205, 211)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(191, 196)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(54.9, 56.4)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(52.3, 54.3)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(51.6, 53.1)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(147, 152)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(139, 143)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(6.0, 6.1)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(98.3, 100)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(94.4, 96.9)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(94.9, 97.4)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(91.9, 94.6)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(85.5, 87.2)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(8.0, 8.9)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(130, 132)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(71, 72)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(73, 74)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(10.9, 11.6)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3.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(60.7, 63.3)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(1.92 3.22)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(2.07, 3.32)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(67.7, 83.8)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(60.8, 83.5)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(0.49 1.58)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(1.07, 3.30)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(62.7, 78.4)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(48.6, 79.7)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(0.45 2.15)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(0.81, 2.71)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(0.42 2.46)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(0.96, 2.91)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(8.8, 19.9)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(6.9, 24.4)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(0.57 1.96)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(1.34, 3.54)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(21.7, 35.4)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(10.0, 33.0)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(1.82, 5.12)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(153, 166)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(135, 154)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(0.89, 1.17)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(10.8, 23.4)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(9.6, 25.5)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(0.44, 1.14)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(12.6, 27.1)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(25.1, 55.7)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(1.12 4.04)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(1.80, 3.72)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(6.4, 22.8)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(12.2, 32.7)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(0.81 3.02)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(0.85, 1.93)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(18.8, 37.8)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(36.9, 67.0)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(1.23 4.09)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(1.50, 3.20)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(1.17 3.47)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(0.70, 1.96)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(74, 77)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(68, 74)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(0.94, 1.16)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(22.4, 23.7)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(44.7, 44.7)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(49.8, 59.0)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(24.8, 30.5)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(31.0, 34.8)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(36.6, 38.5)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(37.3, 39.6)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(35.8, 55.4)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(47.3, 53.2)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(51.7, 59.9)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(52.1, 55.9)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(20.8, 21.9)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(21.4, 22.7)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(39.8, 41.4)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(45.2, 49.0)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(42.3, 45.4)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(24.3, 29.9)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(29.8, 31.5)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(29.3, 33.2)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(33.1, 35.4)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(32.7, 34.5)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(37.5, 46.8)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(36.2, 43.5)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(40.1, 46.6)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(43.8, 50.2)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(44.6, 47.1)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(22.3, 23.6)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(39.1, 53.1)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(24.6, 31.2)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(31.7, 37.8)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(36.4, 38.4)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(36.7, 39.1)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(56.9, 56.9)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(42.1, 58.7)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(51.8, 59.7)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(50.2, 53.9)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r>
        <w:br w:type="page"/>
      </w:r>
    </w:p>
    <w:p>
      <w:pPr>
        <w:pStyle w:val="BodyText"/>
      </w:pPr>
      <w:r>
        <w:t xml:space="preserve">Figure 1: Cross-categorization of 10-year atherosclerotic cardiovascular disease risk, 10-year total cardiovascular disease risk, and 30-year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10-year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body19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body28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360" w:hRule="auto"/>
        </w:trPr>
        body38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rPr>
          <w:bCs/>
          <w:b/>
        </w:rPr>
        <w:t xml:space="preserve">SUPPLEMENT</w:t>
      </w:r>
    </w:p>
    <w:p>
      <w:r>
        <w:br w:type="page"/>
      </w:r>
    </w:p>
    <w:p>
      <w:pPr>
        <w:pStyle w:val="BodyText"/>
      </w:pPr>
      <w:r>
        <w:t xml:space="preserve">Supplemental Figure 1: Participant cascade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participants from 2013-2020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the interview and examination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30-79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SBP and DBP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1: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(10.6, 11.4)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Incorporates information on glycated hemoglobin and albumin-to-creatinine ratio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3: Cross-categorization of 10-year predicted risk by the pooled cohort equations and PREVENT equations among US adults &lt; 60 years of age and ≥ 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&lt;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≥ 60 years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</w:t>
            </w:r>
          </w:p>
        </w:tc>
      </w:tr>
      <w:tr>
        <w:trPr>
          <w:trHeight w:val="360" w:hRule="auto"/>
        </w:trPr>
        body21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(60.8, 66.7)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(71.9, 74.4)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(1.81 2.74)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(1.92, 3.02)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(69.7, 86.4)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(61.6, 90.5)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(0.50 2.05)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(1.03, 3.43)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(67.8, 82.3)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(72.3, 90.3)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(1.8, 6.8)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(0.9, 6.1)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(0.28 1.66)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(0.41, 2.40)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(2.2, 13.6)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(0.50 1.69)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(1.03, 2.44)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(7.7, 17.1)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(0.61, 1.34)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(24.4, 44.6)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(15.1, 49.0)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(0.44 1.69)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(1.75, 4.52)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(122, 147)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(0.90, 1.18)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(21.9, 53.3)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(0.56 2.49)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(0.52, 1.73)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(15.7, 32.9)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(17.7, 51.9)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(0.78 2.45)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(1.27, 2.70)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(15.2, 43.6)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(1.12 3.87)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(1.08, 2.40)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(22.2, 44.4)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(32.9, 67.5)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(1.00 2.80)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(1.31, 2.50)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(112, 114)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(0.56, 1.34)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(62, 65)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(0.86, 1.11)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(63.8, 66.4)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(70.8, 74.4)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(1.61 2.57)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(1.81, 3.17)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(65.1, 85.4)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(56.3, 83.7)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(0.44 1.57)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(1.41, 3.83)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(64.5, 80.3)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(67.9, 90.6)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(0.9, 10.6)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(0.21 1.32)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(0.44, 1.98)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(0.14 1.27)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(0.17, 1.10)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(5.1, 19.1)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(0.85, 2.75)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(17.9, 40.7)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(13.1, 43.3)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(0.46 1.77)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(1.99, 5.46)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(150, 168)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(0.86, 1.23)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(13.9, 30.3)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(1.18 2.98)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(0.88, 2.29)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(11.2, 27.5)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(19.3, 57.1)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(1.03 3.82)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(2.04, 7.72)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(14.2, 38.6)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(1.40 4.13)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(0.81, 2.78)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(17.7, 33.9)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(32.1, 68.0)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(1.29 3.97)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(1.44, 4.50)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(0.85 8.55)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(1.14, 5.92)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(63, 67)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(0.70 0.91)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(0.83, 1.10)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(59.7, 62.3)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(67.8, 70.4)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(1.32, 1.61)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(65.2, 78.0)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(47.9, 65.1)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(0.76, 1.32)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(56.2, 71.9)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(12.0, 23.5)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(0.67, 1.36)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(0.92, 1.60)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(9.9, 18.0)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(8.5, 17.5)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(0.89, 1.43)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(19.5, 34.0)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(1.47, 2.33)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(0.95, 1.12)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(10.3, 22.4)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(13.6, 29.1)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(0.62, 1.38)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(32.3, 48.7)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(1.76 3.16)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(2.47, 3.95)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(6.7, 14.3)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(31.1, 50.6)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(1.86 3.02)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(1.69, 2.80)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(11.7, 22.7)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(52.4, 68.1)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(2.18 3.94)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(2.37, 3.95)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(151, 154)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(1.06 1.28)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(1.11, 1.30)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(81, 85)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(0.95, 1.06)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(60.4, 62.5)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(69.4, 70.4)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(1.36, 1.47)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(53.3, 66.0)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(0.99, 1.29)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(60.2, 72.1)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(63.0, 73.1)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(16.1, 25.5)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(11.0, 17.0)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(1.00, 1.24)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(0.80, 1.19)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(1.01 1.29)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(1.13, 1.41)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(15.8, 25.4)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(0.78 1.10)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(1.34, 1.83)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(141, 150)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(0.97, 1.03)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(39.2, 51.4)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(43.7, 52.8)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(0.89, 1.08)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(17.4, 27.9)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(44.1, 51.7)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(1.40 1.82)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(1.85, 2.28)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(1.38 1.71)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(1.24, 1.52)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(28.9, 39.6)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(64.3, 71.0)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(1.66 2.13)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(1.84, 2.28)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(1.00 1.09)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(1.01, 1.09)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(72, 75)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(69, 71)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(0.98, 1.02)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2024-02-27T19:27:44Z</dcterms:created>
  <dcterms:modified xsi:type="dcterms:W3CDTF">2024-02-27T14:27:47Z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