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3,012)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3,795)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1,420)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1,703)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1,236)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(44.2, 45.5)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(49.0, 50.7)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(48.8, 50.5)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(53.3, 54.8)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(58.3, 59.4)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gender,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</w:tr>
      <w:tr>
        <w:trPr>
          <w:trHeight w:val="360" w:hRule="auto"/>
        </w:trPr>
        body 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(192, 196)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(196, 201)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(200, 205)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(205, 211)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(191, 196)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(54.9, 56.4)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(52.2, 54.3)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(52.3, 54.3)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(51.6, 53.1)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(143, 148)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(147, 152)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(139, 143)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(6.0, 6.1)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(98.3, 100)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(94.4, 96.9)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(94.9, 97.4)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(91.9, 94.6)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(85.5, 87.2)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(8.0, 8.9)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(130, 132)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(67, 68)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(71, 72)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(79, 80)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(83, 85)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(73, 74)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(10.9, 11.6)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3.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t xml:space="preserve">Table 4: Prevalence ratios for 10-year total cardiovascular disease risk ≥ 15% on the PREVENT base equation among US adults with 10-year atherosclerotic cardiovascular disease risk ≥ 10% by the Pooled Cohort equations and systolic blood pressure of 130-139 mm Hg or diastolic blood pressure of 80-89 mm Hg.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(60.7, 63.3)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(1.92 3.22)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(2.07, 3.32)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(0.49 1.58)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(1.07, 3.30)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(0.36 1.21)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(1.82, 5.12)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(153, 166)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(135, 154)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(0.76 0.97)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(0.89, 1.17)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(0.52 1.88)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(0.44, 1.14)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or CKD,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(1.17 3.47)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(0.70, 1.96)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DBP,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(74, 77)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(68, 74)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(0.94, 1.16)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Prevalence ratios for continuous variables are per 5 years of age, per 40 mg/dL of total cholesterol, 20 mg/dL of HDL cholesterol, 20 mg/dL of non-HDL cholesterol, per 5 ml/min/1.73 m2 of estimated glomerular filtration rate, per 1 log mg/g of albumin-to-creatinine ratio, 10 mm Hg of systolic blood pressure, 5 mm Hg of diastolic blood pressure.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 For albumin-to-creatinine ratio, the table value is median (95% confidence interval).</w:t>
            </w:r>
          </w:p>
        </w:tc>
      </w:tr>
      <w:tr>
        <w:trPr>
          <w:trHeight w:val="288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§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  <w:tr>
        <w:trPr>
          <w:trHeight w:val="288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 – albumin to creatinine ratio; DBP – diastolic blood pressure; eGFR – estimated glomerular filtration rate. HDL – high density lipoprotein; SBP – systolic blood pressure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5. Mean 30-year predicted total cardiovascular disease risk estimated by the PREVENT equations within level of predicted atherosclerotic and total cardiovascular disease 10-year risk categories by blood pressure category among adults 30 to &lt;60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(22.4, 23.7)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(44.7, 44.7)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(49.8, 59.0)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(24.8, 30.5)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(31.0, 34.8)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(36.6, 38.5)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(37.3, 39.6)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(35.8, 55.4)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(47.3, 53.2)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(51.7, 59.9)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(52.1, 55.9)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(20.8, 21.9)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(21.4, 22.7)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(39.8, 41.4)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(36.3, 40.4)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(45.2, 49.0)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(42.3, 45.4)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(24.3, 29.9)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(29.8, 31.5)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(29.3, 33.2)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(33.1, 35.4)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(32.7, 34.5)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(37.5, 46.8)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(36.2, 43.5)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(40.1, 46.6)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(43.8, 50.2)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(44.6, 47.1)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(13.2, 14.6)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(14.8, 16.0)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(21.0, 22.1)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(22.3, 23.6)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(38.2, 44.1)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(41.9, 41.9)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(46.1, 51.8)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(39.1, 53.1)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(24.6, 31.2)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(31.6, 36.3)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(31.7, 37.8)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(36.4, 38.4)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(36.7, 39.1)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(56.9, 56.9)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(44.5, 48.7)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(42.1, 58.7)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(51.8, 59.7)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(50.2, 53.9)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6. Mean 10-year and 30-year risk by characteristics of US adults with stage 1 hypertension. Mean 30-year risk is further restricted to US adults aged 30 to &lt; 60 years.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equations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≥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(1.8, 2.1)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(15.7, 17.1)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(12.5, 15.1)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(9.4, 12.0)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(9.7, 11.3)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(13.6, 15.6)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(6.1, 7.4)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(17.0, 18.6)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(4.1, 5.8)</w:t>
            </w:r>
          </w:p>
        </w:tc>
      </w:tr>
      <w:tr>
        <w:trPr>
          <w:trHeight w:val="360" w:hRule="auto"/>
        </w:trPr>
        body 7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(4.9, 6.3)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(15.5, 17.5)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(3.7, 4.4)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(14.9, 17.3)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(-0.5, 2.4)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(-0.2,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(14.0, 17.3)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1.8)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(15.2, 17.8)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2.6)</w:t>
            </w:r>
          </w:p>
        </w:tc>
      </w:tr>
      <w:tr>
        <w:trPr>
          <w:trHeight w:val="360" w:hRule="auto"/>
        </w:trPr>
        body12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(14.6, 16.1)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(6.7, 8.2)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(3.1, 3.8)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(19.4, 22.2)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(4.8, 7.0)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≥ 130 mg/dL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(12.3, 14.2)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(5.2, 6.3)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(17.0, 18.6)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(2.8, 4.3)</w:t>
            </w:r>
          </w:p>
        </w:tc>
      </w:tr>
      <w:tr>
        <w:trPr>
          <w:trHeight w:val="360" w:hRule="auto"/>
        </w:trPr>
        body18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(15.3, 16.7)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(7.9, 10.5)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 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(-1.0,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(19.6, 25.4)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3.7)</w:t>
            </w:r>
          </w:p>
        </w:tc>
      </w:tr>
      <w:tr>
        <w:trPr>
          <w:trHeight w:val="360" w:hRule="auto"/>
        </w:trPr>
        body21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(14.6, 15.8)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(10.5, 15.6)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(8.7, 11.4)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(28.7, 33.9)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(13.4, 17.1)</w:t>
            </w:r>
          </w:p>
        </w:tc>
      </w:tr>
      <w:tr>
        <w:trPr>
          <w:trHeight w:val="360" w:hRule="auto"/>
        </w:trPr>
        body24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(4.0, 4.6)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(15.4, 16.8)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(17.8, 23.4)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(3.3, 7.5)</w:t>
            </w:r>
          </w:p>
        </w:tc>
      </w:tr>
      <w:tr>
        <w:trPr>
          <w:trHeight w:val="2880" w:hRule="auto"/>
        </w:trPr>
        footer 1
        <w:tc>
          <w:tcPr>
            <w:gridSpan w:val="9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r>
        <w:br w:type="page"/>
      </w:r>
    </w:p>
    <w:p>
      <w:pPr>
        <w:pStyle w:val="BodyText"/>
      </w:pPr>
      <w:r>
        <w:t xml:space="preserve">Figure 1: Cross-categorization of 10-year atherosclerotic cardiovascular disease risk, 10-year total cardiovascular disease risk, and 30-year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10-year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30-year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</w:tr>
      <w:tr>
        <w:trPr>
          <w:trHeight w:val="360" w:hRule="auto"/>
        </w:trPr>
        body 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trHeight w:val="360" w:hRule="auto"/>
        </w:trPr>
        body19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</w:tr>
      <w:tr>
        <w:trPr>
          <w:trHeight w:val="360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80.3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</w:tr>
      <w:tr>
        <w:trPr>
          <w:trHeight w:val="360" w:hRule="auto"/>
        </w:trPr>
        body28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</w:tr>
      <w:tr>
        <w:trPr>
          <w:trHeight w:val="360" w:hRule="auto"/>
        </w:trPr>
        body29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body33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trHeight w:val="360" w:hRule="auto"/>
        </w:trPr>
        body37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360" w:hRule="auto"/>
        </w:trPr>
        body38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BodyText"/>
      </w:pPr>
      <w:r>
        <w:rPr>
          <w:bCs/>
          <w:b/>
        </w:rPr>
        <w:t xml:space="preserve">SUPPLEMENT</w:t>
      </w:r>
    </w:p>
    <w:p>
      <w:r>
        <w:br w:type="page"/>
      </w:r>
    </w:p>
    <w:p>
      <w:pPr>
        <w:pStyle w:val="BodyText"/>
      </w:pPr>
      <w:r>
        <w:t xml:space="preserve">Supplemental Figure 1: Participant cascade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participants from 2013-2020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the interview and examination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30-79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SBP and DBP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5,326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self-reported antihypertensive medication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1: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 characteristic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(12.8, 13.9)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</w:t>
            </w:r>
          </w:p>
        </w:tc>
      </w:tr>
      <w:tr>
        <w:trPr>
          <w:trHeight w:val="360" w:hRule="auto"/>
        </w:trPr>
        body 7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(5.7, 6.2)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360" w:hRule="auto"/>
        </w:trPr>
        body13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(10.6, 11.4)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Incorporates information on glycated hemoglobin and albumin-to-creatinine ratio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Supplemental Table 2: Cross-categorization of 10-year predicted risk by the pooled cohort equations and PREVENT equations after excluding people age ≥65 years, with diabetes or chronic kidney disease (ACR &gt; 30 mg/g or eGFR &lt; 60 ml/min/1.73 m2).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3: Cross-categorization of 10-year predicted risk by the pooled cohort equations and PREVENT equations among US adults &lt; 60 years of age and ≥ 60 years of age.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&lt;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ASCVD; Age ≥ 60 years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</w:t>
            </w:r>
          </w:p>
        </w:tc>
      </w:tr>
      <w:tr>
        <w:trPr>
          <w:trHeight w:val="360" w:hRule="auto"/>
        </w:trPr>
        body21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360" w:hRule="auto"/>
        </w:trPr>
        body26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4. Mean 10-year and 30-year risk by characteristics of US adults with systolic blood pressure of &lt; 120 mm Hg and diastolic blood pressure &lt; 80 mm Hg. Mean 30-year risk is further restricted to US adults aged 30 to &lt; 60 years.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equations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≥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(9.2, 9.8)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(8.4, 9.9)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(6.7, 8.2)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(6.2, 7.3)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(1.4, 1.7)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(7.3, 8.0)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(11.7, 12.6)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</w:tr>
      <w:tr>
        <w:trPr>
          <w:trHeight w:val="360" w:hRule="auto"/>
        </w:trPr>
        body 7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(-0.6, 0.7)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 0.4)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(8.3, 9.1)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(-0.2, 0.7)</w:t>
            </w:r>
          </w:p>
        </w:tc>
      </w:tr>
      <w:tr>
        <w:trPr>
          <w:trHeight w:val="360" w:hRule="auto"/>
        </w:trPr>
        body12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(8.5, 9.2)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(12.0, 13.2)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(4.0, 4.9)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≥ 130 mg/dL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(6.5, 7.3)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(0.2, 0.3)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(2.0, 2.6)</w:t>
            </w:r>
          </w:p>
        </w:tc>
      </w:tr>
      <w:tr>
        <w:trPr>
          <w:trHeight w:val="360" w:hRule="auto"/>
        </w:trPr>
        body18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(4.9, 6.4)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(14.1, 17.8)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(0.5, 2.7)</w:t>
            </w:r>
          </w:p>
        </w:tc>
      </w:tr>
      <w:tr>
        <w:trPr>
          <w:trHeight w:val="360" w:hRule="auto"/>
        </w:trPr>
        body21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(8.7, 9.3)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(6.4, 8.2)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(3.1, 4.0)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(22.5, 25.0)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(11.0, 13.2)</w:t>
            </w:r>
          </w:p>
        </w:tc>
      </w:tr>
      <w:tr>
        <w:trPr>
          <w:trHeight w:val="360" w:hRule="auto"/>
        </w:trPr>
        body24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(9.1, 9.7)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(3.3, 5.2)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(9.6, 12.7)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(0.4, 2.2)</w:t>
            </w:r>
          </w:p>
        </w:tc>
      </w:tr>
      <w:tr>
        <w:trPr>
          <w:trHeight w:val="2880" w:hRule="auto"/>
        </w:trPr>
        footer 1
        <w:tc>
          <w:tcPr>
            <w:gridSpan w:val="9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5. Mean 10-year and 30-year risk by characteristics of US adults with systolic blood pressure of 120 to 129 mm Hg and diastolic blood pressure &lt; 80 mm Hg. Mean 30-year risk is further restricted to US adults aged 30 to &lt; 60 years.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equations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≥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(13.9, 15.6)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(8.7, 11.3)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(12.9, 15.3)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(14.3, 16.0)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(3.0, 4.6)</w:t>
            </w:r>
          </w:p>
        </w:tc>
      </w:tr>
      <w:tr>
        <w:trPr>
          <w:trHeight w:val="360" w:hRule="auto"/>
        </w:trPr>
        body 7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(5.1, 6.5)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(2.8, 3.4)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(13.7, 16.2)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(12.3, 14.9)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2.5)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(-0.4, 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(-0.5,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(12.2, 15.3)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1.9)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(3.2, 3.8)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(13.4, 15.2)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(0.5, 3.0)</w:t>
            </w:r>
          </w:p>
        </w:tc>
      </w:tr>
      <w:tr>
        <w:trPr>
          <w:trHeight w:val="360" w:hRule="auto"/>
        </w:trPr>
        body12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(13.0, 14.6)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(6.1, 9.0)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(4.5, 6.2)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(16.6, 20.2)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(4.3, 6.3)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≥ 130 mg/dL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(10.7, 12.9)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(5.3, 6.4)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(0.3, 0.8)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(15.4, 17.5)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(2.7, 4.2)</w:t>
            </w:r>
          </w:p>
        </w:tc>
      </w:tr>
      <w:tr>
        <w:trPr>
          <w:trHeight w:val="360" w:hRule="auto"/>
        </w:trPr>
        body18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(13.3, 15.0)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(8.3, 12.1)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(6.8, 9.3)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(20.0, 26.8)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6.4)</w:t>
            </w:r>
          </w:p>
        </w:tc>
      </w:tr>
      <w:tr>
        <w:trPr>
          <w:trHeight w:val="360" w:hRule="auto"/>
        </w:trPr>
        body21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(3.7, 4.2)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(12.9, 14.4)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(10.2, 14.8)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(8.9, 11.1)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(28.1, 32.5)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(12.4, 15.5)</w:t>
            </w:r>
          </w:p>
        </w:tc>
      </w:tr>
      <w:tr>
        <w:trPr>
          <w:trHeight w:val="360" w:hRule="auto"/>
        </w:trPr>
        body24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(2.5, 2.9)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(13.7, 15.4)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(6.6, 10.3)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(3.7, 5.3)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(15.1, 21.0)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(0.0, 3.6)</w:t>
            </w:r>
          </w:p>
        </w:tc>
      </w:tr>
      <w:tr>
        <w:trPr>
          <w:trHeight w:val="2880" w:hRule="auto"/>
        </w:trPr>
        footer 1
        <w:tc>
          <w:tcPr>
            <w:gridSpan w:val="9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</w:t>
            </w:r>
          </w:p>
        </w:tc>
      </w:tr>
    </w:tbl>
    <w:p>
      <w:pPr>
        <w:pStyle w:val="BodyText"/>
      </w:pPr>
      <w:r>
        <w:t xml:space="preserve">Supplemental Table 6. Mean 10-year and 30-year risk by characteristics of US adults with systolic blood pressure of ≥ 140 mm Hg or diastolic blood pressure ≥ 90 mm Hg. Mean 30-year risk is further restricted to US adults aged 30 to &lt; 60 years.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equations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≥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(3.4, 3.9)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(24.0, 25.9)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(17.9, 20.9)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(12.6, 15.7)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(8.3, 9.3)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(13.4, 15.1)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(7.9, 9.9)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(8.0, 10.2)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(22.9, 26.3)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(10.0, 12.0)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(23.8, 26.4)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(1.1, 5.2)</w:t>
            </w:r>
          </w:p>
        </w:tc>
      </w:tr>
      <w:tr>
        <w:trPr>
          <w:trHeight w:val="360" w:hRule="auto"/>
        </w:trPr>
        body 7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(5.0, 6.0)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(23.5, 26.8)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(9.0, 10.8)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(1.5, 4.1)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(6.8, 8.1)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(22.7, 25.9)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 4.0)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(8.8, 13.6)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(7.3, 10.4)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(20.7, 26.0)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3.2)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(7.8, 9.9)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(6.9, 8.5)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(-0.3,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(23.1, 27.1)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5.1)</w:t>
            </w:r>
          </w:p>
        </w:tc>
      </w:tr>
      <w:tr>
        <w:trPr>
          <w:trHeight w:val="360" w:hRule="auto"/>
        </w:trPr>
        body12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(8.9, 10.4)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(7.5, 8.6)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(22.6, 24.8)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(10.8, 14.1)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(8.5, 10.5)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(2.1, 3.7)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(26.8, 31.0)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(3.9, 7.6)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≥ 130 mg/dL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(8.8, 11.9)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(7.5, 9.5)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(19.8, 23.2)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(7.7, 8.8)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(24.8, 27.5)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(3.0, 6.9)</w:t>
            </w:r>
          </w:p>
        </w:tc>
      </w:tr>
      <w:tr>
        <w:trPr>
          <w:trHeight w:val="360" w:hRule="auto"/>
        </w:trPr>
        body18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(4.9, 5.4)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(7.5, 8.4)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(23.4, 25.2)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(12.7, 17.5)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(-2.7,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(9.5, 13.0)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(-2.4, 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(26.9, 39.9)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(-3.1, 10.4)</w:t>
            </w:r>
          </w:p>
        </w:tc>
      </w:tr>
      <w:tr>
        <w:trPr>
          <w:trHeight w:val="360" w:hRule="auto"/>
        </w:trPr>
        body21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(8.3, 9.5)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(4.4, 4.9)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(6.8, 7.6)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(21.9, 23.6)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(18.1, 22.4)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(8.5, 11.2)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(9.9, 11.6)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(4.7, 6.4)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(15.5, 17.8)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(7.3, 9.5)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(40.3, 46.6)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(17.0, 22.6)</w:t>
            </w:r>
          </w:p>
        </w:tc>
      </w:tr>
      <w:tr>
        <w:trPr>
          <w:trHeight w:val="360" w:hRule="auto"/>
        </w:trPr>
        body24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(8.8, 10.2)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(7.1, 7.9)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(22.9, 24.5)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(11.7, 15.8)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(6.7, 8.7)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(10.6, 13.7)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(27.7, 34.5)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(5.6, 11.4)</w:t>
            </w:r>
          </w:p>
        </w:tc>
      </w:tr>
      <w:tr>
        <w:trPr>
          <w:trHeight w:val="2880" w:hRule="auto"/>
        </w:trPr>
        footer 1
        <w:tc>
          <w:tcPr>
            <w:gridSpan w:val="9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Supplemental Table 7. Mean 10-year and 30-year risk by characteristics of US adults taking antihypertensive medication. Mean 30-year risk is further restricted to US adults aged 30 to &lt; 60 years.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 equations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ASCVD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30-year total CVD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body 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≥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(5.9, 6.6)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(25.9, 27.2)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(19.1, 20.6)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(13.4, 14.9)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(8.9, 9.5)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(5.4, 6.0)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(15.6, 16.5)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(9.8, 10.7)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(10.2, 11.0)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(23.7, 25.7)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(14.9, 17.0)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(6.8, 7.6)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(1.6, 2.1)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(11.4, 12.7)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(27.4, 29.4)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(2.6, 5.5)</w:t>
            </w:r>
          </w:p>
        </w:tc>
      </w:tr>
      <w:tr>
        <w:trPr>
          <w:trHeight w:val="360" w:hRule="auto"/>
        </w:trPr>
        body 7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(12.5, 14.1)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(10.9, 11.8)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(25.1, 27.0)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(13.8, 15.7)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(3.3, 5.6)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(10.4, 11.6)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(26.1, 29.3)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(0.0, 4.6)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(11.1, 15.3)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(5.7, 7.0)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(-0.7, 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(9.7, 12.1)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(25.3, 28.8)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(-2.2, 3.1)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(11.1, 13.6)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(6.1, 6.9)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(10.3, 11.8)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(25.2, 28.8)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(-0.2, 4.3)</w:t>
            </w:r>
          </w:p>
        </w:tc>
      </w:tr>
      <w:tr>
        <w:trPr>
          <w:trHeight w:val="360" w:hRule="auto"/>
        </w:trPr>
        body12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(12.4, 13.5)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(10.8, 11.5)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(24.5, 26.1)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(14.0, 16.7)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(5.3, 7.7)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(6.3, 7.5)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(1.6, 2.6)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(10.8, 12.9)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(2.9, 4.5)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(28.9, 32.1)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(4.1, 8.0)</w:t>
            </w:r>
          </w:p>
        </w:tc>
      </w:tr>
      <w:tr>
        <w:trPr>
          <w:trHeight w:val="360" w:hRule="auto"/>
        </w:trPr>
        body15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 ≥ 130 mg/dL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(12.8, 14.8)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(11.0, 12.3)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(22.9, 25.2)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(12.3, 13.8)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(0.3, 2.1)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(6.4, 7.0)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(0.8, 1.5)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(10.5, 11.4)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(27.1, 28.9)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(3.5, 6.1)</w:t>
            </w:r>
          </w:p>
        </w:tc>
      </w:tr>
      <w:tr>
        <w:trPr>
          <w:trHeight w:val="360" w:hRule="auto"/>
        </w:trPr>
        body18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(11.2, 12.5)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(5.8, 6.3)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(9.8, 10.7)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(23.8, 25.4)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(14.7, 16.9)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-0.3)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(7.0, 7.8)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(-0.9, -0.3)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(12.1, 13.5)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-0.5)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(30.0, 32.8)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(0.4, 3.8)</w:t>
            </w:r>
          </w:p>
        </w:tc>
      </w:tr>
      <w:tr>
        <w:trPr>
          <w:trHeight w:val="360" w:hRule="auto"/>
        </w:trPr>
        body21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(10.3, 11.4)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(5.2, 5.7)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(9.0, 9.8)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(21.7, 23.1)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(19.3, 22.2)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(7.6, 9.8)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(9.4, 10.3)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(3.6, 4.4)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(16.0, 17.6)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(6.0, 7.2)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(38.4, 40.8)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(14.2, 17.2)</w:t>
            </w:r>
          </w:p>
        </w:tc>
      </w:tr>
      <w:tr>
        <w:trPr>
          <w:trHeight w:val="360" w:hRule="auto"/>
        </w:trPr>
        body24
        <w:tc>
          <w:tcPr>
            <w:gridSpan w:val="9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(11.1, 12.2)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(5.5, 5.9)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(9.4, 10.0)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(24.6, 25.9)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(ref)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(18.4, 20.7)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(9.2, 10.1)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(2.0, 2.8)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(16.1, 17.7)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(3.8, 5.1)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(31.7, 37.0)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(5.9, 10.4)</w:t>
            </w:r>
          </w:p>
        </w:tc>
      </w:tr>
      <w:tr>
        <w:trPr>
          <w:trHeight w:val="2880" w:hRule="auto"/>
        </w:trPr>
        footer 1
        <w:tc>
          <w:tcPr>
            <w:gridSpan w:val="9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2024-03-05T03:52:00Z</dcterms:created>
  <dcterms:modified xsi:type="dcterms:W3CDTF">2024-03-04T22:52:06Z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