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A0C" w:rsidRDefault="0093472A">
      <w:r>
        <w:t>placeholder</w:t>
      </w:r>
    </w:p>
    <w:p w:rsidR="00580A0C" w:rsidRDefault="0093472A">
      <w:r>
        <w:t>Byron C. Jaeger, PhD,</w:t>
      </w:r>
      <w:r>
        <w:rPr>
          <w:vertAlign w:val="superscript"/>
        </w:rPr>
        <w:t>1</w:t>
      </w:r>
    </w:p>
    <w:p w:rsidR="00580A0C" w:rsidRDefault="009347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:rsidR="00580A0C" w:rsidRDefault="0093472A">
      <w:r>
        <w:br w:type="page"/>
      </w:r>
    </w:p>
    <w:p w:rsidR="00580A0C" w:rsidRDefault="0093472A">
      <w:r>
        <w:lastRenderedPageBreak/>
        <w:t>Table: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SBP, DBP and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</w:tbl>
    <w:p w:rsidR="00580A0C" w:rsidRDefault="0093472A">
      <w:r>
        <w:br w:type="page"/>
      </w:r>
    </w:p>
    <w:p w:rsidR="00580A0C" w:rsidRDefault="0093472A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36.6M)</w:t>
            </w:r>
          </w:p>
        </w:tc>
      </w:tr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56.0M)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19.7M)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22.3M)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14.7M)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  <w:r>
              <w:rPr>
                <w:rFonts w:cs="Calibri"/>
                <w:color w:val="000000"/>
              </w:rPr>
              <w:br/>
              <w:t>(36.1, 38.9)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  <w:r>
              <w:rPr>
                <w:rFonts w:cs="Calibri"/>
                <w:color w:val="000000"/>
              </w:rPr>
              <w:br/>
              <w:t>(12.2, 14.3)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(13.9, 16.0)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9.87</w:t>
            </w:r>
            <w:r>
              <w:rPr>
                <w:rFonts w:cs="Calibri"/>
                <w:color w:val="000000"/>
              </w:rPr>
              <w:br/>
              <w:t>(8.95, 10.9)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24.5</w:t>
            </w:r>
            <w:r>
              <w:rPr>
                <w:rFonts w:cs="Calibri"/>
                <w:color w:val="000000"/>
              </w:rPr>
              <w:br/>
              <w:t>(23.2, 25.8)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  <w:r>
              <w:rPr>
                <w:rFonts w:cs="Calibri"/>
                <w:color w:val="000000"/>
              </w:rPr>
              <w:br/>
              <w:t>(44.3, 45.6)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49.6</w:t>
            </w:r>
            <w:r>
              <w:rPr>
                <w:rFonts w:cs="Calibri"/>
                <w:color w:val="000000"/>
              </w:rPr>
              <w:br/>
              <w:t>(48.8, 50.4)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54.3</w:t>
            </w:r>
            <w:r>
              <w:rPr>
                <w:rFonts w:cs="Calibri"/>
                <w:color w:val="000000"/>
              </w:rPr>
              <w:br/>
              <w:t>(53.5, 55.1)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59.0</w:t>
            </w:r>
            <w:r>
              <w:rPr>
                <w:rFonts w:cs="Calibri"/>
                <w:color w:val="000000"/>
              </w:rPr>
              <w:br/>
              <w:t>(58.5, 59.6)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67.6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4.68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2.86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193</w:t>
            </w:r>
            <w:r>
              <w:rPr>
                <w:rFonts w:cs="Calibri"/>
                <w:color w:val="000000"/>
              </w:rPr>
              <w:br/>
              <w:t>(191, 195)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203</w:t>
            </w:r>
            <w:r>
              <w:rPr>
                <w:rFonts w:cs="Calibri"/>
                <w:color w:val="000000"/>
              </w:rPr>
              <w:br/>
              <w:t>(199, 207)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(204, 211)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192</w:t>
            </w:r>
            <w:r>
              <w:rPr>
                <w:rFonts w:cs="Calibri"/>
                <w:color w:val="000000"/>
              </w:rPr>
              <w:br/>
              <w:t>(190, 195)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56.4</w:t>
            </w:r>
            <w:r>
              <w:rPr>
                <w:rFonts w:cs="Calibri"/>
                <w:color w:val="000000"/>
              </w:rPr>
              <w:br/>
              <w:t>(55.5, 57.4)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54.1</w:t>
            </w:r>
            <w:r>
              <w:rPr>
                <w:rFonts w:cs="Calibri"/>
                <w:color w:val="000000"/>
              </w:rPr>
              <w:br/>
              <w:t>(52.9, 55.3)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53.6</w:t>
            </w:r>
            <w:r>
              <w:rPr>
                <w:rFonts w:cs="Calibri"/>
                <w:color w:val="000000"/>
              </w:rPr>
              <w:br/>
              <w:t>(52.5, 54.6)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54.9</w:t>
            </w:r>
            <w:r>
              <w:rPr>
                <w:rFonts w:cs="Calibri"/>
                <w:color w:val="000000"/>
              </w:rPr>
              <w:br/>
              <w:t>(53.1, 56.7)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  <w:r>
              <w:rPr>
                <w:rFonts w:cs="Calibri"/>
                <w:color w:val="000000"/>
              </w:rPr>
              <w:br/>
              <w:t>(52.2, 53.8)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(135, 138)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(146, 153)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153</w:t>
            </w:r>
            <w:r>
              <w:rPr>
                <w:rFonts w:cs="Calibri"/>
                <w:color w:val="000000"/>
              </w:rPr>
              <w:br/>
              <w:t>(150, 156)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139</w:t>
            </w:r>
            <w:r>
              <w:rPr>
                <w:rFonts w:cs="Calibri"/>
                <w:color w:val="000000"/>
              </w:rPr>
              <w:br/>
              <w:t>(137, 142)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0.08</w:t>
            </w:r>
            <w:r>
              <w:rPr>
                <w:rFonts w:cs="Calibri"/>
                <w:color w:val="000000"/>
              </w:rPr>
              <w:br/>
              <w:t>(0.07, 0.09)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  <w:r>
              <w:rPr>
                <w:rFonts w:cs="Calibri"/>
                <w:color w:val="000000"/>
              </w:rPr>
              <w:br/>
              <w:t>(0.10, 0.14)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0.10</w:t>
            </w:r>
            <w:r>
              <w:rPr>
                <w:rFonts w:cs="Calibri"/>
                <w:color w:val="000000"/>
              </w:rPr>
              <w:br/>
              <w:t>(0.08, 0.12)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  <w:r>
              <w:rPr>
                <w:rFonts w:cs="Calibri"/>
                <w:color w:val="000000"/>
              </w:rPr>
              <w:br/>
              <w:t>(0.09, 0.14)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0.40</w:t>
            </w:r>
            <w:r>
              <w:rPr>
                <w:rFonts w:cs="Calibri"/>
                <w:color w:val="000000"/>
              </w:rPr>
              <w:br/>
              <w:t>(0.37, 0.43)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5.44</w:t>
            </w:r>
            <w:r>
              <w:rPr>
                <w:rFonts w:cs="Calibri"/>
                <w:color w:val="000000"/>
              </w:rPr>
              <w:br/>
              <w:t>(5.41, 5.47)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  <w:r>
              <w:rPr>
                <w:rFonts w:cs="Calibri"/>
                <w:color w:val="000000"/>
              </w:rPr>
              <w:br/>
              <w:t>(5.58, 5.72)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5.71</w:t>
            </w:r>
            <w:r>
              <w:rPr>
                <w:rFonts w:cs="Calibri"/>
                <w:color w:val="000000"/>
              </w:rPr>
              <w:br/>
              <w:t>(5.64, 5.77)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(5.71, 5.89)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6.04</w:t>
            </w:r>
            <w:r>
              <w:rPr>
                <w:rFonts w:cs="Calibri"/>
                <w:color w:val="000000"/>
              </w:rPr>
              <w:br/>
              <w:t>(6.00, 6.08)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99.3</w:t>
            </w:r>
            <w:r>
              <w:rPr>
                <w:rFonts w:cs="Calibri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95.4</w:t>
            </w:r>
            <w:r>
              <w:rPr>
                <w:rFonts w:cs="Calibri"/>
                <w:color w:val="000000"/>
              </w:rPr>
              <w:br/>
              <w:t>(94.2, 96.5)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96.2</w:t>
            </w:r>
            <w:r>
              <w:rPr>
                <w:rFonts w:cs="Calibri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93.1</w:t>
            </w:r>
            <w:r>
              <w:rPr>
                <w:rFonts w:cs="Calibri"/>
                <w:color w:val="000000"/>
              </w:rPr>
              <w:br/>
              <w:t>(91.8, 94.5)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85.9</w:t>
            </w:r>
            <w:r>
              <w:rPr>
                <w:rFonts w:cs="Calibri"/>
                <w:color w:val="000000"/>
              </w:rPr>
              <w:br/>
              <w:t>(85.0, 86.7)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(11.3, 15.5)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  <w:r>
              <w:rPr>
                <w:rFonts w:cs="Calibri"/>
                <w:color w:val="000000"/>
              </w:rPr>
              <w:br/>
              <w:t>(10.7, 21.6)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21.9</w:t>
            </w:r>
            <w:r>
              <w:rPr>
                <w:rFonts w:cs="Calibri"/>
                <w:color w:val="000000"/>
              </w:rPr>
              <w:br/>
              <w:t>(16.2, 27.5)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50.0</w:t>
            </w:r>
            <w:r>
              <w:rPr>
                <w:rFonts w:cs="Calibri"/>
                <w:color w:val="000000"/>
              </w:rPr>
              <w:br/>
              <w:t>(36.5, 63.5)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  <w:r>
              <w:rPr>
                <w:rFonts w:cs="Calibri"/>
                <w:color w:val="000000"/>
              </w:rPr>
              <w:br/>
              <w:t>(42.7, 73.5)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(109, 110)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67.1</w:t>
            </w:r>
            <w:r>
              <w:rPr>
                <w:rFonts w:cs="Calibri"/>
                <w:color w:val="000000"/>
              </w:rPr>
              <w:br/>
              <w:t>(66.8, 67.5)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  <w:r>
              <w:rPr>
                <w:rFonts w:cs="Calibri"/>
                <w:color w:val="000000"/>
              </w:rPr>
              <w:br/>
              <w:t>(70.6, 71.5)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79.3</w:t>
            </w:r>
            <w:r>
              <w:rPr>
                <w:rFonts w:cs="Calibri"/>
                <w:color w:val="000000"/>
              </w:rPr>
              <w:br/>
              <w:t>(78.8, 79.9)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  <w:r>
              <w:rPr>
                <w:rFonts w:cs="Calibri"/>
                <w:color w:val="000000"/>
              </w:rPr>
              <w:br/>
              <w:t>(83.1, 85.2)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73.0</w:t>
            </w:r>
            <w:r>
              <w:rPr>
                <w:rFonts w:cs="Calibri"/>
                <w:color w:val="000000"/>
              </w:rPr>
              <w:br/>
              <w:t>(72.4, 73.6)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:rsidR="00580A0C" w:rsidRDefault="0093472A">
      <w:r>
        <w:br w:type="page"/>
      </w:r>
    </w:p>
    <w:p w:rsidR="00580A0C" w:rsidRDefault="0093472A">
      <w:r>
        <w:t>Table 2. Ten-year predicted cardiovascular disease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Mean (95% CI) 10-year predicted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ASCVD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Pooled cohort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2.56</w:t>
            </w:r>
            <w:r>
              <w:rPr>
                <w:rFonts w:cs="Calibri"/>
                <w:color w:val="000000"/>
              </w:rPr>
              <w:br/>
              <w:t>(2.35, 2.78)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5.53</w:t>
            </w:r>
            <w:r>
              <w:rPr>
                <w:rFonts w:cs="Calibri"/>
                <w:color w:val="000000"/>
              </w:rPr>
              <w:br/>
              <w:t>(5.01, 6.04)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(5.05, 5.90)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  <w:r>
              <w:rPr>
                <w:rFonts w:cs="Calibri"/>
                <w:color w:val="000000"/>
              </w:rPr>
              <w:br/>
              <w:t>(9.53, 11.1)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  <w:r>
              <w:rPr>
                <w:rFonts w:cs="Calibri"/>
                <w:color w:val="000000"/>
              </w:rPr>
              <w:br/>
              <w:t>(12.9, 14.0)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1.52</w:t>
            </w:r>
            <w:r>
              <w:rPr>
                <w:rFonts w:cs="Calibri"/>
                <w:color w:val="000000"/>
              </w:rPr>
              <w:br/>
              <w:t>(1.42, 1.63)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2.97</w:t>
            </w:r>
            <w:r>
              <w:rPr>
                <w:rFonts w:cs="Calibri"/>
                <w:color w:val="000000"/>
              </w:rPr>
              <w:br/>
              <w:t>(2.75, 3.20)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2.96</w:t>
            </w:r>
            <w:r>
              <w:rPr>
                <w:rFonts w:cs="Calibri"/>
                <w:color w:val="000000"/>
              </w:rPr>
              <w:br/>
              <w:t>(2.78, 3.14)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5.41</w:t>
            </w:r>
            <w:r>
              <w:rPr>
                <w:rFonts w:cs="Calibri"/>
                <w:color w:val="000000"/>
              </w:rPr>
              <w:br/>
              <w:t>(5.10, 5.73)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6.90</w:t>
            </w:r>
            <w:r>
              <w:rPr>
                <w:rFonts w:cs="Calibri"/>
                <w:color w:val="000000"/>
              </w:rPr>
              <w:br/>
              <w:t>(6.67, 7.14)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  <w:r>
              <w:rPr>
                <w:rFonts w:cs="Calibri"/>
                <w:color w:val="000000"/>
              </w:rPr>
              <w:br/>
              <w:t>(1.19, 1.36)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2.51</w:t>
            </w:r>
            <w:r>
              <w:rPr>
                <w:rFonts w:cs="Calibri"/>
                <w:color w:val="000000"/>
              </w:rPr>
              <w:br/>
              <w:t>(2.31, 2.70)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2.57</w:t>
            </w:r>
            <w:r>
              <w:rPr>
                <w:rFonts w:cs="Calibri"/>
                <w:color w:val="000000"/>
              </w:rPr>
              <w:br/>
              <w:t>(2.39, 2.75)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4.79</w:t>
            </w:r>
            <w:r>
              <w:rPr>
                <w:rFonts w:cs="Calibri"/>
                <w:color w:val="000000"/>
              </w:rPr>
              <w:br/>
              <w:t>(4.45, 5.14)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5.95</w:t>
            </w:r>
            <w:r>
              <w:rPr>
                <w:rFonts w:cs="Calibri"/>
                <w:color w:val="000000"/>
              </w:rPr>
              <w:br/>
              <w:t>(5.73, 6.17)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2.46</w:t>
            </w:r>
            <w:r>
              <w:rPr>
                <w:rFonts w:cs="Calibri"/>
                <w:color w:val="000000"/>
              </w:rPr>
              <w:br/>
              <w:t>(2.28, 2.64)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4.69</w:t>
            </w:r>
            <w:r>
              <w:rPr>
                <w:rFonts w:cs="Calibri"/>
                <w:color w:val="000000"/>
              </w:rPr>
              <w:br/>
              <w:t>(4.34, 5.05)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4.60</w:t>
            </w:r>
            <w:r>
              <w:rPr>
                <w:rFonts w:cs="Calibri"/>
                <w:color w:val="000000"/>
              </w:rPr>
              <w:br/>
              <w:t>(4.29, 4.92)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8.56</w:t>
            </w:r>
            <w:r>
              <w:rPr>
                <w:rFonts w:cs="Calibri"/>
                <w:color w:val="000000"/>
              </w:rPr>
              <w:br/>
              <w:t>(8.04, 9.07)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  <w:r>
              <w:rPr>
                <w:rFonts w:cs="Calibri"/>
                <w:color w:val="000000"/>
              </w:rPr>
              <w:br/>
              <w:t>(11.9, 12.7)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(1.88, 2.17)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  <w:r>
              <w:rPr>
                <w:rFonts w:cs="Calibri"/>
                <w:color w:val="000000"/>
              </w:rPr>
              <w:br/>
              <w:t>(3.57, 4.18)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3.94</w:t>
            </w:r>
            <w:r>
              <w:rPr>
                <w:rFonts w:cs="Calibri"/>
                <w:color w:val="000000"/>
              </w:rPr>
              <w:br/>
              <w:t>(3.65, 4.24)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7.46</w:t>
            </w:r>
            <w:r>
              <w:rPr>
                <w:rFonts w:cs="Calibri"/>
                <w:color w:val="000000"/>
              </w:rPr>
              <w:br/>
              <w:t>(6.89, 8.03)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  <w:r>
              <w:rPr>
                <w:rFonts w:cs="Calibri"/>
                <w:color w:val="000000"/>
              </w:rPr>
              <w:br/>
              <w:t>(10.2, 11.0)</w:t>
            </w:r>
          </w:p>
        </w:tc>
      </w:tr>
    </w:tbl>
    <w:p w:rsidR="00580A0C" w:rsidRDefault="0093472A">
      <w:r>
        <w:br w:type="page"/>
      </w:r>
    </w:p>
    <w:p w:rsidR="00580A0C" w:rsidRDefault="0093472A">
      <w:r>
        <w:t>Table 3.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80A0C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10-year risk categories,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34.1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6.88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4.34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23.2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25.1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19.9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31.8</w:t>
            </w:r>
          </w:p>
        </w:tc>
      </w:tr>
      <w:tr w:rsidR="00580A0C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28.5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17.5</w:t>
            </w:r>
          </w:p>
        </w:tc>
      </w:tr>
      <w:tr w:rsidR="00580A0C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24.3</w:t>
            </w:r>
          </w:p>
        </w:tc>
      </w:tr>
    </w:tbl>
    <w:p w:rsidR="00580A0C" w:rsidRDefault="00580A0C">
      <w:pPr>
        <w:sectPr w:rsidR="00580A0C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580A0C" w:rsidRDefault="0093472A">
      <w:r>
        <w:t>Table 4.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580A0C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580A0C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580A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580A0C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43.6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7.08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4.71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44.6</w:t>
            </w:r>
          </w:p>
        </w:tc>
      </w:tr>
      <w:tr w:rsidR="00580A0C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0.27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26.6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</w:p>
        </w:tc>
      </w:tr>
      <w:tr w:rsidR="00580A0C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49.7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</w:tr>
      <w:tr w:rsidR="00580A0C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80A0C" w:rsidRDefault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30.8</w:t>
            </w:r>
          </w:p>
        </w:tc>
      </w:tr>
    </w:tbl>
    <w:p w:rsidR="00580A0C" w:rsidRDefault="00580A0C">
      <w:pPr>
        <w:sectPr w:rsidR="00580A0C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:rsidR="0093472A" w:rsidRDefault="0093472A" w:rsidP="0093472A">
      <w:r>
        <w:t>Table X. Characteristics of US adults with SBP of 130-139 mm Hg or DBP of 80-89 mm Hg by predicted risk use based on the 2013-2020 National Health and Nutrition Examination Survey.</w:t>
      </w:r>
      <w:r w:rsidR="00F20856">
        <w:t xml:space="preserve"> </w:t>
      </w:r>
      <w:r w:rsidR="00F20856" w:rsidRPr="00F20856">
        <w:rPr>
          <w:highlight w:val="yellow"/>
        </w:rPr>
        <w:t>USE TOTAL CVD FOR PREVENT AND ASCVD FOR PCE</w:t>
      </w:r>
    </w:p>
    <w:tbl>
      <w:tblPr>
        <w:tblW w:w="8458" w:type="dxa"/>
        <w:jc w:val="center"/>
        <w:tblLayout w:type="fixed"/>
        <w:tblLook w:val="0420" w:firstRow="1" w:lastRow="0" w:firstColumn="0" w:lastColumn="0" w:noHBand="0" w:noVBand="1"/>
      </w:tblPr>
      <w:tblGrid>
        <w:gridCol w:w="3706"/>
        <w:gridCol w:w="1584"/>
        <w:gridCol w:w="1584"/>
        <w:gridCol w:w="1584"/>
      </w:tblGrid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Prevent &lt;15%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(n=278)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Prevent </w:t>
            </w:r>
            <w:r>
              <w:rPr>
                <w:rFonts w:cs="Calibri"/>
              </w:rPr>
              <w:t>≥</w:t>
            </w:r>
            <w:r>
              <w:t>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Prevalence ratio </w:t>
            </w: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Race/ethnicity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1 (ref)</w:t>
            </w: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rPr>
          <w:jc w:val="center"/>
        </w:trPr>
        <w:tc>
          <w:tcPr>
            <w:tcW w:w="37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</w:tbl>
    <w:p w:rsidR="0093472A" w:rsidRDefault="0093472A"/>
    <w:p w:rsidR="0093472A" w:rsidRDefault="0093472A">
      <w:pPr>
        <w:spacing w:after="160" w:line="259" w:lineRule="auto"/>
        <w:sectPr w:rsidR="0093472A">
          <w:footerReference w:type="default" r:id="rId7"/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  <w:r>
        <w:br w:type="page"/>
      </w:r>
    </w:p>
    <w:p w:rsidR="0093472A" w:rsidRDefault="0093472A">
      <w:pPr>
        <w:spacing w:after="160" w:line="259" w:lineRule="auto"/>
      </w:pPr>
    </w:p>
    <w:p w:rsidR="0093472A" w:rsidRDefault="0093472A" w:rsidP="0093472A">
      <w:r>
        <w:t>Table X. Characteristics of US adults by BP category and predicted risk use based on the 2013-2020 National Health and Nutrition Examination Survey.</w:t>
      </w:r>
    </w:p>
    <w:tbl>
      <w:tblPr>
        <w:tblW w:w="13500" w:type="dxa"/>
        <w:tblInd w:w="-8" w:type="dxa"/>
        <w:tblLayout w:type="fixed"/>
        <w:tblLook w:val="0420" w:firstRow="1" w:lastRow="0" w:firstColumn="0" w:lastColumn="0" w:noHBand="0" w:noVBand="1"/>
      </w:tblPr>
      <w:tblGrid>
        <w:gridCol w:w="2610"/>
        <w:gridCol w:w="1800"/>
        <w:gridCol w:w="1440"/>
        <w:gridCol w:w="1350"/>
        <w:gridCol w:w="1260"/>
        <w:gridCol w:w="1260"/>
        <w:gridCol w:w="1260"/>
        <w:gridCol w:w="1260"/>
        <w:gridCol w:w="1260"/>
      </w:tblGrid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SBP &lt; 120 mm Hg and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DBP &lt; 80 mm Hg</w:t>
            </w:r>
          </w:p>
        </w:tc>
        <w:tc>
          <w:tcPr>
            <w:tcW w:w="261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SBP of 120-129 mm Hg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DBP &lt; 80 mm Hg</w:t>
            </w:r>
          </w:p>
        </w:tc>
        <w:tc>
          <w:tcPr>
            <w:tcW w:w="252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rPr>
                <w:rFonts w:cs="Calibri"/>
              </w:rPr>
              <w:t>SBP ≥</w:t>
            </w:r>
            <w:r>
              <w:t xml:space="preserve">140 mm Hg or 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DBP </w:t>
            </w:r>
            <w:r>
              <w:rPr>
                <w:rFonts w:cs="Calibri"/>
              </w:rPr>
              <w:t>≥</w:t>
            </w:r>
            <w:r>
              <w:t xml:space="preserve"> 90 mm Hg</w:t>
            </w:r>
          </w:p>
        </w:tc>
        <w:tc>
          <w:tcPr>
            <w:tcW w:w="252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Taking antihypertensive medications</w:t>
            </w: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Prevent &lt;15%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Prevent </w:t>
            </w:r>
            <w:r>
              <w:rPr>
                <w:rFonts w:cs="Calibri"/>
              </w:rPr>
              <w:t>≥</w:t>
            </w:r>
            <w:r>
              <w:t>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Prevent &lt;15%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Prevent </w:t>
            </w:r>
            <w:r>
              <w:rPr>
                <w:rFonts w:cs="Calibri"/>
              </w:rPr>
              <w:t>≥</w:t>
            </w:r>
            <w:r>
              <w:t>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Prevent &lt;15%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Prevent </w:t>
            </w:r>
            <w:r>
              <w:rPr>
                <w:rFonts w:cs="Calibri"/>
              </w:rPr>
              <w:t>≥</w:t>
            </w:r>
            <w:r>
              <w:t>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Prevent &lt;15%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PCE </w:t>
            </w:r>
            <w:r>
              <w:rPr>
                <w:rFonts w:cs="Calibri"/>
              </w:rPr>
              <w:t>≥</w:t>
            </w:r>
            <w:r>
              <w:t xml:space="preserve"> 10%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 xml:space="preserve">Prevent </w:t>
            </w:r>
            <w:r>
              <w:rPr>
                <w:rFonts w:cs="Calibri"/>
              </w:rPr>
              <w:t>≥</w:t>
            </w:r>
            <w:r>
              <w:t>15%</w:t>
            </w:r>
          </w:p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  <w:r>
              <w:t>(n=)</w:t>
            </w: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Race/ethnicity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  <w:tr w:rsidR="0093472A" w:rsidTr="0093472A">
        <w:tc>
          <w:tcPr>
            <w:tcW w:w="26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3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:rsidR="0093472A" w:rsidRDefault="0093472A" w:rsidP="009347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</w:pPr>
          </w:p>
        </w:tc>
      </w:tr>
    </w:tbl>
    <w:p w:rsidR="0093472A" w:rsidRDefault="0093472A"/>
    <w:sectPr w:rsidR="0093472A" w:rsidSect="0093472A">
      <w:pgSz w:w="16848" w:h="11952" w:orient="landscape"/>
      <w:pgMar w:top="720" w:right="1800" w:bottom="720" w:left="1800" w:header="720" w:footer="720" w:gutter="72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2FB" w:rsidRDefault="00EC12FB">
      <w:pPr>
        <w:spacing w:after="0" w:line="240" w:lineRule="auto"/>
      </w:pPr>
      <w:r>
        <w:separator/>
      </w:r>
    </w:p>
  </w:endnote>
  <w:endnote w:type="continuationSeparator" w:id="0">
    <w:p w:rsidR="00EC12FB" w:rsidRDefault="00EC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3472A" w:rsidRPr="005C0BA9" w:rsidRDefault="0093472A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F20856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93472A" w:rsidRDefault="0093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2FB" w:rsidRDefault="00EC12FB">
      <w:pPr>
        <w:spacing w:after="0" w:line="240" w:lineRule="auto"/>
      </w:pPr>
      <w:r>
        <w:separator/>
      </w:r>
    </w:p>
  </w:footnote>
  <w:footnote w:type="continuationSeparator" w:id="0">
    <w:p w:rsidR="00EC12FB" w:rsidRDefault="00EC1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26C4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757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0C"/>
    <w:rsid w:val="0007117C"/>
    <w:rsid w:val="0033123A"/>
    <w:rsid w:val="00580A0C"/>
    <w:rsid w:val="00835DC1"/>
    <w:rsid w:val="0093472A"/>
    <w:rsid w:val="00EC12FB"/>
    <w:rsid w:val="00F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83524-F2E8-4EEB-855B-EEFBB524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placeholder</vt:lpstr>
    </vt:vector>
  </TitlesOfParts>
  <Company>University of Alabama at Birmingham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Muntner, Paul M</dc:creator>
  <cp:keywords/>
  <cp:lastModifiedBy>Byron C Jaeger</cp:lastModifiedBy>
  <cp:revision>2</cp:revision>
  <dcterms:created xsi:type="dcterms:W3CDTF">2024-02-11T18:02:00Z</dcterms:created>
  <dcterms:modified xsi:type="dcterms:W3CDTF">2024-02-11T18:02:00Z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