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placeholder</w:t>
      </w:r>
    </w:p>
    <w:p>
      <w:pPr>
        <w:pStyle w:val="FirstParagraph"/>
      </w:pPr>
      <w:r>
        <w:t xml:space="preserve">Byron C. Jaeger, PhD,</w:t>
      </w:r>
      <w:r>
        <w:rPr>
          <w:vertAlign w:val="superscript"/>
        </w:rPr>
        <w:t xml:space="preserve">1</w:t>
      </w:r>
    </w:p>
    <w:p>
      <w:pPr>
        <w:pStyle w:val="BodyText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Department of Biostatistics and Data Science, Wake Forest School of Medicine, Winston-Salem, NC.</w:t>
      </w:r>
      <w:r>
        <w:t xml:space="preserve"> </w:t>
      </w:r>
    </w:p>
    <w:p>
      <w:r>
        <w:br w:type="page"/>
      </w:r>
    </w:p>
    <w:p>
      <w:pPr>
        <w:pStyle w:val="BodyText"/>
      </w:pPr>
      <w:r>
        <w:t xml:space="preserve">Table: Exclusions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Inclusion criteria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2013-2014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2017-2020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NHANES participants from 2013-2020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15,560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the interview and examination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33,657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30-79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history of CVD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5,904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SBP, DBP and self-reported antihypertensive medication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5,319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information on other variables in the PCEs and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4,944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variables in range for PREVENT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1. Characteristics of US adults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2,579)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3,528)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1,321)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1,536)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(n = 1,104)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US Adults, millions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(95% CI) of US 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(37.4, 40.3)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(12.7, 15.0)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(13.8, 16.1)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(8.68, 10.6)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(21.6, 24.2)</w:t>
            </w:r>
          </w:p>
        </w:tc>
      </w:tr>
      <w:tr>
        <w:trPr>
          <w:trHeight w:val="360" w:hRule="auto"/>
        </w:trPr>
        body 3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(44.3, 45.7)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(49.3, 50.9)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(49.3, 51.0)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(54.0, 55.6)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(58.9, 60.1)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 gender,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</w:tr>
      <w:tr>
        <w:trPr>
          <w:trHeight w:val="360" w:hRule="auto"/>
        </w:trPr>
        body 6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(193, 196)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(197, 203)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(201, 207)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(206, 213)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(193, 197)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(55.1, 56.7)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(52.2, 54.5)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(52.7, 54.9)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(52.5, 55.5)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(52.1, 53.6)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(137, 140)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(144, 149)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(147, 153)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(152, 159)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(140, 144)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(5.39, 5.45)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(5.55, 5.68)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(5.62, 5.77)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(5.66, 5.83)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(5.91, 6.02)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eGFR, ml/min/1.73 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(98.1, 100)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(94.2, 96.4)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(94.6, 97.0)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(90.8, 93.9)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(85.0, 87.0)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 &lt; 60 ml/min/1.73 m2,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(10.4, 13.8)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(8.80, 17.3)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(16.2, 29.2)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(29.2, 58.2)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(29.2, 58.9)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 &gt; 30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(110, 110)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(124, 125)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(129, 130)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(148, 150)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(130, 132)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(66.8, 67.6)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(70.7, 71.6)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(78.9, 80.0)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(82.9, 85.2)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(72.5, 73.8)</w:t>
            </w:r>
          </w:p>
        </w:tc>
      </w:tr>
      <w:tr>
        <w:trPr>
          <w:trHeight w:val="2880" w:hRule="auto"/>
        </w:trPr>
        footer 1
        <w:tc>
          <w:tcPr>
            <w:gridSpan w:val="6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</w:t>
            </w:r>
          </w:p>
        </w:tc>
      </w:tr>
      <w:tr>
        <w:trPr>
          <w:trHeight w:val="288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>
        <w:trPr>
          <w:trHeight w:val="2880" w:hRule="auto"/>
        </w:trPr>
        footer 3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– systolic blood pressure; DBP – diastolic blood pressure; eGFR - estimated glomerular filtration rate.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 Ten-year predicted cardiovascular disease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(95% CI) 10-year predicted risk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ASCVD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(2.31, 2.78)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(4.99, 5.97)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(5.20, 6.26)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(9.76, 11.3)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(13.1, 14.4)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(1.39, 1.61)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(2.69, 3.12)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(2.80, 3.23)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(5.11, 5.73)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(6.42, 6.93)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(1.25, 1.45)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(2.45, 2.84)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(2.63, 3.07)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(4.75, 5.46)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(5.81, 6.31)</w:t>
            </w:r>
          </w:p>
        </w:tc>
      </w:tr>
      <w:tr>
        <w:trPr>
          <w:trHeight w:val="360" w:hRule="auto"/>
        </w:trPr>
        body5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CVD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(2.18, 2.55)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(4.16, 4.83)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(4.30, 5.00)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(7.92, 8.92)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(11.0, 11.9)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(1.92, 2.25)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(3.69, 4.30)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(3.96, 4.67)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(7.20, 8.34)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(9.91, 10.8)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3. Distribution of 10-year predicted risk by blood pressure levels and antihypertensive medication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10-year risk categories,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Pooled cohort equations - ASCVD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</w:t>
            </w:r>
          </w:p>
        </w:tc>
      </w:tr>
      <w:tr>
        <w:trPr>
          <w:trHeight w:val="360" w:hRule="auto"/>
        </w:trPr>
        body 6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ASCVD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</w:tr>
      <w:tr>
        <w:trPr>
          <w:trHeight w:val="360" w:hRule="auto"/>
        </w:trPr>
        body11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</w:t>
            </w:r>
          </w:p>
        </w:tc>
      </w:tr>
      <w:tr>
        <w:trPr>
          <w:trHeight w:val="360" w:hRule="auto"/>
        </w:trPr>
        body16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</w:t>
            </w:r>
          </w:p>
        </w:tc>
      </w:tr>
      <w:tr>
        <w:trPr>
          <w:trHeight w:val="360" w:hRule="auto"/>
        </w:trPr>
        body21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Total CVD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 to 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 to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4. Cross-categorization of 10-year predicted risk by the PREVENT and pooled cohort equations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44.8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</w:tr>
      <w:tr>
        <w:trPr>
          <w:trHeight w:val="360" w:hRule="auto"/>
        </w:trPr>
        body11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 Sensitivity analysis: Cross-categorization of 10-year predicted risk by the PREVENT and pooled cohort equations based on the 2013-2020 National Health and Nutrition Examination Survey after excluding people age ≥65 years, with diabetes or chronic kidney disease (ACR &gt; 30 mg/g or eGFR &lt; 60 ml/min/1.73 m</w:t>
      </w:r>
      <w:r>
        <w:rPr>
          <w:vertAlign w:val="superscript"/>
        </w:rPr>
        <w:t xml:space="preserve">2</w:t>
      </w:r>
      <w:r>
        <w:t xml:space="preserve">).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4 stratified by age. Cross-categorization of 10-year predicted risk by the PREVENT and pooled cohort equations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>
        <w:trPr>
          <w:trHeight w:val="2160" w:hRule="auto"/>
          <w:tblHeader/>
        </w:trPr>
        header 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SBP/DBP categories in mm Hg among US adults not taking antihypertensive medication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</w:tr>
      <w:tr>
        <w:trPr>
          <w:trHeight w:val="360" w:hRule="auto"/>
        </w:trPr>
        body 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72.9</w:t>
            </w:r>
          </w:p>
        </w:tc>
      </w:tr>
      <w:tr>
        <w:trPr>
          <w:trHeight w:val="360" w:hRule="auto"/>
        </w:trPr>
        body11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ASCVD; Age &lt; 60 years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</w:t>
            </w:r>
          </w:p>
        </w:tc>
      </w:tr>
      <w:tr>
        <w:trPr>
          <w:trHeight w:val="360" w:hRule="auto"/>
        </w:trPr>
        body16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full equation - ASCVD; Age ≥ 60 years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</w:t>
            </w:r>
          </w:p>
        </w:tc>
      </w:tr>
      <w:tr>
        <w:trPr>
          <w:trHeight w:val="360" w:hRule="auto"/>
        </w:trPr>
        body21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&lt; 60 years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80.6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</w:tr>
      <w:tr>
        <w:trPr>
          <w:trHeight w:val="360" w:hRule="auto"/>
        </w:trPr>
        body26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 base equation - Total CVD; Age ≥ 60 years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28.7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5: Characteristics of US adults with SBP of 130-139 mm Hg or DBP of 80-89 mm Hg by predicted risk use based on the 2013-2020 National Health and Nutrition Examination Survey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>
        <w:trPr>
          <w:trHeight w:val="2160" w:hRule="auto"/>
          <w:tblHeader/>
        </w:trPr>
        header 1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Prevalence ratio (95% CI)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per 5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(61.3, 63.8)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(72.0, 74.9)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(1.90 3.14)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(2.04 3.26)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(0.50 1.56)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(1.10 3.39)</w:t>
            </w:r>
          </w:p>
        </w:tc>
      </w:tr>
      <w:tr>
        <w:trPr>
          <w:trHeight w:val="360" w:hRule="auto"/>
        </w:trPr>
        body 3
        <w:tc>
          <w:tcPr>
            <w:gridSpan w:val="5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(ref)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(0.44 2.23)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(0.81 2.89)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(0.40 2.44)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(0.96 2.99)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(0.60 2.06)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(1.38 3.77)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(1.77 6.84)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(1.37 3.57)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(0.38 1.36)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(1.79 5.13)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per 40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(203, 215)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(189, 204)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(0.59 0.95)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(0.62 1.16)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per 20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(48.2, 53.2)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(46.8, 54.3)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(0.70 1.39)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(0.34 0.61)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per 20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(152, 165)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(136, 155)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(0.78 0.99)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(0.90 1.20)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(0.52 1.85)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(0.43 1.15)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(5.76, 6.35)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(6.03, 6.91)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(0.99 1.24)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(1.30 1.60)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(1.23 4.23)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(1.80 3.80)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eGFR, per 5 ml/min/1.73 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(83.5, 89.1)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(75.3, 82.7)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(0.80 0.94)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(0.90 1.07)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 &lt; 60 ml/min/1.73 m2,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(2.02 5.26)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(1.11 2.45)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ratio, per log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(2.00, 2.60)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(2.24, 2.86)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(0.90 1.46)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(0.94 1.54)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 &gt; 30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(0.42 2.44)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(0.60 1.81)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per 10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(1.11 3.31)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(0.68 1.94)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per 5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(73.8, 77.0)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(67.4, 74.0)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(0.77 0.96)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(0.93 1.16)</w:t>
            </w:r>
          </w:p>
        </w:tc>
      </w:tr>
      <w:tr>
        <w:trPr>
          <w:trHeight w:val="2880" w:hRule="auto"/>
        </w:trPr>
        footer 1
        <w:tc>
          <w:tcPr>
            <w:gridSpan w:val="5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</w:t>
            </w:r>
          </w:p>
        </w:tc>
      </w:tr>
      <w:tr>
        <w:trPr>
          <w:trHeight w:val="288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‡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for age and sex.</w:t>
            </w:r>
          </w:p>
        </w:tc>
      </w:tr>
    </w:tbl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BodyText"/>
      </w:pPr>
      <w:r>
        <w:t xml:space="preserve">Table 6: Characteristics of US adults by BP category and predicted risk use based on the 2013-2020 National Health and Nutrition Examination Survey.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21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&lt;120/80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120-129/&lt;80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130-139/80-89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≥140/90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Taking antihypertensive medication</w:t>
            </w:r>
          </w:p>
        </w:tc>
      </w:tr>
      <w:tr>
        <w:trPr>
          <w:trHeight w:val="2160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  <w:r>
              <w:rPr>
                <w:rFonts w:ascii="Calibri" w:hAnsi="Calibri" w:eastAsia="Calibri" w:cs="Calibri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&lt; 15%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PCE ≥ 10% PREVENT ≥ 15%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(61.7, 67.3)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(71.9, 74.4)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(63.9, 66.4)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(70.8, 74.4)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(61.3, 63.8)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(72.0, 74.9)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(59.5, 62.2)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(68.5, 71.1)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(60.9, 63.0)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(69.9, 70.8)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</w:t>
            </w:r>
          </w:p>
        </w:tc>
      </w:tr>
      <w:tr>
        <w:trPr>
          <w:trHeight w:val="360" w:hRule="auto"/>
        </w:trPr>
        body 3
        <w:tc>
          <w:tcPr>
            <w:gridSpan w:val="11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Race/ethnicity, %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Non-Hispanic 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4.67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2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Cigarette smoking,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(193, 211)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(174, 193)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(201, 217)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(179, 209)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(203, 215)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(189, 204)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(209, 223)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(195, 210)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(194, 204)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(185, 191)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(45.0, 56.5)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(43.6, 53.8)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(46.6, 52.4)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(44.2, 50.9)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(48.2, 53.2)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(46.8, 54.3)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(52.0, 57.0)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(47.8, 53.4)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(51.0, 54.7)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(49.7, 53.0)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Non-HDL cholesterol, mg/dL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(138, 164)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(123, 148)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(151, 168)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(152, 165)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(136, 155)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(154, 169)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(144, 159)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(141, 151)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(134, 140)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 use,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HbA1c,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(5.67, 6.20)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(5.75, 6.17)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(5.75, 6.27)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(5.81, 6.64)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(5.76, 6.35)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(6.03, 6.91)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(5.66, 5.95)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(6.12, 6.71)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(5.86, 6.14)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(6.25, 6.45)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eGFR, ml/min/1.73 m2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(85.5, 90.9)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(71.8, 81.3)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(82.8, 89.1)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(70.9, 81.7)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(83.5, 89.1)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(75.3, 82.7)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(86.9, 91.7)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(73.8, 81.3)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(85.2, 89.1)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(72.9, 76.2)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eGFR &lt; 60 ml/min/1.73 m2, 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ratio,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(6.27, 19.8)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(7.46, 16.7)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(-1.57, 46.9)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(9.44, 18.3)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(3.14, 68.1)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(10.5, 64.6)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(11.1, 58.8)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(54.3, 156)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(18.4, 32.8)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(45.1, 138)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Albumin-to-creatinine ratio &gt; 30 mg/g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(112, 114)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(109, 114)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(125, 126)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(125, 127)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(131, 133)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(150, 154)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(154, 159)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(133, 137)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(135, 140)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mm Hg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(64.5, 67.6)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(62.0, 65.0)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(67.3, 69.7)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(63.4, 67.4)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(73.8, 77.0)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(67.4, 74.0)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82.9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(81.0, 84.8)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76.6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(74.1, 79.0)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73.8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(72.1, 75.5)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(68.1, 70.3)</w:t>
            </w:r>
          </w:p>
        </w:tc>
      </w:tr>
      <w:tr>
        <w:trPr>
          <w:trHeight w:val="2880" w:hRule="auto"/>
        </w:trPr>
        footer 1
        <w:tc>
          <w:tcPr>
            <w:gridSpan w:val="11"/>
            <w:tcBorders>
              <w:bottom w:val="none" w:sz="0" w:space="0" w:color="FFFFFF"/>
              <w:top w:val="single" w:sz="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characteristics in the table are percentage or mean (95% confidence interval).</w:t>
            </w:r>
          </w:p>
        </w:tc>
      </w:tr>
      <w:tr>
        <w:trPr>
          <w:trHeight w:val="288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SBP – systolic blood pressure; DBP – diastolic blood pressure; eGFR - estimated glomerular filtration rate.</w:t>
            </w:r>
          </w:p>
        </w:tc>
      </w:tr>
    </w:tbl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sectPr w:officer="true">
      <w:pgMar w:header="720" w:bottom="1800" w:top="1800" w:right="720" w:left="720" w:footer="720" w:gutter="720"/>
      <w:pgSz w:h="16848" w:w="11952" w:orient="portrait"/>
      <w:type w:val="continuous"/>
      <w:cols/>
      <w:footerReference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AC55E0" w:rsidRPr="005C0BA9" w:rsidRDefault="00AC55E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097405"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:rsidR="00AC55E0" w:rsidRDefault="00AC55E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w="http://schemas.openxmlformats.org/wordprocessingml/2006/main">
  <w:zoom w:percent="1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72253"/>
    <w:pPr>
      <w:spacing w:after="200" w:line="276" w:lineRule="auto"/>
    </w:pPr>
    <w:rPr>
      <w:rFonts w:ascii="Calibri" w:cs="Times New Roman" w:eastAsia="Calibri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87225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C0BA9"/>
    <w:rPr>
      <w:rFonts w:ascii="Calibri" w:cs="Times New Roman" w:eastAsia="Calibri" w:hAnsi="Calibri"/>
    </w:rPr>
  </w:style>
  <w:style w:styleId="Footer" w:type="paragraph">
    <w:name w:val="footer"/>
    <w:basedOn w:val="Normal"/>
    <w:link w:val="FooterChar"/>
    <w:uiPriority w:val="99"/>
    <w:unhideWhenUsed/>
    <w:rsid w:val="005C0BA9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C0BA9"/>
    <w:rPr>
      <w:rFonts w:ascii="Calibri" w:cs="Times New Roman" w:eastAsia="Calibri" w:hAnsi="Calibri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D7D7E"/>
    <w:rPr>
      <w:rFonts w:ascii="Segoe UI" w:cs="Segoe UI" w:eastAsia="Calibri" w:hAnsi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placeholder</dc:title>
  <dc:creator/>
  <cp:keywords/>
  <dcterms:created xsi:type="dcterms:W3CDTF">2024-02-14T03:57:18Z</dcterms:created>
  <dcterms:modified xsi:type="dcterms:W3CDTF">2024-02-13T22:57:19Z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