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A6" w:rsidRDefault="00370363">
      <w:pPr>
        <w:pStyle w:val="Title"/>
      </w:pPr>
      <w:r>
        <w:t>Mortality/graft loss prediction using CHD diagnosis data</w:t>
      </w:r>
    </w:p>
    <w:p w:rsidR="007112A6" w:rsidRDefault="00370363">
      <w:pPr>
        <w:pStyle w:val="Author"/>
      </w:pPr>
      <w:r>
        <w:t>Byron C. Jaeger</w:t>
      </w:r>
    </w:p>
    <w:p w:rsidR="007112A6" w:rsidRDefault="00370363">
      <w:pPr>
        <w:pStyle w:val="Date"/>
      </w:pPr>
      <w:r>
        <w:t>2021-06-01</w:t>
      </w:r>
    </w:p>
    <w:p w:rsidR="007112A6" w:rsidRDefault="00370363">
      <w:r>
        <w:br w:type="page"/>
      </w:r>
    </w:p>
    <w:p w:rsidR="007112A6" w:rsidRDefault="00370363">
      <w:r>
        <w:rPr>
          <w:b/>
        </w:rPr>
        <w:lastRenderedPageBreak/>
        <w:t>Table 1</w:t>
      </w:r>
      <w:r>
        <w:t>: Characteristics of patients at listing</w:t>
      </w:r>
    </w:p>
    <w:tbl>
      <w:tblPr>
        <w:tblW w:w="0" w:type="auto"/>
        <w:jc w:val="center"/>
        <w:tblLayout w:type="fixed"/>
        <w:tblLook w:val="0420" w:firstRow="1" w:lastRow="0" w:firstColumn="0" w:lastColumn="0" w:noHBand="0" w:noVBand="1"/>
      </w:tblPr>
      <w:tblGrid>
        <w:gridCol w:w="2160"/>
        <w:gridCol w:w="2392"/>
        <w:gridCol w:w="2392"/>
        <w:gridCol w:w="2392"/>
      </w:tblGrid>
      <w:tr w:rsidR="007112A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rPr>
              <w:t>Characteristic</w:t>
            </w:r>
            <w:r>
              <w:rPr>
                <w:rFonts w:ascii="Arial" w:eastAsia="Arial" w:hAnsi="Arial" w:cs="Arial"/>
                <w:b/>
                <w:color w:val="000000"/>
                <w:vertAlign w:val="superscript"/>
              </w:rPr>
              <w:t>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4784"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rPr>
              <w:t>Mortality up to 2-years after listing</w:t>
            </w:r>
          </w:p>
        </w:tc>
      </w:tr>
      <w:tr w:rsidR="007112A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40" w:after="40"/>
              <w:ind w:left="100" w:right="100"/>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40" w:after="40"/>
              <w:ind w:left="100" w:right="100"/>
              <w:jc w:val="center"/>
            </w:pPr>
            <w:r>
              <w:rPr>
                <w:rFonts w:ascii="Arial" w:eastAsia="Arial" w:hAnsi="Arial" w:cs="Arial"/>
                <w:b/>
                <w:color w:val="000000"/>
              </w:rPr>
              <w:t>Overall, N = 10,460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40" w:after="40"/>
              <w:ind w:left="100" w:right="100"/>
              <w:jc w:val="center"/>
            </w:pPr>
            <w:r>
              <w:rPr>
                <w:rFonts w:ascii="Arial" w:eastAsia="Arial" w:hAnsi="Arial" w:cs="Arial"/>
                <w:b/>
                <w:color w:val="000000"/>
              </w:rPr>
              <w:t>No, N = 8,930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40" w:after="40"/>
              <w:ind w:left="100" w:right="100"/>
              <w:jc w:val="center"/>
            </w:pPr>
            <w:r>
              <w:rPr>
                <w:rFonts w:ascii="Arial" w:eastAsia="Arial" w:hAnsi="Arial" w:cs="Arial"/>
                <w:b/>
                <w:color w:val="000000"/>
              </w:rPr>
              <w:t>Yes, N = 1,530</w:t>
            </w:r>
          </w:p>
        </w:tc>
      </w:tr>
      <w:tr w:rsidR="007112A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Age at time of listing, years</w:t>
            </w:r>
          </w:p>
        </w:tc>
        <w:tc>
          <w:tcPr>
            <w:tcW w:w="239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2.9 (0.4, 11.8)</w:t>
            </w:r>
          </w:p>
        </w:tc>
        <w:tc>
          <w:tcPr>
            <w:tcW w:w="239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4.0 (0.5, 12.4)</w:t>
            </w:r>
          </w:p>
        </w:tc>
        <w:tc>
          <w:tcPr>
            <w:tcW w:w="239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0.6 (0.1, 3.6)</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Blood Type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A</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3,752 (36)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3,288 (37)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464 (30)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AB</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387 (3.7)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341 (3.8)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46 (3.0)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B</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1,336 (13)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1,136 (13)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200 (13)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O</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4,976 (48)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4,157 (47)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819 (54)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Medical history at Listing, Neurologic</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406 (4.0)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344 (4.0)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62 (4.3)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Patient Dialysis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80 (0.8)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60 (0.7)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 (1.3)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ECMO at Listing</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747 (7.2)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483 (5.4)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264 (17)</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Sex</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Female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4,662 (45)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3,977 (45)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685 (45)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Male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5,798 (55)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4,953 (55)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845 (55)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Height at Listing, 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89 (60, 142)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96 (62, 147)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64 (52, 93)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Temporary Device IABP</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46 (0.4)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31 (0.3)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15 (1.0)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on Life Support</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6,664 (64)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5,504 (62)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1,160 (76)</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Other Life Support</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233 (2.2)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218 (2.4)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15 (1.0)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Most Recent Serum Creatinine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0.49 (0.30, 0.70)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0.49 (0.30, 0.70)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0.50 (0.32, 0.70)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lastRenderedPageBreak/>
              <w:t>Pulmonary Wedge Pressure, mean</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15 (11, 22)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16 (11, 22)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15 (11, 21)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stent or prostaglandin infusion</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242 (2.3)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183 (2.1)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59 (3.9)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Congenital surgery prior to listing</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4,785 (46)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3,987 (45)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798 (52)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Prior to Listing Pam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23 (17, 31)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23 (17, 31)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22 (17, 31)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Hispanic or Latino</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1,894 (21)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1,608 (20)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286 (23)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on Ventilator</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2,643 (26)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1,930 (22)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713 (49)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Weight at Listing, kg</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12 (5, 35)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14 (6, 39)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 (4, 13)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Prior Heart Transplant Failure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509 (4.9)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397 (4.4)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112 (7.3)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Primary Diagnosis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Cardiomyopathy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4,575 (44)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4,140 (46)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435 (28)</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Congenital HD</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5,462 (52)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4,423 (50)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1,039 (68)</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Myocarditis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347 (3.3)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305 (3.4)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42 (2.7)</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Other</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76 (0.7)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62 (0.7)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14 (0.9)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Cardiomyopathy Type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DCM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3,524 (77)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3,194 (77)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330 (76)</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OtherCM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187 (4.1)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170 (4.1)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17 (3.9)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lastRenderedPageBreak/>
              <w:t>RCM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864 (19)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776 (19)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88 (20)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Single 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biVentricle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2,150 (39)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1,679 (38)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471 (45)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singleVentricle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3,312 (61)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2,744 (62)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568 (55)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Single Ventricle Dominant 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HLHS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2,032 (75)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1,663 (75)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369 (79)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LVdom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631 (23)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536 (24)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95 (20)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RVdom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30 (1.1)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29 (1.3)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 (0.2)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Single Ventricle Stage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516 (16)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382 (14)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134 (24)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716 (22)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561 (21)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155 (28)</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923 (28)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762 (28)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161 (29)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1,112 (34)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1,002 (37)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110 (20)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Bi-Ventricle Cardiac Surgery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cbvSurgery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1,489 (69)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1,188 (71)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301 (64)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noSurgery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661 (31)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491 (29)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170 (36)</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list_year</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2,011 (2,004, 2,016)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2,011 (2,005, 2,016)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2,010 (2,002, 2,015)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Race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White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7,186 (69)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6,168 (69)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1,018 (67)</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Black</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1,911 (18)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1,595 (18)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316 (21)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Other</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1,363 (13)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1,167 (13)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196 (13)</w:t>
            </w:r>
          </w:p>
        </w:tc>
      </w:tr>
      <w:tr w:rsidR="007112A6">
        <w:trPr>
          <w:cantSplit/>
          <w:jc w:val="center"/>
        </w:trPr>
        <w:tc>
          <w:tcPr>
            <w:tcW w:w="9336" w:type="dxa"/>
            <w:gridSpan w:val="4"/>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lastRenderedPageBreak/>
              <w:t>1</w:t>
            </w:r>
            <w:r>
              <w:rPr>
                <w:rFonts w:ascii="Arial" w:eastAsia="Arial" w:hAnsi="Arial" w:cs="Arial"/>
                <w:color w:val="000000"/>
                <w:sz w:val="22"/>
                <w:szCs w:val="22"/>
              </w:rPr>
              <w:t>Table values are median (25th percentile, 75th percentile) and percent for continuous and categorical variables, respectively.</w:t>
            </w:r>
          </w:p>
        </w:tc>
      </w:tr>
    </w:tbl>
    <w:p w:rsidR="007112A6" w:rsidRDefault="00370363">
      <w:r>
        <w:br w:type="page"/>
      </w:r>
    </w:p>
    <w:p w:rsidR="007112A6" w:rsidRDefault="00370363">
      <w:pPr>
        <w:pStyle w:val="BodyText"/>
      </w:pPr>
      <w:r>
        <w:rPr>
          <w:b/>
        </w:rPr>
        <w:lastRenderedPageBreak/>
        <w:t>Table 2</w:t>
      </w:r>
      <w:r>
        <w:t>: Characteristics of patients at transplant</w:t>
      </w:r>
    </w:p>
    <w:tbl>
      <w:tblPr>
        <w:tblW w:w="0" w:type="auto"/>
        <w:jc w:val="center"/>
        <w:tblLayout w:type="fixed"/>
        <w:tblLook w:val="0420" w:firstRow="1" w:lastRow="0" w:firstColumn="0" w:lastColumn="0" w:noHBand="0" w:noVBand="1"/>
      </w:tblPr>
      <w:tblGrid>
        <w:gridCol w:w="2160"/>
        <w:gridCol w:w="2392"/>
        <w:gridCol w:w="2392"/>
        <w:gridCol w:w="2392"/>
      </w:tblGrid>
      <w:tr w:rsidR="007112A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rPr>
              <w:t>Characteristic</w:t>
            </w:r>
            <w:r>
              <w:rPr>
                <w:rFonts w:ascii="Arial" w:eastAsia="Arial" w:hAnsi="Arial" w:cs="Arial"/>
                <w:b/>
                <w:color w:val="000000"/>
                <w:vertAlign w:val="superscript"/>
              </w:rPr>
              <w:t>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4784"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rPr>
              <w:t>Mortality or Graft loss up to 1-year after transplant</w:t>
            </w:r>
          </w:p>
        </w:tc>
      </w:tr>
      <w:tr w:rsidR="007112A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40" w:after="40"/>
              <w:ind w:left="100" w:right="100"/>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40" w:after="40"/>
              <w:ind w:left="100" w:right="100"/>
              <w:jc w:val="center"/>
            </w:pPr>
            <w:r>
              <w:rPr>
                <w:rFonts w:ascii="Arial" w:eastAsia="Arial" w:hAnsi="Arial" w:cs="Arial"/>
                <w:b/>
                <w:color w:val="000000"/>
              </w:rPr>
              <w:t>Overall, N = 7,301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40" w:after="40"/>
              <w:ind w:left="100" w:right="100"/>
              <w:jc w:val="center"/>
            </w:pPr>
            <w:r>
              <w:rPr>
                <w:rFonts w:ascii="Arial" w:eastAsia="Arial" w:hAnsi="Arial" w:cs="Arial"/>
                <w:b/>
                <w:color w:val="000000"/>
              </w:rPr>
              <w:t>No, N = 6,584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40" w:after="40"/>
              <w:ind w:left="100" w:right="100"/>
              <w:jc w:val="center"/>
            </w:pPr>
            <w:r>
              <w:rPr>
                <w:rFonts w:ascii="Arial" w:eastAsia="Arial" w:hAnsi="Arial" w:cs="Arial"/>
                <w:b/>
                <w:color w:val="000000"/>
              </w:rPr>
              <w:t>Yes, N = 717</w:t>
            </w:r>
          </w:p>
        </w:tc>
      </w:tr>
      <w:tr w:rsidR="007112A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Donor to Recipient Height Ratio</w:t>
            </w:r>
          </w:p>
        </w:tc>
        <w:tc>
          <w:tcPr>
            <w:tcW w:w="239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1.11 (1.01, 1.26)</w:t>
            </w:r>
          </w:p>
        </w:tc>
        <w:tc>
          <w:tcPr>
            <w:tcW w:w="239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1.11 (1.01, 1.25)</w:t>
            </w:r>
          </w:p>
        </w:tc>
        <w:tc>
          <w:tcPr>
            <w:tcW w:w="239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1.13 (1.03, 1.30)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Dialysis since Listing</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38 (0.5)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32 (0.5)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 (0.8)</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ECMO at Transplant</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368 (5.1)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259 (3.9)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109 (15)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Most Recent Total Bilirubin at Transplant</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0.70 (0.40, 1.20)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0.60 (0.40, 1.20)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0.80 (0.40, 1.47)</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Primary Diagnosis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Cardiomyopathy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3,472 (48)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3,297 (50)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175 (24)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Congenital HD</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3,597 (49)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3,082 (47)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515 (72)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Myocarditis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200 (2.7)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177 (2.7)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23 (3.2)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Other</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32 (0.4)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28 (0.4)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 (0.6)</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Recipient Ventilator at Transplant</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1,326 (19)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1,094 (17)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232 (33)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Cardiomyopathy Type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DCM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2,675 (77)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2,553 (77)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122 (70)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OtherCM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137 (3.9)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130 (3.9)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 (4.0)</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RCM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660 (19)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614 (19)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46 (26)</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Single 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lastRenderedPageBreak/>
              <w:t>biVentricle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1,378 (38)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1,182 (38)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196 (38)</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singleVentricle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2,219 (62)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1,900 (62)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319 (62)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Single Ventricle Dominant Ventricle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HLHS</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1,353 (75)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1,147 (75)</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206 (77)</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LVdom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425 (24)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367 (24)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58 (22)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RVdom</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24 (1.3)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22 (1.4)</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 (0.8)</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Single Ventricle Stage</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375 (17)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309 (16)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66 (21)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1</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435 (20)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359 (19)</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76 (24)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2</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608 (27)</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538 (28)</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70 (22)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3</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800 (36)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693 (36)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107 (34)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CHD Bi-Ventricle Cardiac Surgery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cbvSurgery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966 (70)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831 (70)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135 (69)</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300" w:right="100"/>
            </w:pPr>
            <w:r>
              <w:rPr>
                <w:rFonts w:ascii="Arial" w:eastAsia="Arial" w:hAnsi="Arial" w:cs="Arial"/>
                <w:color w:val="000000"/>
              </w:rPr>
              <w:t>noSurgery</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412 (30)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351 (30)</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61 (31)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7112A6" w:rsidRDefault="00370363">
            <w:pPr>
              <w:spacing w:before="100" w:after="100"/>
              <w:ind w:left="100" w:right="100"/>
            </w:pPr>
            <w:r>
              <w:rPr>
                <w:rFonts w:ascii="Arial" w:eastAsia="Arial" w:hAnsi="Arial" w:cs="Arial"/>
                <w:color w:val="000000"/>
              </w:rPr>
              <w:t>txpl_year</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2,011 (2,004, 2,016)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2,011 (2,005, 2,016)</w:t>
            </w:r>
          </w:p>
        </w:tc>
        <w:tc>
          <w:tcPr>
            <w:tcW w:w="23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rPr>
              <w:t>2,008 (2,001, 2,014)</w:t>
            </w:r>
          </w:p>
        </w:tc>
      </w:tr>
      <w:tr w:rsidR="007112A6">
        <w:trPr>
          <w:cantSplit/>
          <w:jc w:val="center"/>
        </w:trPr>
        <w:tc>
          <w:tcPr>
            <w:tcW w:w="9336" w:type="dxa"/>
            <w:gridSpan w:val="4"/>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Table values are median (25th percentile, 75th percentile) and percent for continuous and categorical variables, respectively.</w:t>
            </w:r>
          </w:p>
        </w:tc>
      </w:tr>
    </w:tbl>
    <w:p w:rsidR="007112A6" w:rsidRDefault="00370363">
      <w:r>
        <w:br w:type="page"/>
      </w:r>
    </w:p>
    <w:p w:rsidR="007112A6" w:rsidRDefault="00370363">
      <w:pPr>
        <w:pStyle w:val="BodyText"/>
      </w:pPr>
      <w:r>
        <w:rPr>
          <w:b/>
        </w:rPr>
        <w:lastRenderedPageBreak/>
        <w:t>Table 3</w:t>
      </w:r>
      <w:r>
        <w:t>: Hazard ratios (95% confidence interval) for mortality within 2 years of listing among patients with congenital heart disease versus cardiomyopathy</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7112A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P-value</w:t>
            </w:r>
          </w:p>
        </w:tc>
      </w:tr>
      <w:tr w:rsidR="007112A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a</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435 / 4,575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1,039 / 5,462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1.9 (1.7, 2.1)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2.2 (1.9,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435 / 4,575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471 / 2,150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2.5 (2.2,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(1.9, 2.7)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568 / 3,312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1.6 (1.4, 1.8)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2.1 (1.8, 2.5)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435 / 4,575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301 / 1,489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2.2 (1.9,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(1.8, 2.9)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170 / 661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3.2 (2.6, 3.8)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(1.9,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472 / 2,651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1.6 (1.4, 1.8)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2.2 (1.8,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95 / 631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1.4 (1.1, 1.8)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1.8 (1.3, 2.3)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 30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0.32 (0.04, 2.3)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0.44 (0.06, 3.2)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4</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435 / 4,575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lastRenderedPageBreak/>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301 / 1,489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2.2 (1.9,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(1.8,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170 / 661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3.2 (2.7, 3.8)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(1.9,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235 / 1,689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1.1 (0.96, 1.3)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2.0 (1.6, 2.6)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237 / 962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2.8 (2.4, 3.3)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(1.9, 2.8)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44 / 374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1.1 (0.77, 1.4)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1.9 (1.3, 2.7)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51 / 257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2.0 (1.5, 2.7)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1.6 (1.2, 2.2)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.005</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 30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0.32 (0.04, 2.3)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0.43 (0.06, 3.1)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.40</w:t>
            </w:r>
          </w:p>
        </w:tc>
      </w:tr>
      <w:tr w:rsidR="007112A6">
        <w:trPr>
          <w:cantSplit/>
          <w:jc w:val="center"/>
        </w:trPr>
        <w:tc>
          <w:tcPr>
            <w:tcW w:w="10800" w:type="dxa"/>
            <w:gridSpan w:val="5"/>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r w:rsidR="007112A6">
        <w:trPr>
          <w:cantSplit/>
          <w:jc w:val="center"/>
        </w:trPr>
        <w:tc>
          <w:tcPr>
            <w:tcW w:w="10800" w:type="dxa"/>
            <w:gridSpan w:val="5"/>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Due to smaller sample size, stage was not analyzed in this group</w:t>
            </w:r>
          </w:p>
        </w:tc>
      </w:tr>
    </w:tbl>
    <w:p w:rsidR="007112A6" w:rsidRDefault="00370363">
      <w:r>
        <w:br w:type="page"/>
      </w:r>
    </w:p>
    <w:p w:rsidR="007112A6" w:rsidRDefault="00370363">
      <w:pPr>
        <w:pStyle w:val="BodyText"/>
      </w:pPr>
      <w:r>
        <w:rPr>
          <w:b/>
        </w:rPr>
        <w:lastRenderedPageBreak/>
        <w:t>Table 4</w:t>
      </w:r>
      <w:r>
        <w:t>: Hazard ratios (95% confidence interval) for mortality within 2 years of listing among patients with cardiomyopathy versus congenital heart disease.</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7112A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P-value</w:t>
            </w:r>
          </w:p>
        </w:tc>
      </w:tr>
      <w:tr w:rsidR="007112A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1</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1,039 / 5,462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435 / 4,575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0.53 (0.48, 0.59)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0.46 (0.39, 0.53)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1,039 / 5,462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88 / 864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0.47 (0.38, 0.59)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0.62 (0.48, 0.79)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DCM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330 / 3,524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0.55 (0.49, 0.63)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0.43 (0.37, 0.51)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OtherCM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 / 187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0.47 (0.29, 0.77)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0.36 (0.22, 0.59)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bl>
    <w:p w:rsidR="007112A6" w:rsidRDefault="00370363">
      <w:r>
        <w:br w:type="page"/>
      </w:r>
    </w:p>
    <w:p w:rsidR="007112A6" w:rsidRDefault="00370363">
      <w:pPr>
        <w:pStyle w:val="BodyText"/>
      </w:pPr>
      <w:r>
        <w:rPr>
          <w:b/>
        </w:rPr>
        <w:lastRenderedPageBreak/>
        <w:t>Table 5</w:t>
      </w:r>
      <w:r>
        <w:t>: Hazard ratios (95% confidence interval) for mortality or graft loss within 1 year of transplant among patients with congenital heart disease versus cardiomyopathy</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7112A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P-value</w:t>
            </w:r>
          </w:p>
        </w:tc>
      </w:tr>
      <w:tr w:rsidR="007112A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a</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175 / 3,472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515 / 3,597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 (2.5, 3.5)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2.8 (2.4, 3.3)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175 / 3,472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196 / 1,378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 (2.4,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2.7 (2.2, 3.3)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319 / 2,219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 (2.5,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2.9 (2.4, 3.5)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3</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175 / 3,472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135 / 966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2.9 (2.3,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2.6 (2.1, 3.3)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61 / 412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3.1 (2.3, 4.1)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2.8 (2.1, 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259 / 1,770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3.1 (2.5, 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 (2.5,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58 / 425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2.9 (2.1, 3.8)</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2.8 (2.1, 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 / 24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1.6 (0.40, 6.5)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 (0.31, 5.2)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.73</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4</w:t>
            </w:r>
          </w:p>
        </w:tc>
      </w:tr>
      <w:tr w:rsidR="00370363">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r>
      <w:tr w:rsidR="00370363">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70363" w:rsidRDefault="00370363">
            <w:pPr>
              <w:spacing w:before="100" w:after="100"/>
              <w:ind w:left="100" w:right="100"/>
              <w:jc w:val="center"/>
              <w:rPr>
                <w:rFonts w:ascii="Arial" w:eastAsia="Arial" w:hAnsi="Arial" w:cs="Arial"/>
                <w:color w:val="000000"/>
                <w:sz w:val="22"/>
                <w:szCs w:val="22"/>
              </w:rPr>
            </w:pP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lastRenderedPageBreak/>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175 / 3,472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CBV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135 / 966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2.9 (2.3,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2.6 (2.1, 3.3)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r>
              <w:rPr>
                <w:rFonts w:ascii="Arial" w:eastAsia="Arial" w:hAnsi="Arial" w:cs="Arial"/>
                <w:color w:val="000000"/>
                <w:sz w:val="22"/>
                <w:szCs w:val="22"/>
              </w:rPr>
              <w:br/>
              <w:t>no Surgery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61 / 412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3.1 (2.3, 4.1)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2.8 (2.1, 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139 / 1,135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2.5 (2.0, 3.2)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2.6 (2.1, 3.2)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HLHS;</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120 / 635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4.0 (3.2, 5.1)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3.6 (2.9, 4.6)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37 / 261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 (2.1, 4.3)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3.1 (2.2, 4.5)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LVdom;</w:t>
            </w:r>
            <w:r>
              <w:rPr>
                <w:rFonts w:ascii="Arial" w:eastAsia="Arial" w:hAnsi="Arial" w:cs="Arial"/>
                <w:color w:val="000000"/>
                <w:sz w:val="22"/>
                <w:szCs w:val="22"/>
              </w:rPr>
              <w:br/>
              <w:t>Stage &lt;2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21 / 164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2.7 (1.7, 4.2)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 (1.5, 3.6)</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single-Ventricle;</w:t>
            </w:r>
            <w:r>
              <w:rPr>
                <w:rFonts w:ascii="Arial" w:eastAsia="Arial" w:hAnsi="Arial" w:cs="Arial"/>
                <w:color w:val="000000"/>
                <w:sz w:val="22"/>
                <w:szCs w:val="22"/>
              </w:rPr>
              <w:br/>
              <w:t>RVdom</w:t>
            </w:r>
            <w:r>
              <w:rPr>
                <w:rFonts w:ascii="Arial" w:eastAsia="Arial" w:hAnsi="Arial" w:cs="Arial"/>
                <w:color w:val="000000"/>
                <w:sz w:val="22"/>
                <w:szCs w:val="22"/>
                <w:vertAlign w:val="superscript"/>
              </w:rPr>
              <w:t>b</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 / 24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1.6 (0.40, 6.5)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 (0.32, 5.3)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.72</w:t>
            </w:r>
          </w:p>
        </w:tc>
      </w:tr>
      <w:tr w:rsidR="007112A6">
        <w:trPr>
          <w:cantSplit/>
          <w:jc w:val="center"/>
        </w:trPr>
        <w:tc>
          <w:tcPr>
            <w:tcW w:w="10800" w:type="dxa"/>
            <w:gridSpan w:val="5"/>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Adjusted for donor to recipient height ratio, recipient dialysis since listing, recipient ECMO at transplant, recipient most recent total bilirubin at transplant, recipient primary diagnosis, recipient ventilator at transplant, and recipient primary diagnosis</w:t>
            </w:r>
          </w:p>
        </w:tc>
      </w:tr>
      <w:tr w:rsidR="007112A6">
        <w:trPr>
          <w:cantSplit/>
          <w:jc w:val="center"/>
        </w:trPr>
        <w:tc>
          <w:tcPr>
            <w:tcW w:w="10800" w:type="dxa"/>
            <w:gridSpan w:val="5"/>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b</w:t>
            </w:r>
            <w:r>
              <w:rPr>
                <w:rFonts w:ascii="Arial" w:eastAsia="Arial" w:hAnsi="Arial" w:cs="Arial"/>
                <w:color w:val="000000"/>
                <w:sz w:val="22"/>
                <w:szCs w:val="22"/>
              </w:rPr>
              <w:t>Due to smaller sample size, stage was not analyzed in this group</w:t>
            </w:r>
          </w:p>
        </w:tc>
      </w:tr>
    </w:tbl>
    <w:p w:rsidR="007112A6" w:rsidRDefault="00370363">
      <w:r>
        <w:br w:type="page"/>
      </w:r>
    </w:p>
    <w:p w:rsidR="007112A6" w:rsidRDefault="00370363">
      <w:pPr>
        <w:pStyle w:val="BodyText"/>
      </w:pPr>
      <w:r>
        <w:rPr>
          <w:b/>
        </w:rPr>
        <w:lastRenderedPageBreak/>
        <w:t>Table 6</w:t>
      </w:r>
      <w:r>
        <w:t>: Hazard ratios (95% confidence interval) for mortality or graft loss within 1 year of transplant among patients with cardiomyopathy versus congenital heart disease.</w:t>
      </w:r>
    </w:p>
    <w:tbl>
      <w:tblPr>
        <w:tblW w:w="0" w:type="auto"/>
        <w:jc w:val="center"/>
        <w:tblLayout w:type="fixed"/>
        <w:tblLook w:val="0420" w:firstRow="1" w:lastRow="0" w:firstColumn="0" w:lastColumn="0" w:noHBand="0" w:noVBand="1"/>
      </w:tblPr>
      <w:tblGrid>
        <w:gridCol w:w="2160"/>
        <w:gridCol w:w="2160"/>
        <w:gridCol w:w="2160"/>
        <w:gridCol w:w="2160"/>
        <w:gridCol w:w="2160"/>
      </w:tblGrid>
      <w:tr w:rsidR="007112A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Diagnostic group</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N events / N at risk</w:t>
            </w:r>
          </w:p>
        </w:tc>
        <w:tc>
          <w:tcPr>
            <w:tcW w:w="43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Hazard ratio (95% CI)</w:t>
            </w:r>
          </w:p>
        </w:tc>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P-value</w:t>
            </w:r>
          </w:p>
        </w:tc>
      </w:tr>
      <w:tr w:rsidR="007112A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pP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Unadjusted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Adjusted</w:t>
            </w:r>
            <w:r>
              <w:rPr>
                <w:rFonts w:ascii="Arial" w:eastAsia="Arial" w:hAnsi="Arial" w:cs="Arial"/>
                <w:b/>
                <w:color w:val="000000"/>
                <w:sz w:val="22"/>
                <w:szCs w:val="22"/>
                <w:vertAlign w:val="superscript"/>
              </w:rPr>
              <w:t>1</w:t>
            </w:r>
          </w:p>
        </w:tc>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7112A6">
            <w:pPr>
              <w:spacing w:before="100" w:after="100"/>
              <w:ind w:left="100" w:right="100"/>
              <w:jc w:val="center"/>
            </w:pPr>
          </w:p>
        </w:tc>
      </w:tr>
      <w:tr w:rsidR="007112A6">
        <w:trPr>
          <w:cantSplit/>
          <w:jc w:val="center"/>
        </w:trPr>
        <w:tc>
          <w:tcPr>
            <w:tcW w:w="10800" w:type="dxa"/>
            <w:gridSpan w:val="5"/>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515 / 3,597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175 / 3,472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0.33 (0.28, 0.40)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0.36 (0.30, 0.42)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10800" w:type="dxa"/>
            <w:gridSpan w:val="5"/>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i/>
                <w:color w:val="000000"/>
                <w:sz w:val="22"/>
                <w:szCs w:val="22"/>
              </w:rPr>
              <w:t>Model 2</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515 / 3,597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 (ref)</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46 / 660</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0.47 (0.35, 0.63)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0.53 (0.39, 0.71)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DCM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122 / 2,675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0.30 (0.25, 0.37)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0.32 (0.26, 0.39)</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&lt;.001</w:t>
            </w:r>
          </w:p>
        </w:tc>
      </w:tr>
      <w:tr w:rsidR="007112A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r>
              <w:rPr>
                <w:rFonts w:ascii="Arial" w:eastAsia="Arial" w:hAnsi="Arial" w:cs="Arial"/>
                <w:color w:val="000000"/>
                <w:sz w:val="22"/>
                <w:szCs w:val="22"/>
              </w:rPr>
              <w:br/>
              <w:t>OtherCM</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 / 137</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0.34 (0.16, 0.72)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0.36 (0.17, 0.75)</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.007</w:t>
            </w:r>
          </w:p>
        </w:tc>
      </w:tr>
      <w:tr w:rsidR="007112A6">
        <w:trPr>
          <w:cantSplit/>
          <w:jc w:val="center"/>
        </w:trPr>
        <w:tc>
          <w:tcPr>
            <w:tcW w:w="10800" w:type="dxa"/>
            <w:gridSpan w:val="5"/>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Adjusted for donor to recipient height ratio, recipient dialysis since listing, recipient ECMO at transplant, recipient most recent total bilirubin at transplant, recipient primary diagnosis, recipient ventilator at transplant, and recipient primary diagnosis</w:t>
            </w:r>
          </w:p>
        </w:tc>
      </w:tr>
    </w:tbl>
    <w:p w:rsidR="007112A6" w:rsidRDefault="00370363">
      <w:r>
        <w:br w:type="page"/>
      </w:r>
    </w:p>
    <w:p w:rsidR="007112A6" w:rsidRDefault="00370363">
      <w:pPr>
        <w:pStyle w:val="BodyText"/>
      </w:pPr>
      <w:r>
        <w:rPr>
          <w:b/>
        </w:rPr>
        <w:lastRenderedPageBreak/>
        <w:t>Table 7</w:t>
      </w:r>
      <w:r>
        <w:t>: Area underneath the receiver operator characteristic curve when using variables in the existing UNOS risk model versus additional diagnostic variables.</w:t>
      </w:r>
    </w:p>
    <w:tbl>
      <w:tblPr>
        <w:tblW w:w="0" w:type="auto"/>
        <w:jc w:val="center"/>
        <w:tblLayout w:type="fixed"/>
        <w:tblLook w:val="0420" w:firstRow="1" w:lastRow="0" w:firstColumn="0" w:lastColumn="0" w:noHBand="0" w:noVBand="1"/>
      </w:tblPr>
      <w:tblGrid>
        <w:gridCol w:w="2016"/>
        <w:gridCol w:w="2016"/>
        <w:gridCol w:w="2016"/>
        <w:gridCol w:w="2016"/>
      </w:tblGrid>
      <w:tr w:rsidR="007112A6">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Patient group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UNOS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UNOS + CHD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Difference</w:t>
            </w:r>
          </w:p>
        </w:tc>
      </w:tr>
      <w:tr w:rsidR="007112A6">
        <w:trPr>
          <w:cantSplit/>
          <w:jc w:val="center"/>
        </w:trPr>
        <w:tc>
          <w:tcPr>
            <w:tcW w:w="8064" w:type="dxa"/>
            <w:gridSpan w:val="4"/>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Predicting death 2-years after listing</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77.3</w:t>
            </w:r>
            <w:r>
              <w:rPr>
                <w:rFonts w:ascii="Arial" w:eastAsia="Arial" w:hAnsi="Arial" w:cs="Arial"/>
                <w:color w:val="000000"/>
                <w:sz w:val="22"/>
                <w:szCs w:val="22"/>
              </w:rPr>
              <w:br/>
              <w:t>(73.3, 81.1)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76.9</w:t>
            </w:r>
            <w:r>
              <w:rPr>
                <w:rFonts w:ascii="Arial" w:eastAsia="Arial" w:hAnsi="Arial" w:cs="Arial"/>
                <w:color w:val="000000"/>
                <w:sz w:val="22"/>
                <w:szCs w:val="22"/>
              </w:rPr>
              <w:br/>
              <w:t>(72.6, 80.9)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-0.38</w:t>
            </w:r>
            <w:r>
              <w:rPr>
                <w:rFonts w:ascii="Arial" w:eastAsia="Arial" w:hAnsi="Arial" w:cs="Arial"/>
                <w:color w:val="000000"/>
                <w:sz w:val="22"/>
                <w:szCs w:val="22"/>
              </w:rPr>
              <w:br/>
              <w:t>(-1.9, 0.96)</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72.7</w:t>
            </w:r>
            <w:r>
              <w:rPr>
                <w:rFonts w:ascii="Arial" w:eastAsia="Arial" w:hAnsi="Arial" w:cs="Arial"/>
                <w:color w:val="000000"/>
                <w:sz w:val="22"/>
                <w:szCs w:val="22"/>
              </w:rPr>
              <w:br/>
              <w:t>(65.2, 79.4)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72.4</w:t>
            </w:r>
            <w:r>
              <w:rPr>
                <w:rFonts w:ascii="Arial" w:eastAsia="Arial" w:hAnsi="Arial" w:cs="Arial"/>
                <w:color w:val="000000"/>
                <w:sz w:val="22"/>
                <w:szCs w:val="22"/>
              </w:rPr>
              <w:br/>
              <w:t>(64.7, 79.5)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-0.36</w:t>
            </w:r>
            <w:r>
              <w:rPr>
                <w:rFonts w:ascii="Arial" w:eastAsia="Arial" w:hAnsi="Arial" w:cs="Arial"/>
                <w:color w:val="000000"/>
                <w:sz w:val="22"/>
                <w:szCs w:val="22"/>
              </w:rPr>
              <w:br/>
              <w:t>(-2.6, 1.5)</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79.0</w:t>
            </w:r>
            <w:r>
              <w:rPr>
                <w:rFonts w:ascii="Arial" w:eastAsia="Arial" w:hAnsi="Arial" w:cs="Arial"/>
                <w:color w:val="000000"/>
                <w:sz w:val="22"/>
                <w:szCs w:val="22"/>
              </w:rPr>
              <w:br/>
              <w:t>(73.7, 84.2)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79.2</w:t>
            </w:r>
            <w:r>
              <w:rPr>
                <w:rFonts w:ascii="Arial" w:eastAsia="Arial" w:hAnsi="Arial" w:cs="Arial"/>
                <w:color w:val="000000"/>
                <w:sz w:val="22"/>
                <w:szCs w:val="22"/>
              </w:rPr>
              <w:br/>
              <w:t>(73.8, 84.3)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0.23</w:t>
            </w:r>
            <w:r>
              <w:rPr>
                <w:rFonts w:ascii="Arial" w:eastAsia="Arial" w:hAnsi="Arial" w:cs="Arial"/>
                <w:color w:val="000000"/>
                <w:sz w:val="22"/>
                <w:szCs w:val="22"/>
              </w:rPr>
              <w:br/>
              <w:t>(-1.5, 2.0)</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76.8</w:t>
            </w:r>
            <w:r>
              <w:rPr>
                <w:rFonts w:ascii="Arial" w:eastAsia="Arial" w:hAnsi="Arial" w:cs="Arial"/>
                <w:color w:val="000000"/>
                <w:sz w:val="22"/>
                <w:szCs w:val="22"/>
              </w:rPr>
              <w:br/>
              <w:t>(67.3, 85.5)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76.6</w:t>
            </w:r>
            <w:r>
              <w:rPr>
                <w:rFonts w:ascii="Arial" w:eastAsia="Arial" w:hAnsi="Arial" w:cs="Arial"/>
                <w:color w:val="000000"/>
                <w:sz w:val="22"/>
                <w:szCs w:val="22"/>
              </w:rPr>
              <w:br/>
              <w:t>(67.0, 85.4)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-0.21</w:t>
            </w:r>
            <w:r>
              <w:rPr>
                <w:rFonts w:ascii="Arial" w:eastAsia="Arial" w:hAnsi="Arial" w:cs="Arial"/>
                <w:color w:val="000000"/>
                <w:sz w:val="22"/>
                <w:szCs w:val="22"/>
              </w:rPr>
              <w:br/>
              <w:t>(-3.0, 2.0)</w:t>
            </w:r>
          </w:p>
        </w:tc>
      </w:tr>
      <w:tr w:rsidR="007112A6">
        <w:trPr>
          <w:cantSplit/>
          <w:jc w:val="center"/>
        </w:trPr>
        <w:tc>
          <w:tcPr>
            <w:tcW w:w="806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Predicting death or graft loss 1-year after transplant</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68.3</w:t>
            </w:r>
            <w:r>
              <w:rPr>
                <w:rFonts w:ascii="Arial" w:eastAsia="Arial" w:hAnsi="Arial" w:cs="Arial"/>
                <w:color w:val="000000"/>
                <w:sz w:val="22"/>
                <w:szCs w:val="22"/>
              </w:rPr>
              <w:br/>
              <w:t>(65.1, 71.4)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68.5</w:t>
            </w:r>
            <w:r>
              <w:rPr>
                <w:rFonts w:ascii="Arial" w:eastAsia="Arial" w:hAnsi="Arial" w:cs="Arial"/>
                <w:color w:val="000000"/>
                <w:sz w:val="22"/>
                <w:szCs w:val="22"/>
              </w:rPr>
              <w:br/>
              <w:t>(65.4, 71.5)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0.13</w:t>
            </w:r>
            <w:r>
              <w:rPr>
                <w:rFonts w:ascii="Arial" w:eastAsia="Arial" w:hAnsi="Arial" w:cs="Arial"/>
                <w:color w:val="000000"/>
                <w:sz w:val="22"/>
                <w:szCs w:val="22"/>
              </w:rPr>
              <w:br/>
              <w:t>(-1.3, 1.5)</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60.8</w:t>
            </w:r>
            <w:r>
              <w:rPr>
                <w:rFonts w:ascii="Arial" w:eastAsia="Arial" w:hAnsi="Arial" w:cs="Arial"/>
                <w:color w:val="000000"/>
                <w:sz w:val="22"/>
                <w:szCs w:val="22"/>
              </w:rPr>
              <w:br/>
              <w:t>(53.7, 67.5)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61.1</w:t>
            </w:r>
            <w:r>
              <w:rPr>
                <w:rFonts w:ascii="Arial" w:eastAsia="Arial" w:hAnsi="Arial" w:cs="Arial"/>
                <w:color w:val="000000"/>
                <w:sz w:val="22"/>
                <w:szCs w:val="22"/>
              </w:rPr>
              <w:br/>
              <w:t>(54.6, 67.5)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0.25</w:t>
            </w:r>
            <w:r>
              <w:rPr>
                <w:rFonts w:ascii="Arial" w:eastAsia="Arial" w:hAnsi="Arial" w:cs="Arial"/>
                <w:color w:val="000000"/>
                <w:sz w:val="22"/>
                <w:szCs w:val="22"/>
              </w:rPr>
              <w:br/>
              <w:t>(-4.8, 4.9)</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58.4</w:t>
            </w:r>
            <w:r>
              <w:rPr>
                <w:rFonts w:ascii="Arial" w:eastAsia="Arial" w:hAnsi="Arial" w:cs="Arial"/>
                <w:color w:val="000000"/>
                <w:sz w:val="22"/>
                <w:szCs w:val="22"/>
              </w:rPr>
              <w:br/>
              <w:t>(53.0, 63.7)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58.5</w:t>
            </w:r>
            <w:r>
              <w:rPr>
                <w:rFonts w:ascii="Arial" w:eastAsia="Arial" w:hAnsi="Arial" w:cs="Arial"/>
                <w:color w:val="000000"/>
                <w:sz w:val="22"/>
                <w:szCs w:val="22"/>
              </w:rPr>
              <w:br/>
              <w:t>(53.1, 63.7)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0.08</w:t>
            </w:r>
            <w:r>
              <w:rPr>
                <w:rFonts w:ascii="Arial" w:eastAsia="Arial" w:hAnsi="Arial" w:cs="Arial"/>
                <w:color w:val="000000"/>
                <w:sz w:val="22"/>
                <w:szCs w:val="22"/>
              </w:rPr>
              <w:br/>
              <w:t>(-4.7, 4.7)</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63.2</w:t>
            </w:r>
            <w:r>
              <w:rPr>
                <w:rFonts w:ascii="Arial" w:eastAsia="Arial" w:hAnsi="Arial" w:cs="Arial"/>
                <w:color w:val="000000"/>
                <w:sz w:val="22"/>
                <w:szCs w:val="22"/>
              </w:rPr>
              <w:br/>
              <w:t>(56.2, 70.1)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62.4</w:t>
            </w:r>
            <w:r>
              <w:rPr>
                <w:rFonts w:ascii="Arial" w:eastAsia="Arial" w:hAnsi="Arial" w:cs="Arial"/>
                <w:color w:val="000000"/>
                <w:sz w:val="22"/>
                <w:szCs w:val="22"/>
              </w:rPr>
              <w:br/>
              <w:t>(55.7, 69.2)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-0.77</w:t>
            </w:r>
            <w:r>
              <w:rPr>
                <w:rFonts w:ascii="Arial" w:eastAsia="Arial" w:hAnsi="Arial" w:cs="Arial"/>
                <w:color w:val="000000"/>
                <w:sz w:val="22"/>
                <w:szCs w:val="22"/>
              </w:rPr>
              <w:br/>
              <w:t>(-3.7, 1.3)</w:t>
            </w:r>
          </w:p>
        </w:tc>
      </w:tr>
    </w:tbl>
    <w:p w:rsidR="007112A6" w:rsidRDefault="00370363">
      <w:r>
        <w:br w:type="page"/>
      </w:r>
    </w:p>
    <w:p w:rsidR="007112A6" w:rsidRDefault="00370363">
      <w:pPr>
        <w:pStyle w:val="BodyText"/>
      </w:pPr>
      <w:r>
        <w:rPr>
          <w:b/>
        </w:rPr>
        <w:lastRenderedPageBreak/>
        <w:t>Table 8</w:t>
      </w:r>
      <w:r>
        <w:t>: P-value for poor calibration when using variables in the existing UNOS risk model versus additional diagnostic variables.</w:t>
      </w:r>
    </w:p>
    <w:tbl>
      <w:tblPr>
        <w:tblW w:w="0" w:type="auto"/>
        <w:jc w:val="center"/>
        <w:tblLayout w:type="fixed"/>
        <w:tblLook w:val="0420" w:firstRow="1" w:lastRow="0" w:firstColumn="0" w:lastColumn="0" w:noHBand="0" w:noVBand="1"/>
      </w:tblPr>
      <w:tblGrid>
        <w:gridCol w:w="2016"/>
        <w:gridCol w:w="2016"/>
        <w:gridCol w:w="2016"/>
        <w:gridCol w:w="2016"/>
      </w:tblGrid>
      <w:tr w:rsidR="007112A6">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Patient group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UNOS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UNOS + CHD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Difference</w:t>
            </w:r>
          </w:p>
        </w:tc>
      </w:tr>
      <w:tr w:rsidR="007112A6">
        <w:trPr>
          <w:cantSplit/>
          <w:jc w:val="center"/>
        </w:trPr>
        <w:tc>
          <w:tcPr>
            <w:tcW w:w="8064" w:type="dxa"/>
            <w:gridSpan w:val="4"/>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Predicting death 2-years after listing</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9.6</w:t>
            </w:r>
            <w:r>
              <w:rPr>
                <w:rFonts w:ascii="Arial" w:eastAsia="Arial" w:hAnsi="Arial" w:cs="Arial"/>
                <w:color w:val="000000"/>
                <w:sz w:val="22"/>
                <w:szCs w:val="22"/>
              </w:rPr>
              <w:br/>
              <w:t>(0.00, 62.4)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13.7</w:t>
            </w:r>
            <w:r>
              <w:rPr>
                <w:rFonts w:ascii="Arial" w:eastAsia="Arial" w:hAnsi="Arial" w:cs="Arial"/>
                <w:color w:val="000000"/>
                <w:sz w:val="22"/>
                <w:szCs w:val="22"/>
              </w:rPr>
              <w:br/>
              <w:t>(0.00, 73.3)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4.1</w:t>
            </w:r>
            <w:r>
              <w:rPr>
                <w:rFonts w:ascii="Arial" w:eastAsia="Arial" w:hAnsi="Arial" w:cs="Arial"/>
                <w:color w:val="000000"/>
                <w:sz w:val="22"/>
                <w:szCs w:val="22"/>
              </w:rPr>
              <w:br/>
              <w:t>(-35.8, 45.9)</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10.1</w:t>
            </w:r>
            <w:r>
              <w:rPr>
                <w:rFonts w:ascii="Arial" w:eastAsia="Arial" w:hAnsi="Arial" w:cs="Arial"/>
                <w:color w:val="000000"/>
                <w:sz w:val="22"/>
                <w:szCs w:val="22"/>
              </w:rPr>
              <w:br/>
              <w:t>(0.00, 81.0)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16.6</w:t>
            </w:r>
            <w:r>
              <w:rPr>
                <w:rFonts w:ascii="Arial" w:eastAsia="Arial" w:hAnsi="Arial" w:cs="Arial"/>
                <w:color w:val="000000"/>
                <w:sz w:val="22"/>
                <w:szCs w:val="22"/>
              </w:rPr>
              <w:br/>
              <w:t>(0.00, 81.9)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6.5</w:t>
            </w:r>
            <w:r>
              <w:rPr>
                <w:rFonts w:ascii="Arial" w:eastAsia="Arial" w:hAnsi="Arial" w:cs="Arial"/>
                <w:color w:val="000000"/>
                <w:sz w:val="22"/>
                <w:szCs w:val="22"/>
              </w:rPr>
              <w:br/>
              <w:t>(-37.2, 56.6)</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13.5</w:t>
            </w:r>
            <w:r>
              <w:rPr>
                <w:rFonts w:ascii="Arial" w:eastAsia="Arial" w:hAnsi="Arial" w:cs="Arial"/>
                <w:color w:val="000000"/>
                <w:sz w:val="22"/>
                <w:szCs w:val="22"/>
              </w:rPr>
              <w:br/>
              <w:t>(0.00, 67.0)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13.4</w:t>
            </w:r>
            <w:r>
              <w:rPr>
                <w:rFonts w:ascii="Arial" w:eastAsia="Arial" w:hAnsi="Arial" w:cs="Arial"/>
                <w:color w:val="000000"/>
                <w:sz w:val="22"/>
                <w:szCs w:val="22"/>
              </w:rPr>
              <w:br/>
              <w:t>(0.00, 69.1)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-0.10</w:t>
            </w:r>
            <w:r>
              <w:rPr>
                <w:rFonts w:ascii="Arial" w:eastAsia="Arial" w:hAnsi="Arial" w:cs="Arial"/>
                <w:color w:val="000000"/>
                <w:sz w:val="22"/>
                <w:szCs w:val="22"/>
              </w:rPr>
              <w:br/>
              <w:t>(-41.7, 42.0)</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9.8</w:t>
            </w:r>
            <w:r>
              <w:rPr>
                <w:rFonts w:ascii="Arial" w:eastAsia="Arial" w:hAnsi="Arial" w:cs="Arial"/>
                <w:color w:val="000000"/>
                <w:sz w:val="22"/>
                <w:szCs w:val="22"/>
              </w:rPr>
              <w:br/>
              <w:t>(0.01, 57.8)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13.7</w:t>
            </w:r>
            <w:r>
              <w:rPr>
                <w:rFonts w:ascii="Arial" w:eastAsia="Arial" w:hAnsi="Arial" w:cs="Arial"/>
                <w:color w:val="000000"/>
                <w:sz w:val="22"/>
                <w:szCs w:val="22"/>
              </w:rPr>
              <w:br/>
              <w:t>(0.00, 77.3)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3.9</w:t>
            </w:r>
            <w:r>
              <w:rPr>
                <w:rFonts w:ascii="Arial" w:eastAsia="Arial" w:hAnsi="Arial" w:cs="Arial"/>
                <w:color w:val="000000"/>
                <w:sz w:val="22"/>
                <w:szCs w:val="22"/>
              </w:rPr>
              <w:br/>
              <w:t>(-48.5, 62.5)</w:t>
            </w:r>
          </w:p>
        </w:tc>
      </w:tr>
      <w:tr w:rsidR="007112A6">
        <w:trPr>
          <w:cantSplit/>
          <w:jc w:val="center"/>
        </w:trPr>
        <w:tc>
          <w:tcPr>
            <w:tcW w:w="806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Predicting death or graft loss 1-year after transplant</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23.7</w:t>
            </w:r>
            <w:r>
              <w:rPr>
                <w:rFonts w:ascii="Arial" w:eastAsia="Arial" w:hAnsi="Arial" w:cs="Arial"/>
                <w:color w:val="000000"/>
                <w:sz w:val="22"/>
                <w:szCs w:val="22"/>
              </w:rPr>
              <w:br/>
              <w:t>(0.00, 87.2)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23.8</w:t>
            </w:r>
            <w:r>
              <w:rPr>
                <w:rFonts w:ascii="Arial" w:eastAsia="Arial" w:hAnsi="Arial" w:cs="Arial"/>
                <w:color w:val="000000"/>
                <w:sz w:val="22"/>
                <w:szCs w:val="22"/>
              </w:rPr>
              <w:br/>
              <w:t>(0.02, 87.1)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0.02</w:t>
            </w:r>
            <w:r>
              <w:rPr>
                <w:rFonts w:ascii="Arial" w:eastAsia="Arial" w:hAnsi="Arial" w:cs="Arial"/>
                <w:color w:val="000000"/>
                <w:sz w:val="22"/>
                <w:szCs w:val="22"/>
              </w:rPr>
              <w:br/>
              <w:t>(-57.5, 61.1)</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23.3</w:t>
            </w:r>
            <w:r>
              <w:rPr>
                <w:rFonts w:ascii="Arial" w:eastAsia="Arial" w:hAnsi="Arial" w:cs="Arial"/>
                <w:color w:val="000000"/>
                <w:sz w:val="22"/>
                <w:szCs w:val="22"/>
              </w:rPr>
              <w:br/>
              <w:t>(0.00, 86.7)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22.6</w:t>
            </w:r>
            <w:r>
              <w:rPr>
                <w:rFonts w:ascii="Arial" w:eastAsia="Arial" w:hAnsi="Arial" w:cs="Arial"/>
                <w:color w:val="000000"/>
                <w:sz w:val="22"/>
                <w:szCs w:val="22"/>
              </w:rPr>
              <w:br/>
              <w:t>(0.00, 86.9)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-0.69</w:t>
            </w:r>
            <w:r>
              <w:rPr>
                <w:rFonts w:ascii="Arial" w:eastAsia="Arial" w:hAnsi="Arial" w:cs="Arial"/>
                <w:color w:val="000000"/>
                <w:sz w:val="22"/>
                <w:szCs w:val="22"/>
              </w:rPr>
              <w:br/>
              <w:t>(-56.5, 48.3)</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28.8</w:t>
            </w:r>
            <w:r>
              <w:rPr>
                <w:rFonts w:ascii="Arial" w:eastAsia="Arial" w:hAnsi="Arial" w:cs="Arial"/>
                <w:color w:val="000000"/>
                <w:sz w:val="22"/>
                <w:szCs w:val="22"/>
              </w:rPr>
              <w:br/>
              <w:t>(0.31, 88.0)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26.7</w:t>
            </w:r>
            <w:r>
              <w:rPr>
                <w:rFonts w:ascii="Arial" w:eastAsia="Arial" w:hAnsi="Arial" w:cs="Arial"/>
                <w:color w:val="000000"/>
                <w:sz w:val="22"/>
                <w:szCs w:val="22"/>
              </w:rPr>
              <w:br/>
              <w:t>(0.02, 89.8)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-2.1</w:t>
            </w:r>
            <w:r>
              <w:rPr>
                <w:rFonts w:ascii="Arial" w:eastAsia="Arial" w:hAnsi="Arial" w:cs="Arial"/>
                <w:color w:val="000000"/>
                <w:sz w:val="22"/>
                <w:szCs w:val="22"/>
              </w:rPr>
              <w:br/>
              <w:t>(-68.5, 65.9)</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30.6</w:t>
            </w:r>
            <w:r>
              <w:rPr>
                <w:rFonts w:ascii="Arial" w:eastAsia="Arial" w:hAnsi="Arial" w:cs="Arial"/>
                <w:color w:val="000000"/>
                <w:sz w:val="22"/>
                <w:szCs w:val="22"/>
              </w:rPr>
              <w:br/>
              <w:t>(0.01, 90.0)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34.5</w:t>
            </w:r>
            <w:r>
              <w:rPr>
                <w:rFonts w:ascii="Arial" w:eastAsia="Arial" w:hAnsi="Arial" w:cs="Arial"/>
                <w:color w:val="000000"/>
                <w:sz w:val="22"/>
                <w:szCs w:val="22"/>
              </w:rPr>
              <w:br/>
              <w:t>(0.02, 90.7)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3.8</w:t>
            </w:r>
            <w:r>
              <w:rPr>
                <w:rFonts w:ascii="Arial" w:eastAsia="Arial" w:hAnsi="Arial" w:cs="Arial"/>
                <w:color w:val="000000"/>
                <w:sz w:val="22"/>
                <w:szCs w:val="22"/>
              </w:rPr>
              <w:br/>
              <w:t>(-59.1, 69.7)</w:t>
            </w:r>
          </w:p>
        </w:tc>
      </w:tr>
    </w:tbl>
    <w:p w:rsidR="007112A6" w:rsidRDefault="00370363">
      <w:r>
        <w:br w:type="page"/>
      </w:r>
    </w:p>
    <w:p w:rsidR="007112A6" w:rsidRDefault="00370363">
      <w:pPr>
        <w:pStyle w:val="BodyText"/>
      </w:pPr>
      <w:r>
        <w:rPr>
          <w:b/>
        </w:rPr>
        <w:lastRenderedPageBreak/>
        <w:t>Table 9</w:t>
      </w:r>
      <w:r>
        <w:t>: Index of prediction accuracy when using variables in the existing UNOS risk model versus additional diagnostic variables.</w:t>
      </w:r>
    </w:p>
    <w:tbl>
      <w:tblPr>
        <w:tblW w:w="0" w:type="auto"/>
        <w:jc w:val="center"/>
        <w:tblLayout w:type="fixed"/>
        <w:tblLook w:val="0420" w:firstRow="1" w:lastRow="0" w:firstColumn="0" w:lastColumn="0" w:noHBand="0" w:noVBand="1"/>
      </w:tblPr>
      <w:tblGrid>
        <w:gridCol w:w="2016"/>
        <w:gridCol w:w="2016"/>
        <w:gridCol w:w="2016"/>
        <w:gridCol w:w="2016"/>
      </w:tblGrid>
      <w:tr w:rsidR="007112A6">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b/>
                <w:color w:val="000000"/>
                <w:sz w:val="22"/>
                <w:szCs w:val="22"/>
              </w:rPr>
              <w:t>Patient group</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UNOS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UNOS + CHD variables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b/>
                <w:color w:val="000000"/>
                <w:sz w:val="22"/>
                <w:szCs w:val="22"/>
              </w:rPr>
              <w:t>Difference</w:t>
            </w:r>
          </w:p>
        </w:tc>
      </w:tr>
      <w:tr w:rsidR="007112A6">
        <w:trPr>
          <w:cantSplit/>
          <w:jc w:val="center"/>
        </w:trPr>
        <w:tc>
          <w:tcPr>
            <w:tcW w:w="8064" w:type="dxa"/>
            <w:gridSpan w:val="4"/>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Predicting death 2-years after listing</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17.5</w:t>
            </w:r>
            <w:r>
              <w:rPr>
                <w:rFonts w:ascii="Arial" w:eastAsia="Arial" w:hAnsi="Arial" w:cs="Arial"/>
                <w:color w:val="000000"/>
                <w:sz w:val="22"/>
                <w:szCs w:val="22"/>
              </w:rPr>
              <w:br/>
              <w:t>(10.7, 23.7)</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18.3</w:t>
            </w:r>
            <w:r>
              <w:rPr>
                <w:rFonts w:ascii="Arial" w:eastAsia="Arial" w:hAnsi="Arial" w:cs="Arial"/>
                <w:color w:val="000000"/>
                <w:sz w:val="22"/>
                <w:szCs w:val="22"/>
              </w:rPr>
              <w:br/>
              <w:t>(11.1, 25.0)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0.84</w:t>
            </w:r>
            <w:r>
              <w:rPr>
                <w:rFonts w:ascii="Arial" w:eastAsia="Arial" w:hAnsi="Arial" w:cs="Arial"/>
                <w:color w:val="000000"/>
                <w:sz w:val="22"/>
                <w:szCs w:val="22"/>
              </w:rPr>
              <w:br/>
              <w:t>(-1.4, 2.6)</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11.6</w:t>
            </w:r>
            <w:r>
              <w:rPr>
                <w:rFonts w:ascii="Arial" w:eastAsia="Arial" w:hAnsi="Arial" w:cs="Arial"/>
                <w:color w:val="000000"/>
                <w:sz w:val="22"/>
                <w:szCs w:val="22"/>
              </w:rPr>
              <w:br/>
              <w:t>(-0.70, 22.5)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11.3</w:t>
            </w:r>
            <w:r>
              <w:rPr>
                <w:rFonts w:ascii="Arial" w:eastAsia="Arial" w:hAnsi="Arial" w:cs="Arial"/>
                <w:color w:val="000000"/>
                <w:sz w:val="22"/>
                <w:szCs w:val="22"/>
              </w:rPr>
              <w:br/>
              <w:t>(0.52, 21.0)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-0.38</w:t>
            </w:r>
            <w:r>
              <w:rPr>
                <w:rFonts w:ascii="Arial" w:eastAsia="Arial" w:hAnsi="Arial" w:cs="Arial"/>
                <w:color w:val="000000"/>
                <w:sz w:val="22"/>
                <w:szCs w:val="22"/>
              </w:rPr>
              <w:br/>
              <w:t>(-3.5, 2.3)</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17.1</w:t>
            </w:r>
            <w:r>
              <w:rPr>
                <w:rFonts w:ascii="Arial" w:eastAsia="Arial" w:hAnsi="Arial" w:cs="Arial"/>
                <w:color w:val="000000"/>
                <w:sz w:val="22"/>
                <w:szCs w:val="22"/>
              </w:rPr>
              <w:br/>
              <w:t>(6.7, 26.1)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19.6</w:t>
            </w:r>
            <w:r>
              <w:rPr>
                <w:rFonts w:ascii="Arial" w:eastAsia="Arial" w:hAnsi="Arial" w:cs="Arial"/>
                <w:color w:val="000000"/>
                <w:sz w:val="22"/>
                <w:szCs w:val="22"/>
              </w:rPr>
              <w:br/>
              <w:t>(8.3, 28.5)</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2.5</w:t>
            </w:r>
            <w:r>
              <w:rPr>
                <w:rFonts w:ascii="Arial" w:eastAsia="Arial" w:hAnsi="Arial" w:cs="Arial"/>
                <w:color w:val="000000"/>
                <w:sz w:val="22"/>
                <w:szCs w:val="22"/>
              </w:rPr>
              <w:br/>
              <w:t>(-0.23, 4.7)</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17.8</w:t>
            </w:r>
            <w:r>
              <w:rPr>
                <w:rFonts w:ascii="Arial" w:eastAsia="Arial" w:hAnsi="Arial" w:cs="Arial"/>
                <w:color w:val="000000"/>
                <w:sz w:val="22"/>
                <w:szCs w:val="22"/>
              </w:rPr>
              <w:br/>
              <w:t>(3.0, 32.1)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19.0</w:t>
            </w:r>
            <w:r>
              <w:rPr>
                <w:rFonts w:ascii="Arial" w:eastAsia="Arial" w:hAnsi="Arial" w:cs="Arial"/>
                <w:color w:val="000000"/>
                <w:sz w:val="22"/>
                <w:szCs w:val="22"/>
              </w:rPr>
              <w:br/>
              <w:t>(2.8, 34.4)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1.3</w:t>
            </w:r>
            <w:r>
              <w:rPr>
                <w:rFonts w:ascii="Arial" w:eastAsia="Arial" w:hAnsi="Arial" w:cs="Arial"/>
                <w:color w:val="000000"/>
                <w:sz w:val="22"/>
                <w:szCs w:val="22"/>
              </w:rPr>
              <w:br/>
              <w:t>(-5.3, 5.8)</w:t>
            </w:r>
          </w:p>
        </w:tc>
      </w:tr>
      <w:tr w:rsidR="007112A6">
        <w:trPr>
          <w:cantSplit/>
          <w:jc w:val="center"/>
        </w:trPr>
        <w:tc>
          <w:tcPr>
            <w:tcW w:w="806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Predicting death or graft loss 1-year after transplant</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Overall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4.8</w:t>
            </w:r>
            <w:r>
              <w:rPr>
                <w:rFonts w:ascii="Arial" w:eastAsia="Arial" w:hAnsi="Arial" w:cs="Arial"/>
                <w:color w:val="000000"/>
                <w:sz w:val="22"/>
                <w:szCs w:val="22"/>
              </w:rPr>
              <w:br/>
              <w:t>(2.2, 6.9)</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4.8</w:t>
            </w:r>
            <w:r>
              <w:rPr>
                <w:rFonts w:ascii="Arial" w:eastAsia="Arial" w:hAnsi="Arial" w:cs="Arial"/>
                <w:color w:val="000000"/>
                <w:sz w:val="22"/>
                <w:szCs w:val="22"/>
              </w:rPr>
              <w:br/>
              <w:t>(2.3, 7.0)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0.07</w:t>
            </w:r>
            <w:r>
              <w:rPr>
                <w:rFonts w:ascii="Arial" w:eastAsia="Arial" w:hAnsi="Arial" w:cs="Arial"/>
                <w:color w:val="000000"/>
                <w:sz w:val="22"/>
                <w:szCs w:val="22"/>
              </w:rPr>
              <w:br/>
              <w:t>(-0.81, 0.68)</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Cardiomyopathy</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0.87</w:t>
            </w:r>
            <w:r>
              <w:rPr>
                <w:rFonts w:ascii="Arial" w:eastAsia="Arial" w:hAnsi="Arial" w:cs="Arial"/>
                <w:color w:val="000000"/>
                <w:sz w:val="22"/>
                <w:szCs w:val="22"/>
              </w:rPr>
              <w:br/>
              <w:t>(-1.1, 2.6)</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1.0</w:t>
            </w:r>
            <w:r>
              <w:rPr>
                <w:rFonts w:ascii="Arial" w:eastAsia="Arial" w:hAnsi="Arial" w:cs="Arial"/>
                <w:color w:val="000000"/>
                <w:sz w:val="22"/>
                <w:szCs w:val="22"/>
              </w:rPr>
              <w:br/>
              <w:t>(-1.5, 2.8)</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0.17</w:t>
            </w:r>
            <w:r>
              <w:rPr>
                <w:rFonts w:ascii="Arial" w:eastAsia="Arial" w:hAnsi="Arial" w:cs="Arial"/>
                <w:color w:val="000000"/>
                <w:sz w:val="22"/>
                <w:szCs w:val="22"/>
              </w:rPr>
              <w:br/>
              <w:t>(-0.99, 0.81)</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single 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0.97</w:t>
            </w:r>
            <w:r>
              <w:rPr>
                <w:rFonts w:ascii="Arial" w:eastAsia="Arial" w:hAnsi="Arial" w:cs="Arial"/>
                <w:color w:val="000000"/>
                <w:sz w:val="22"/>
                <w:szCs w:val="22"/>
              </w:rPr>
              <w:br/>
              <w:t>(-2.2, 4.0)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1.2</w:t>
            </w:r>
            <w:r>
              <w:rPr>
                <w:rFonts w:ascii="Arial" w:eastAsia="Arial" w:hAnsi="Arial" w:cs="Arial"/>
                <w:color w:val="000000"/>
                <w:sz w:val="22"/>
                <w:szCs w:val="22"/>
              </w:rPr>
              <w:br/>
              <w:t>(-2.1, 3.4)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0.25</w:t>
            </w:r>
            <w:r>
              <w:rPr>
                <w:rFonts w:ascii="Arial" w:eastAsia="Arial" w:hAnsi="Arial" w:cs="Arial"/>
                <w:color w:val="000000"/>
                <w:sz w:val="22"/>
                <w:szCs w:val="22"/>
              </w:rPr>
              <w:br/>
              <w:t>(-1.6, 1.5)</w:t>
            </w:r>
          </w:p>
        </w:tc>
      </w:tr>
      <w:tr w:rsidR="007112A6">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pPr>
            <w:r>
              <w:rPr>
                <w:rFonts w:ascii="Arial" w:eastAsia="Arial" w:hAnsi="Arial" w:cs="Arial"/>
                <w:color w:val="000000"/>
                <w:sz w:val="22"/>
                <w:szCs w:val="22"/>
              </w:rPr>
              <w:t>Congenital HD;</w:t>
            </w:r>
            <w:r>
              <w:rPr>
                <w:rFonts w:ascii="Arial" w:eastAsia="Arial" w:hAnsi="Arial" w:cs="Arial"/>
                <w:color w:val="000000"/>
                <w:sz w:val="22"/>
                <w:szCs w:val="22"/>
              </w:rPr>
              <w:br/>
              <w:t>bi-ventricle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5.7</w:t>
            </w:r>
            <w:r>
              <w:rPr>
                <w:rFonts w:ascii="Arial" w:eastAsia="Arial" w:hAnsi="Arial" w:cs="Arial"/>
                <w:color w:val="000000"/>
                <w:sz w:val="22"/>
                <w:szCs w:val="22"/>
              </w:rPr>
              <w:br/>
              <w:t>(0.59, 10.4)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5.4</w:t>
            </w:r>
            <w:r>
              <w:rPr>
                <w:rFonts w:ascii="Arial" w:eastAsia="Arial" w:hAnsi="Arial" w:cs="Arial"/>
                <w:color w:val="000000"/>
                <w:sz w:val="22"/>
                <w:szCs w:val="22"/>
              </w:rPr>
              <w:br/>
              <w:t>(-0.88, 10.0)</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112A6" w:rsidRDefault="00370363">
            <w:pPr>
              <w:spacing w:before="100" w:after="100"/>
              <w:ind w:left="100" w:right="100"/>
              <w:jc w:val="center"/>
            </w:pPr>
            <w:r>
              <w:rPr>
                <w:rFonts w:ascii="Arial" w:eastAsia="Arial" w:hAnsi="Arial" w:cs="Arial"/>
                <w:color w:val="000000"/>
                <w:sz w:val="22"/>
                <w:szCs w:val="22"/>
              </w:rPr>
              <w:t>-0.35</w:t>
            </w:r>
            <w:r>
              <w:rPr>
                <w:rFonts w:ascii="Arial" w:eastAsia="Arial" w:hAnsi="Arial" w:cs="Arial"/>
                <w:color w:val="000000"/>
                <w:sz w:val="22"/>
                <w:szCs w:val="22"/>
              </w:rPr>
              <w:br/>
              <w:t>(-2.0, 0.58)</w:t>
            </w:r>
          </w:p>
        </w:tc>
      </w:tr>
    </w:tbl>
    <w:p w:rsidR="007112A6" w:rsidRDefault="00370363">
      <w:r>
        <w:br w:type="page"/>
      </w:r>
    </w:p>
    <w:p w:rsidR="007112A6" w:rsidRDefault="00370363">
      <w:pPr>
        <w:pStyle w:val="BodyText"/>
      </w:pPr>
      <w:r>
        <w:rPr>
          <w:b/>
        </w:rPr>
        <w:lastRenderedPageBreak/>
        <w:t>Figure 1</w:t>
      </w:r>
      <w:r>
        <w:t>: Cumulative incidence of mortality within 2 years of listing</w:t>
      </w:r>
    </w:p>
    <w:p w:rsidR="007112A6" w:rsidRDefault="00370363">
      <w:pPr>
        <w:pStyle w:val="Figure"/>
      </w:pPr>
      <w:r>
        <w:rPr>
          <w:noProof/>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50800"/>
                    </a:xfrm>
                    <a:prstGeom prst="rect">
                      <a:avLst/>
                    </a:prstGeom>
                    <a:noFill/>
                  </pic:spPr>
                </pic:pic>
              </a:graphicData>
            </a:graphic>
          </wp:inline>
        </w:drawing>
      </w:r>
    </w:p>
    <w:p w:rsidR="007112A6" w:rsidRDefault="00370363">
      <w:r>
        <w:br w:type="page"/>
      </w:r>
    </w:p>
    <w:p w:rsidR="007112A6" w:rsidRDefault="00370363">
      <w:pPr>
        <w:pStyle w:val="BodyText"/>
      </w:pPr>
      <w:r>
        <w:rPr>
          <w:b/>
        </w:rPr>
        <w:lastRenderedPageBreak/>
        <w:t>Figure 2</w:t>
      </w:r>
      <w:r>
        <w:t>: Cumulative incidence of mortality within 2 years of listing, stratified by listing year.</w:t>
      </w:r>
    </w:p>
    <w:p w:rsidR="007112A6" w:rsidRDefault="00370363">
      <w:pPr>
        <w:pStyle w:val="Figure"/>
      </w:pPr>
      <w:r>
        <w:rPr>
          <w:noProof/>
        </w:rPr>
        <w:drawing>
          <wp:inline distT="0" distB="0" distL="0" distR="0">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rsidR="007112A6" w:rsidRDefault="00370363">
      <w:r>
        <w:br w:type="page"/>
      </w:r>
    </w:p>
    <w:p w:rsidR="007112A6" w:rsidRDefault="00370363">
      <w:pPr>
        <w:pStyle w:val="BodyText"/>
      </w:pPr>
      <w:r>
        <w:rPr>
          <w:b/>
        </w:rPr>
        <w:lastRenderedPageBreak/>
        <w:t>Figure 3</w:t>
      </w:r>
      <w:r>
        <w:t>: Cumulative incidence of mortality or graft loss within 1 year of transplant</w:t>
      </w:r>
    </w:p>
    <w:p w:rsidR="007112A6" w:rsidRDefault="00370363">
      <w:pPr>
        <w:pStyle w:val="Figure"/>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rsidR="007112A6" w:rsidRDefault="00370363">
      <w:r>
        <w:br w:type="page"/>
      </w:r>
    </w:p>
    <w:p w:rsidR="007112A6" w:rsidRDefault="00370363">
      <w:pPr>
        <w:pStyle w:val="BodyText"/>
      </w:pPr>
      <w:r>
        <w:rPr>
          <w:b/>
        </w:rPr>
        <w:lastRenderedPageBreak/>
        <w:t>Figure 4</w:t>
      </w:r>
      <w:r>
        <w:t>: Cumulative incidence of mortality within 2 years of listing, stratified by listing year.</w:t>
      </w:r>
    </w:p>
    <w:p w:rsidR="007112A6" w:rsidRDefault="00370363">
      <w:pPr>
        <w:pStyle w:val="Figure"/>
      </w:pPr>
      <w:r>
        <w:rPr>
          <w:noProof/>
        </w:rPr>
        <w:drawing>
          <wp:inline distT="0" distB="0" distL="0" distR="0">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bookmarkStart w:id="0" w:name="_GoBack"/>
      <w:bookmarkEnd w:id="0"/>
    </w:p>
    <w:sectPr w:rsidR="007112A6" w:rsidSect="00370363">
      <w:footerReference w:type="even" r:id="rId11"/>
      <w:footerReference w:type="defaul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2A2" w:rsidRDefault="004E22A2">
      <w:pPr>
        <w:spacing w:after="0"/>
      </w:pPr>
      <w:r>
        <w:separator/>
      </w:r>
    </w:p>
  </w:endnote>
  <w:endnote w:type="continuationSeparator" w:id="0">
    <w:p w:rsidR="004E22A2" w:rsidRDefault="004E2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42282442"/>
      <w:docPartObj>
        <w:docPartGallery w:val="Page Numbers (Bottom of Page)"/>
        <w:docPartUnique/>
      </w:docPartObj>
    </w:sdtPr>
    <w:sdtContent>
      <w:p w:rsidR="00370363" w:rsidRDefault="00370363" w:rsidP="00370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0363" w:rsidRDefault="00370363" w:rsidP="003703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28616856"/>
      <w:docPartObj>
        <w:docPartGallery w:val="Page Numbers (Bottom of Page)"/>
        <w:docPartUnique/>
      </w:docPartObj>
    </w:sdtPr>
    <w:sdtContent>
      <w:p w:rsidR="00370363" w:rsidRDefault="00370363" w:rsidP="00370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919C0">
          <w:rPr>
            <w:rStyle w:val="PageNumber"/>
            <w:noProof/>
          </w:rPr>
          <w:t>20</w:t>
        </w:r>
        <w:r>
          <w:rPr>
            <w:rStyle w:val="PageNumber"/>
          </w:rPr>
          <w:fldChar w:fldCharType="end"/>
        </w:r>
      </w:p>
    </w:sdtContent>
  </w:sdt>
  <w:p w:rsidR="00370363" w:rsidRDefault="00370363" w:rsidP="003703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2A2" w:rsidRDefault="004E22A2">
      <w:r>
        <w:separator/>
      </w:r>
    </w:p>
  </w:footnote>
  <w:footnote w:type="continuationSeparator" w:id="0">
    <w:p w:rsidR="004E22A2" w:rsidRDefault="004E2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2C1AE401"/>
    <w:multiLevelType w:val="multilevel"/>
    <w:tmpl w:val="F1E0DC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3"/>
  </w:num>
  <w:num w:numId="17">
    <w:abstractNumId w:val="14"/>
  </w:num>
  <w:num w:numId="18">
    <w:abstractNumId w:val="25"/>
  </w:num>
  <w:num w:numId="19">
    <w:abstractNumId w:val="19"/>
  </w:num>
  <w:num w:numId="20">
    <w:abstractNumId w:val="24"/>
  </w:num>
  <w:num w:numId="21">
    <w:abstractNumId w:val="11"/>
  </w:num>
  <w:num w:numId="22">
    <w:abstractNumId w:val="15"/>
  </w:num>
  <w:num w:numId="23">
    <w:abstractNumId w:val="18"/>
  </w:num>
  <w:num w:numId="24">
    <w:abstractNumId w:val="10"/>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70363"/>
    <w:rsid w:val="003919C0"/>
    <w:rsid w:val="004E22A2"/>
    <w:rsid w:val="004E29B3"/>
    <w:rsid w:val="00590D07"/>
    <w:rsid w:val="007112A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D485"/>
  <w15:docId w15:val="{9D7F2F3E-47A6-4D52-BA20-F9AE3EEC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2103</Words>
  <Characters>11993</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Mortality/graft loss prediction using CHD diagnosis data</vt:lpstr>
      <vt:lpstr>Title</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Mortality/graft loss prediction using CHD diagnosis data</dc:title>
  <dc:creator>Byron C. Jaeger</dc:creator>
  <cp:keywords/>
  <cp:lastModifiedBy>Byron Jaeger</cp:lastModifiedBy>
  <cp:revision>2</cp:revision>
  <dcterms:created xsi:type="dcterms:W3CDTF">2021-06-01T17:52:00Z</dcterms:created>
  <dcterms:modified xsi:type="dcterms:W3CDTF">2021-06-01T17:52:00Z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2021-06-01</vt:lpwstr>
  </property>
  <property fmtid="{D5CDD505-2E9C-101B-9397-08002B2CF9AE}" pid="3" name="output">
    <vt:lpwstr/>
  </property>
</Properties>
</file>