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Kathryn Foti,</w:t>
      </w:r>
      <w:r>
        <w:rPr>
          <w:vertAlign w:val="superscript"/>
        </w:rPr>
        <w:t xml:space="preserve">2</w:t>
      </w:r>
      <w:r>
        <w:t xml:space="preserve"> </w:t>
      </w:r>
      <w:r>
        <w:t xml:space="preserve">Shakia T. Hardy,</w:t>
      </w:r>
      <w:r>
        <w:rPr>
          <w:vertAlign w:val="superscript"/>
        </w:rPr>
        <w:t xml:space="preserve">2</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self-reported taking antihypertensive medication, 27.4%, 48.5%, and 42.8% had controlled BP in 1999-2000, 2013-2014, and 2017-2020, respectively. The application was validated by replicating statistics from three publications.</w:t>
      </w:r>
    </w:p>
    <w:p>
      <w:pPr>
        <w:pStyle w:val="BodyText"/>
      </w:pPr>
      <w:r>
        <w:rPr>
          <w:bCs/>
          <w:b/>
        </w:rPr>
        <w:t xml:space="preserve">Conclusions</w:t>
      </w:r>
      <w:r>
        <w:t xml:space="preserve">: The application developed and validated in the current study produced valid, transparent, and reproducible results and is publicly available.</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 Additionally, NHANES data have been used to track the proportion of US adults with hypertension that have controlled BP, which were included in a Call-to-Action to Control BP from the US Surgeon General.</w:t>
      </w:r>
    </w:p>
    <w:p>
      <w:pPr>
        <w:pStyle w:val="BodyText"/>
      </w:pPr>
    </w:p>
    <w:p>
      <w:pPr>
        <w:pStyle w:val="BodyText"/>
      </w:pPr>
      <w:r>
        <w:t xml:space="preserve">NHANES data are publicly available and accessible through the CDC website.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r>
        <w:t xml:space="preserve">NHANES data were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total and HDL cholesterol, glycated hemoglobin and serum creatinine, and the urine sample was used to measure albumin and creatinine and to conduct a pregnancy test. The protocol for obtaining BP measurements is available online.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 Antihypertensive medication classes were defined using those listed in the 2017 ACC/AHA BP guideline. For the current analysis, we defined hypertension, BP control, and resistant hypertension according to the 2017 ACC/AHA BP guideline. The application also has these variables defined according to the JNC7 definitions. A complete list of the variables available in the data set is provided in</w:t>
      </w:r>
      <w:r>
        <w:t xml:space="preserve"> </w:t>
      </w:r>
      <w:r>
        <w:rPr>
          <w:bCs/>
          <w:b/>
        </w:rPr>
        <w:t xml:space="preserve">Table 1</w:t>
      </w:r>
      <w:r>
        <w:t xml:space="preserve"> </w:t>
      </w:r>
      <w:r>
        <w:t xml:space="preserve">with full definitions provided in</w:t>
      </w:r>
      <w:r>
        <w:t xml:space="preserve"> </w:t>
      </w:r>
      <w:r>
        <w:rPr>
          <w:bCs/>
          <w:b/>
        </w:rPr>
        <w:t xml:space="preserve">Table S1</w:t>
      </w:r>
      <w:r>
        <w:t xml:space="preserve">.</w:t>
      </w:r>
    </w:p>
    <w:p>
      <w:pPr>
        <w:pStyle w:val="BodyText"/>
      </w:pPr>
      <w:r>
        <w:t xml:space="preserve">There were 107,622 NHANES participants in the 10 cycles from 1999-2000 to 2017-2020. We restricted the dataset to adults ≥ 18 years of age. This exclusion was applied because statistics for BP levels and hypertension in children and adolescents are markedly different than for adults.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Cs/>
          <w:b/>
        </w:rPr>
        <w:t xml:space="preserve">Figure S1</w:t>
      </w:r>
      <w:r>
        <w:t xml:space="preserve">).</w:t>
      </w: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Following CDC recommendations, unreliable statistical estimates are automatically suppressed. To increase precision and reliability of estimates, contiguous NHANES cycles can be combined.</w:t>
      </w: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 an open-source software package that translates code from the R programming language into HTML, CSS, or JavaScript commands that create a website interface. 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 We validated the web application by using it to reproduce statistics reported in two prior studies and one CDC report.</w:t>
      </w: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showing the estimated means and error bars showing the 95% confidence intervals.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≥75 years of age, respectively). To illustrate how results from the application appear when saved in various formats (e.g., comma separated, portable document format, Microsoft Excel), we tabulated the estimated race/ethnicity distribution of US adults with and without hypertension, separately. We demonstrated stratification by estimating the prevalence of hypertension by NHANES cycle for US adults with and without chronic kidney disease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medication and among US adults with hypertension taking ≥ 3 classes of antihypertensive medication. For age adjustment in the analysis of resistant hypertension, we set the age distribution for the standard population to represent US adults with hypertension from 1999 to 2020: 26.4%, 43.4%, 17.0% and 13.2% being 18 to 44 years, 45 to 64, 65 to 74, and ≥75 years of age, respectively.</w:t>
      </w: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except for the group with SBP of 130 to &lt; 140 mm Hg or DBP of 80 to &lt; 90 mm Hg, but was stable for all groups after pooling NHANES cycles from 2009-2010 through 2017-2020 (</w:t>
      </w:r>
      <w:r>
        <w:rPr>
          <w:bCs/>
          <w:b/>
        </w:rPr>
        <w:t xml:space="preserve">Figure S3; Panel B</w:t>
      </w:r>
      <w:r>
        <w:t xml:space="preserve">)</w:t>
      </w:r>
    </w:p>
    <w:p>
      <w:pPr>
        <w:pStyle w:val="BodyText"/>
      </w:pPr>
      <w:r>
        <w:t xml:space="preserve">The age-adjusted prevalence of BP control among US adults with hypertension was lowest in 1999-2000 (9.6%), highest in 2013-2014 (24.6%), and 21.7% in 2017-2020 (</w:t>
      </w:r>
      <w:r>
        <w:rPr>
          <w:bCs/>
          <w:b/>
        </w:rPr>
        <w:t xml:space="preserve">Figure 4; panel A</w:t>
      </w:r>
      <w:r>
        <w:t xml:space="preserve">). Among US adults who self-reported taking antihypertensive medication, 27.4%, 48.5%, and 42.8% had controlled BP in 1999-2000, 2013-2014, and 2017-2020, respectively (</w:t>
      </w:r>
      <w:r>
        <w:rPr>
          <w:bCs/>
          <w:b/>
        </w:rPr>
        <w:t xml:space="preserve">Figure 4; panel B</w:t>
      </w:r>
      <w:r>
        <w:t xml:space="preserve">). The age-adjusted prevalence of resistant hypertension among US adults who self-reported taking antihypertensive medication was lowest in 1999-2000 (13.7%), highest in 2005-2006 (20.4), and 16.2% in 2017-2020 (</w:t>
      </w:r>
      <w:r>
        <w:rPr>
          <w:bCs/>
          <w:b/>
        </w:rPr>
        <w:t xml:space="preserve">Figure S4; panel A</w:t>
      </w:r>
      <w:r>
        <w:t xml:space="preserve">). Among US adults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bookmarkEnd w:id="25"/>
    <w:bookmarkStart w:id="39" w:name="discussion"/>
    <w:p>
      <w:pPr>
        <w:pStyle w:val="Heading1"/>
      </w:pPr>
      <w:r>
        <w:t xml:space="preserve">DISCUSSION</w:t>
      </w:r>
    </w:p>
    <w:p>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in a publicly available server on</w:t>
      </w:r>
      <w:r>
        <w:t xml:space="preserve"> </w:t>
      </w:r>
      <w:r>
        <w:rPr>
          <w:bCs/>
          <w:b/>
        </w:rPr>
        <w:t xml:space="preserve">DATE TBD</w:t>
      </w:r>
      <w:r>
        <w:t xml:space="preserve">.(add a citation to version 0.0.1 of the cardioStatsUSA package and a citation to the url where the shiny app lives) Researchers, clinicians, and the public can use the application to generate customized BP and hypertension statistics for US adults.</w:t>
      </w:r>
    </w:p>
    <w:p>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pPr>
        <w:pStyle w:val="BodyText"/>
      </w:pPr>
      <w:r>
        <w:t xml:space="preserve">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investigators (cite pmid 26633197, 29155682). However, mean BP and the prevalence of high BP would be lower if we required multiple BP measurements (cite pmid 23126346). Any bias resulting from this decision is likely to be small as over 95% of adult NHANES participants with at least one SBP and DBP measurement had three SBP and DBP measurements. The application re-calibrates the NHANES weights for the estimation of population counts (cite pmid 12500213). 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r>
        <w:t xml:space="preserve">We were able to replicate several prior manuscripts using the application. However, we were not able to replicate some results. For example, a prior manuscript reported the prevalence of resistant hypertension defined by the 2017 ACC/AHA BP guideline to be 19.7% in 2009-2014(cite pmid 30580690). 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In addition, users can generate statistics for US adults over 22 years, pooling results or stratifying the data. All results from the application can be saved as an image and included in scientific proposals or presentations. In addition, the ability to download summary data from the application allows users to further customize their results in tabular or graphical formats. The web application can also be used for educational purposes, as teachers can use it to analyze health outcomes for US adults interactively with students.</w:t>
      </w:r>
    </w:p>
    <w:p>
      <w:pPr>
        <w:pStyle w:val="BodyText"/>
      </w:pPr>
      <w:r>
        <w:t xml:space="preserve">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can be extended to include data from additional NHANES cycles as they become available.</w:t>
      </w: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able to be extended, and freely available. This study also has several limitations. NHANES participants had their mean BP measured during a single visit, and BP guidelines recommend obtaining mean BP using at least two BP values measured on separate days. The response rate for NHANES has declined from 1999-2000 through 2017-2020. Effects of this decline are unclear.</w:t>
      </w:r>
    </w:p>
    <w:bookmarkEnd w:id="26"/>
    <w:bookmarkStart w:id="38" w:name="conclusions"/>
    <w:p>
      <w:pPr>
        <w:pStyle w:val="Heading2"/>
      </w:pPr>
      <w:r>
        <w:t xml:space="preserve">Conclusions</w:t>
      </w:r>
    </w:p>
    <w:p>
      <w:pPr>
        <w:pStyle w:val="FirstParagraph"/>
      </w:pPr>
      <w:r>
        <w:t xml:space="preserve">We developed a web-based application for analysis of hypertension outcomes among non-institutionalized adults living in the US from 1999-2000 through 2017-2020. The application is publicly available and produces valid, transparent, and reproducible results.</w:t>
      </w:r>
    </w:p>
    <w:p>
      <w:r>
        <w:br w:type="page"/>
      </w:r>
    </w:p>
    <w:bookmarkStart w:id="27" w:name="X965de878f89b3a32190432f5abc6600d5d02454"/>
    <w:p>
      <w:pPr>
        <w:pStyle w:val="Heading3"/>
      </w:pPr>
      <w:r>
        <w:t xml:space="preserve">Table 1: Blood pressure, hypertension and antihypertensive medication variables that may be analyzed using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27"/>
    <w:bookmarkStart w:id="28"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Race/Ethnicity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Standard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 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 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 observations</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803</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1,344</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r>
    </w:tbl>
    <w:p>
      <w:r>
        <w:br w:type="page"/>
      </w:r>
    </w:p>
    <w:bookmarkEnd w:id="28"/>
    <w:bookmarkStart w:id="29"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Dots represent mean systolic blood pressure. Vertical lines represent the 95% confidence interval.</w:t>
      </w:r>
    </w:p>
    <w:p>
      <w:r>
        <w:br w:type="page"/>
      </w:r>
    </w:p>
    <w:bookmarkEnd w:id="29"/>
    <w:bookmarkStart w:id="3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Age adjustment was performed through direct standardization</w:t>
      </w:r>
    </w:p>
    <w:p>
      <w:r>
        <w:br w:type="page"/>
      </w:r>
    </w:p>
    <w:bookmarkEnd w:id="30"/>
    <w:bookmarkStart w:id="31" w:name="Xcefacf932c515c79f4f5b40fbdf1231384a00ec"/>
    <w:p>
      <w:pPr>
        <w:pStyle w:val="Heading3"/>
      </w:pPr>
      <w:r>
        <w:t xml:space="preserve">Figure 3 Number of US adults with hypertension</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133350" cy="50800"/>
                    </a:xfrm>
                    <a:prstGeom prst="rect">
                      <a:avLst/>
                    </a:prstGeom>
                    <a:noFill/>
                  </pic:spPr>
                </pic:pic>
              </a:graphicData>
            </a:graphic>
          </wp:inline>
        </w:drawing>
      </w:r>
    </w:p>
    <w:p>
      <w:r>
        <w:br w:type="page"/>
      </w:r>
    </w:p>
    <w:bookmarkEnd w:id="31"/>
    <w:bookmarkStart w:id="32" w:name="Xffe6602a6857df4b87d25226e2c442cfa76bd0f"/>
    <w:p>
      <w:pPr>
        <w:pStyle w:val="Heading3"/>
      </w:pPr>
      <w:r>
        <w:t xml:space="preserve">Figure 4 Age-adjusted prevalence of blood pressure control by calendar year.</w:t>
      </w:r>
    </w:p>
    <w:p>
      <w:pPr>
        <w:pStyle w:val="FirstParagraph"/>
      </w:pPr>
      <w:r>
        <w:t xml:space="preserve">A. Among those with hypertension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self-report taking antihypertensive medication</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bookmarkEnd w:id="32"/>
    <w:bookmarkStart w:id="33" w:name="X81837c987ffd91f154501718b564f7b70e03a10"/>
    <w:p>
      <w:pPr>
        <w:pStyle w:val="Heading3"/>
      </w:pPr>
      <w:r>
        <w:t xml:space="preserve">Table S1: All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trPr>
          <w:cantSplit/>
          <w:trHeight w:val="360" w:hRule="auto"/>
        </w:trPr>
        body24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body37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r>
        <w:br w:type="page"/>
      </w:r>
    </w:p>
    <w:bookmarkEnd w:id="33"/>
    <w:bookmarkStart w:id="34" w:name="Xbe1dec8bd6a9d2fd9ce9d5d5149491584f3c965"/>
    <w:p>
      <w:pPr>
        <w:pStyle w:val="Heading3"/>
      </w:pPr>
      <w:r>
        <w:t xml:space="preserve">Figure S1 Application of inclusion and exclusion criteria for the application of NHANES hypertension data.</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bookmarkEnd w:id="34"/>
    <w:bookmarkStart w:id="35" w:name="X8a1f132c78a6b888fa8b83daaa0a276abf7d262"/>
    <w:p>
      <w:pPr>
        <w:pStyle w:val="Heading3"/>
      </w:pPr>
      <w:r>
        <w:t xml:space="preserve">Figure S2: Prevalence of hypertension among US adults with and without chronic kidney disease</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r>
        <w:br w:type="page"/>
      </w:r>
    </w:p>
    <w:bookmarkEnd w:id="35"/>
    <w:bookmarkStart w:id="36" w:name="X668a3bacd043585195ce724764b8286813775f4"/>
    <w:p>
      <w:pPr>
        <w:pStyle w:val="Heading3"/>
      </w:pPr>
      <w:r>
        <w:t xml:space="preserve">Figure S3: Distribution of blood pressure categories among pregnant women.</w:t>
      </w:r>
    </w:p>
    <w:p>
      <w:pPr>
        <w:pStyle w:val="FirstParagraph"/>
      </w:pPr>
      <w:r>
        <w:t xml:space="preserve">A. In 2017-2020</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1"/>
                    <a:srcRect/>
                    <a:stretch>
                      <a:fillRect/>
                    </a:stretch>
                  </pic:blipFill>
                  <pic:spPr bwMode="auto">
                    <a:xfrm>
                      <a:off x="0" y="0"/>
                      <a:ext cx="133350" cy="50800"/>
                    </a:xfrm>
                    <a:prstGeom prst="rect">
                      <a:avLst/>
                    </a:prstGeom>
                    <a:noFill/>
                  </pic:spPr>
                </pic:pic>
              </a:graphicData>
            </a:graphic>
          </wp:inline>
        </w:drawing>
      </w:r>
    </w:p>
    <w:p>
      <w:pPr>
        <w:pStyle w:val="BodyText"/>
      </w:pPr>
      <w:r>
        <w:t xml:space="preserve">B. In 2009-2010 through 2017-2020</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2"/>
                    <a:srcRect/>
                    <a:stretch>
                      <a:fillRect/>
                    </a:stretch>
                  </pic:blipFill>
                  <pic:spPr bwMode="auto">
                    <a:xfrm>
                      <a:off x="0" y="0"/>
                      <a:ext cx="133350" cy="50800"/>
                    </a:xfrm>
                    <a:prstGeom prst="rect">
                      <a:avLst/>
                    </a:prstGeom>
                    <a:noFill/>
                  </pic:spPr>
                </pic:pic>
              </a:graphicData>
            </a:graphic>
          </wp:inline>
        </w:drawing>
      </w:r>
    </w:p>
    <w:p>
      <w:r>
        <w:br w:type="page"/>
      </w:r>
    </w:p>
    <w:bookmarkEnd w:id="36"/>
    <w:bookmarkStart w:id="37" w:name="Xc94c4b8b0f7ea79b505a0cd2426c2e9e2cb3314"/>
    <w:p>
      <w:pPr>
        <w:pStyle w:val="Heading3"/>
      </w:pPr>
      <w:r>
        <w:t xml:space="preserve">Figure S4: Age-adjusted prevalence of resistant hypertension by calendar year.</w:t>
      </w:r>
    </w:p>
    <w:p>
      <w:pPr>
        <w:pStyle w:val="FirstParagraph"/>
      </w:pPr>
      <w:r>
        <w:t xml:space="preserve">A. Among those who self report taking antihypertensive medication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who self report taking antihypertensive medication and are taking 3 or more classes.</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37"/>
    <w:bookmarkEnd w:id="38"/>
    <w:bookmarkEnd w:id="39"/>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3938694b4fc6.png"/>
<Relationship Id="rId16" Type="http://schemas.openxmlformats.org/officeDocument/2006/relationships/image" Target="media/file39385bd07be.png"/>
<Relationship Id="rId17" Type="http://schemas.openxmlformats.org/officeDocument/2006/relationships/image" Target="media/file393866114006.png"/>
<Relationship Id="rId18" Type="http://schemas.openxmlformats.org/officeDocument/2006/relationships/image" Target="media/file393840e0601d.png"/>
<Relationship Id="rId19" Type="http://schemas.openxmlformats.org/officeDocument/2006/relationships/image" Target="media/file3938376d3794.png"/>
<Relationship Id="rId20" Type="http://schemas.openxmlformats.org/officeDocument/2006/relationships/image" Target="media/file3938383f3f39.png"/>
<Relationship Id="rId21" Type="http://schemas.openxmlformats.org/officeDocument/2006/relationships/image" Target="media/file39385f2f689a.png"/>
<Relationship Id="rId22" Type="http://schemas.openxmlformats.org/officeDocument/2006/relationships/image" Target="media/file393847f316ac.png"/>
<Relationship Id="rId23" Type="http://schemas.openxmlformats.org/officeDocument/2006/relationships/image" Target="media/file393836367096.png"/>
<Relationship Id="rId24" Type="http://schemas.openxmlformats.org/officeDocument/2006/relationships/image" Target="media/file393847577f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2022-10-23T16:32:57Z</dcterms:created>
  <dcterms:modified xsi:type="dcterms:W3CDTF">2022-10-23T12:32:58Z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