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Jennifer S. Herrick, MS,</w:t>
      </w:r>
      <w:r>
        <w:rPr>
          <w:vertAlign w:val="superscript"/>
        </w:rPr>
        <w:t xml:space="preserve">3,6</w:t>
      </w:r>
      <w:r>
        <w:t xml:space="preserve"> </w:t>
      </w:r>
      <w:r>
        <w:t xml:space="preserve">Catherine G.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BodyText"/>
      </w:pPr>
      <w:r>
        <w:rPr>
          <w:bCs/>
          <w:b/>
        </w:rPr>
        <w:t xml:space="preserve">AUTHOR ORDER NOT FINALIZED</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University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rPr>
          <w:vertAlign w:val="superscript"/>
        </w:rPr>
        <w:t xml:space="preserve">4</w:t>
      </w:r>
      <w:r>
        <w:t xml:space="preserve"> </w:t>
      </w:r>
      <w:r>
        <w:t xml:space="preserve">Intermountain Healthcare Department of Population Health Sciences, Spencer Fox Eccles School of Medicine, University of Utah,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t xml:space="preserve"> </w:t>
      </w:r>
      <w:r>
        <w:rPr>
          <w:vertAlign w:val="superscript"/>
        </w:rPr>
        <w:t xml:space="preserve">6</w:t>
      </w:r>
      <w:r>
        <w:t xml:space="preserve">Department of Internal Medicine, Spencer Fox Eccles School of Medicine, University of Utah,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population counts in addition to crude and age-adjusted summary statistics. To demonstrate the application’s capabilities, we estimated hypertension statistics for US adults. The application was validated by replicating statistics from three publications.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non-pregnant US adults with hypertension was 9.7% in 1999-2000, 25.0% in 2013-2014, and 21.9% in 2017-2020. After age-adjustment and among non-pregnant US adults who self-reported taking antihypertensive medication, 27.6%,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may be challenging for a number of reasons. Specific statistical techniques are required to account for the multi-stage sampling design used to select NHANES participants and analyses need to be weighted to produce nationally representative estimates. Prior studies have found errors related to survey design and estimation be an important component of total survey error.</w:t>
      </w:r>
      <w:r>
        <w:rPr>
          <w:vertAlign w:val="superscript"/>
        </w:rPr>
        <w:t xml:space="preserve">6,7</w:t>
      </w:r>
      <w:r>
        <w:t xml:space="preserve">. NHANES data are currently collected in two-year periods, referred to as cycles, and each cycle includes over 50 data files and accompanying informational material. NHANES data collection protocols have changed over time for some variables, and these differences should be considered when comparing or aggregating data from multiple cycles. For example, while BP was measured using a mercury sphygmomanometer until 2016,</w:t>
      </w:r>
      <w:r>
        <w:rPr>
          <w:vertAlign w:val="superscript"/>
        </w:rPr>
        <w:t xml:space="preserve">8</w:t>
      </w:r>
      <w:r>
        <w:t xml:space="preserve"> </w:t>
      </w:r>
      <w:r>
        <w:t xml:space="preserve">a validated oscillometric device was used in 2017 through 2020.</w:t>
      </w:r>
      <w:r>
        <w:rPr>
          <w:vertAlign w:val="superscript"/>
        </w:rPr>
        <w:t xml:space="preserve">9</w:t>
      </w:r>
      <w:r>
        <w:t xml:space="preserve"> </w:t>
      </w:r>
      <w:r>
        <w:t xml:space="preserve">Also, tests need to be performed to ensure the statistical estimates are reliable, and unstable estimates should be suppressed.</w:t>
      </w:r>
      <w:r>
        <w:rPr>
          <w:vertAlign w:val="superscript"/>
        </w:rPr>
        <w:t xml:space="preserve">10</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and reproducible. The application is also</w:t>
      </w:r>
      <w:r>
        <w:t xml:space="preserve"> </w:t>
      </w:r>
      <w:r>
        <w:t xml:space="preserve">“</w:t>
      </w:r>
      <w:r>
        <w:t xml:space="preserve">open-source</w:t>
      </w:r>
      <w:r>
        <w:t xml:space="preserve">”</w:t>
      </w:r>
      <w:r>
        <w:t xml:space="preserve"> </w:t>
      </w:r>
      <w:r>
        <w:t xml:space="preserve">as it’s source code is publicly available.</w:t>
      </w:r>
      <w:r>
        <w:rPr>
          <w:vertAlign w:val="superscript"/>
        </w:rPr>
        <w:t xml:space="preserve">11</w:t>
      </w:r>
      <w:r>
        <w:t xml:space="preserve"> </w:t>
      </w:r>
      <w:r>
        <w:t xml:space="preserve">In this manuscript, we review the design, development and validation of the application and present BP and hypertension statistics for US adults that were generated using the application.</w:t>
      </w:r>
    </w:p>
    <w:p>
      <w:pPr>
        <w:pStyle w:val="BodyText"/>
      </w:pP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In the current study, antihypertensive medication classes were defined using those listed in the 2017 ACC/AHA BP guideline (Section 8.1.4; Table 18).</w:t>
      </w:r>
      <w:r>
        <w:rPr>
          <w:vertAlign w:val="superscript"/>
        </w:rPr>
        <w:t xml:space="preserve">12</w:t>
      </w:r>
      <w:r>
        <w:t xml:space="preserve"> </w:t>
      </w:r>
      <w:r>
        <w:t xml:space="preserve">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13</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14,15</w:t>
      </w:r>
      <w:r>
        <w:t xml:space="preserve"> </w:t>
      </w:r>
      <w:r>
        <w:t xml:space="preserve">For the current analysis, we defined hypertension, BP control, and resistant hypertension according to the 2017 ACC/AHA BP guideline.</w:t>
      </w:r>
      <w:r>
        <w:rPr>
          <w:vertAlign w:val="superscript"/>
        </w:rPr>
        <w:t xml:space="preserve">12</w:t>
      </w:r>
      <w:r>
        <w:t xml:space="preserve"> </w:t>
      </w:r>
      <w:r>
        <w:t xml:space="preserve">The application also has these variables defined according to the JNC7 definitions.</w:t>
      </w:r>
      <w:r>
        <w:rPr>
          <w:vertAlign w:val="superscript"/>
        </w:rPr>
        <w:t xml:space="preserve">16</w:t>
      </w:r>
      <w:r>
        <w:t xml:space="preserve"> </w:t>
      </w:r>
      <w:r>
        <w:t xml:space="preserve">Chronic kidney disease (CKD) was defined by estimated glomerular filtration rate &lt; 60 ml/min/1.73 m</w:t>
      </w:r>
      <w:r>
        <w:rPr>
          <w:vertAlign w:val="superscript"/>
        </w:rPr>
        <w:t xml:space="preserve">2</w:t>
      </w:r>
      <w:r>
        <w:t xml:space="preserve"> </w:t>
      </w:r>
      <w:r>
        <w:t xml:space="preserve">calculated using the 2021 serum creatinine-based equation or albumin-to-creatinine ratio &gt; 30 mg/g.</w:t>
      </w:r>
      <w:r>
        <w:rPr>
          <w:vertAlign w:val="superscript"/>
        </w:rPr>
        <w:t xml:space="preserve">17</w:t>
      </w:r>
      <w:r>
        <w:t xml:space="preserve"> </w:t>
      </w:r>
      <w:r>
        <w:t xml:space="preserve">A list of BP, hypertension, and antihypertensive medication variables is provided in</w:t>
      </w:r>
      <w:r>
        <w:t xml:space="preserve"> </w:t>
      </w:r>
      <w:r>
        <w:rPr>
          <w:bCs/>
          <w:b/>
        </w:rPr>
        <w:t xml:space="preserve">Table 1</w:t>
      </w:r>
      <w:r>
        <w:t xml:space="preserve"> </w:t>
      </w:r>
      <w:r>
        <w:t xml:space="preserve">with full definitions for all variables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 xml:space="preserve">18</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w:t>
      </w:r>
      <w:r>
        <w:rPr>
          <w:vertAlign w:val="superscript"/>
        </w:rPr>
        <w:t xml:space="preserve">11</w:t>
      </w:r>
      <w:r>
        <w:t xml:space="preserve"> </w:t>
      </w:r>
      <w:r>
        <w:t xml:space="preserve">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 The results can be presented in tables or figures and for the overall population or in subgroups. All tables and figures created with the web application can be downloaded and saved in standard formats. Following CDC recommendations, unreliable statistical estimates are automatically suppressed.</w:t>
      </w:r>
      <w:r>
        <w:rPr>
          <w:vertAlign w:val="superscript"/>
        </w:rPr>
        <w:t xml:space="preserve">10</w:t>
      </w:r>
      <w:r>
        <w:t xml:space="preserve"> </w:t>
      </w:r>
      <w:r>
        <w:t xml:space="preserve">To increase precision and reliability of estimates, contiguous NHANES cycles can be combined.</w:t>
      </w:r>
      <w:r>
        <w:rPr>
          <w:vertAlign w:val="superscript"/>
        </w:rPr>
        <w:t xml:space="preserve">19</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20–22</w:t>
      </w:r>
      <w:r>
        <w:t xml:space="preserve"> </w:t>
      </w:r>
      <w:r>
        <w:t xml:space="preserve">an open-source software package that translates code from the R programming language into HTML, CSS, or JavaScript commands and creates a website interface.</w:t>
      </w:r>
      <w:r>
        <w:rPr>
          <w:vertAlign w:val="superscript"/>
        </w:rPr>
        <w:t xml:space="preserve">23</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w:t>
      </w:r>
      <w:r>
        <w:rPr>
          <w:vertAlign w:val="superscript"/>
        </w:rPr>
        <w:t xml:space="preserve">11</w:t>
      </w:r>
      <w:r>
        <w:t xml:space="preserve"> </w:t>
      </w:r>
      <w:r>
        <w:t xml:space="preserve">We validated the web application by using it to reproduce statistics reported in two prior studies and one CDC report.</w:t>
      </w:r>
      <w:r>
        <w:rPr>
          <w:vertAlign w:val="superscript"/>
        </w:rPr>
        <w:t xml:space="preserve">14,24,25</w:t>
      </w:r>
      <w:r>
        <w:t xml:space="preserve"> </w:t>
      </w:r>
      <w:r>
        <w:t xml:space="preserve">Details on the validation are available online.</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(95% CI 77.9, 101.7) million US adults with hypertension (</w:t>
      </w:r>
      <w:r>
        <w:rPr>
          <w:bCs/>
          <w:b/>
        </w:rPr>
        <w:t xml:space="preserve">Figure 3</w:t>
      </w:r>
      <w:r>
        <w:t xml:space="preserve">). The number of US adults with hypertension increased to 115.3 (95% CI 107.4, 123.2)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among non-pregnant US adults with hypertension was lowest in 1999-2000 (9.7%), highest in 2013-2014 (25.0%), and 21.9% in 2017-2020 (</w:t>
      </w:r>
      <w:r>
        <w:rPr>
          <w:bCs/>
          <w:b/>
        </w:rPr>
        <w:t xml:space="preserve">Figure 4; panel A</w:t>
      </w:r>
      <w:r>
        <w:t xml:space="preserve">). Among US adults with hypertension who self-reported taking antihypertensive medication, 27.6%, 48.5%, and 43.0% had controlled BP in 1999-2000, 2013-2014, and 2017-2020, respectively (</w:t>
      </w:r>
      <w:r>
        <w:rPr>
          <w:bCs/>
          <w:b/>
        </w:rPr>
        <w:t xml:space="preserve">Figure 4; panel B</w:t>
      </w:r>
      <w:r>
        <w:t xml:space="preserve">). The age-adjusted prevalence of resistant hypertension among non-pregnant US adults with hypertension who self-reported taking antihypertensive medication and had ≥1 antihypertensive medication class identified during the medication inventory was lowest in 1999-2000 (14.3%), highest in 2005-2006 (21.4%), and 16.6% in 2017-2020 (</w:t>
      </w:r>
      <w:r>
        <w:rPr>
          <w:bCs/>
          <w:b/>
        </w:rPr>
        <w:t xml:space="preserve">Figure S4; panel A</w:t>
      </w:r>
      <w:r>
        <w:t xml:space="preserve">). Further restricting this analysis to those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publicly available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26</w:t>
      </w:r>
      <w:r>
        <w:t xml:space="preserve"> </w:t>
      </w:r>
      <w:r>
        <w:t xml:space="preserve">Researchers, clinicians, and the public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customize reports based on user requests. The web application that we present in the current manuscript addresses these challenges, allowing NHANES data to more fully inform public health decisions and future research related to hypertension.</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an approach that is consistent with several analyses conducted by CDC investigators.</w:t>
      </w:r>
      <w:r>
        <w:rPr>
          <w:vertAlign w:val="superscript"/>
        </w:rPr>
        <w:t xml:space="preserve">25,27</w:t>
      </w:r>
      <w:r>
        <w:t xml:space="preserve"> </w:t>
      </w:r>
      <w:r>
        <w:t xml:space="preserve">However, mean BP and the prevalence of high BP may be lower if we required multiple BP measurements.</w:t>
      </w:r>
      <w:r>
        <w:rPr>
          <w:vertAlign w:val="superscript"/>
        </w:rPr>
        <w:t xml:space="preserve">28</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29</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30</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14,24,25</w:t>
      </w:r>
      <w:r>
        <w:t xml:space="preserve"> </w:t>
      </w:r>
      <w:r>
        <w:t xml:space="preserve">However, we were not able to replicate some results.</w:t>
      </w:r>
      <w:r>
        <w:rPr>
          <w:vertAlign w:val="superscript"/>
        </w:rPr>
        <w:t xml:space="preserve">31</w:t>
      </w:r>
      <w:r>
        <w:t xml:space="preserve"> </w:t>
      </w:r>
      <w:r>
        <w:t xml:space="preserve">For example, a prior manuscript reported the prevalence of resistant hypertension defined by the 2017 ACC/AHA BP guideline to be 19.7% in 2009-2014.</w:t>
      </w:r>
      <w:r>
        <w:rPr>
          <w:vertAlign w:val="superscript"/>
        </w:rPr>
        <w:t xml:space="preserve">31</w:t>
      </w:r>
      <w:r>
        <w:t xml:space="preserve"> </w:t>
      </w:r>
      <w:r>
        <w:t xml:space="preserve">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 and are not used for the treatment of hypertension.</w:t>
      </w:r>
      <w:r>
        <w:rPr>
          <w:vertAlign w:val="superscript"/>
        </w:rPr>
        <w:t xml:space="preserve">12</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12</w:t>
      </w:r>
      <w:r>
        <w:t xml:space="preserve"> </w:t>
      </w:r>
      <w:r>
        <w:t xml:space="preserve">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8" w:name="references"/>
    <w:p>
      <w:pPr>
        <w:pStyle w:val="Heading1"/>
      </w:pPr>
      <w:r>
        <w:t xml:space="preserve">REFERENCES</w:t>
      </w:r>
    </w:p>
    <w:bookmarkStart w:id="87"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west2017analytic"/>
    <w:p>
      <w:pPr>
        <w:pStyle w:val="Bibliography"/>
      </w:pPr>
      <w:r>
        <w:t xml:space="preserve">6.</w:t>
      </w:r>
      <w:r>
        <w:t xml:space="preserve"> </w:t>
      </w:r>
      <w:r>
        <w:t xml:space="preserve">	</w:t>
      </w:r>
      <w:r>
        <w:t xml:space="preserve">West BT, Sakshaug JW, Kim Y. Analytic error as an important component of total survey error: Results from a meta-analysis.</w:t>
      </w:r>
      <w:r>
        <w:t xml:space="preserve"> </w:t>
      </w:r>
      <w:r>
        <w:rPr>
          <w:iCs/>
          <w:i/>
        </w:rPr>
        <w:t xml:space="preserve">Total survey error in practice</w:t>
      </w:r>
      <w:r>
        <w:t xml:space="preserve">. Published online 2017:487-510.</w:t>
      </w:r>
    </w:p>
    <w:bookmarkEnd w:id="39"/>
    <w:bookmarkStart w:id="40" w:name="ref-west2016big"/>
    <w:p>
      <w:pPr>
        <w:pStyle w:val="Bibliography"/>
      </w:pPr>
      <w:r>
        <w:t xml:space="preserve">7.</w:t>
      </w:r>
      <w:r>
        <w:t xml:space="preserve"> </w:t>
      </w:r>
      <w:r>
        <w:t xml:space="preserve">	</w:t>
      </w:r>
      <w:r>
        <w:t xml:space="preserve">West BT, Sakshaug JW, Aurelien GAS. How big of a problem is analytic error in secondary analyses of survey data?</w:t>
      </w:r>
      <w:r>
        <w:t xml:space="preserve"> </w:t>
      </w:r>
      <w:r>
        <w:rPr>
          <w:iCs/>
          <w:i/>
        </w:rPr>
        <w:t xml:space="preserve">PloS one</w:t>
      </w:r>
      <w:r>
        <w:t xml:space="preserve">. 2016;11(6):e0158120.</w:t>
      </w:r>
    </w:p>
    <w:bookmarkEnd w:id="40"/>
    <w:bookmarkStart w:id="41" w:name="ref-centers2015national"/>
    <w:p>
      <w:pPr>
        <w:pStyle w:val="Bibliography"/>
      </w:pPr>
      <w:r>
        <w:t xml:space="preserve">8.</w:t>
      </w:r>
      <w:r>
        <w:t xml:space="preserve"> </w:t>
      </w:r>
      <w:r>
        <w:t xml:space="preserve">	</w:t>
      </w:r>
      <w:r>
        <w:t xml:space="preserve">Disease Control C for, Prevention.</w:t>
      </w:r>
      <w:r>
        <w:t xml:space="preserve"> </w:t>
      </w:r>
      <w:r>
        <w:t xml:space="preserve">National Health and Nutrition Examination Survey (NHANES). Physician Examination Procedures Manual</w:t>
      </w:r>
      <w:r>
        <w:t xml:space="preserve">.</w:t>
      </w:r>
      <w:r>
        <w:t xml:space="preserve"> </w:t>
      </w:r>
      <w:r>
        <w:rPr>
          <w:iCs/>
          <w:i/>
        </w:rPr>
        <w:t xml:space="preserve">Hyattsville, MD</w:t>
      </w:r>
      <w:r>
        <w:t xml:space="preserve">. Published online 2015.</w:t>
      </w:r>
    </w:p>
    <w:bookmarkEnd w:id="41"/>
    <w:bookmarkStart w:id="42" w:name="ref-ostchega2010assessing"/>
    <w:p>
      <w:pPr>
        <w:pStyle w:val="Bibliography"/>
      </w:pPr>
      <w:r>
        <w:t xml:space="preserve">9.</w:t>
      </w:r>
      <w:r>
        <w:t xml:space="preserve"> </w:t>
      </w:r>
      <w:r>
        <w:t xml:space="preserve">	</w:t>
      </w:r>
      <w:r>
        <w:t xml:space="preserve">Ostchega Y, Nwankwo T, Sorlie PD, Wolz M, Zipf G. Assessing the validity of the omron HEM-907XL oscillometric blood pressure measurement device in a national survey environment.</w:t>
      </w:r>
      <w:r>
        <w:t xml:space="preserve"> </w:t>
      </w:r>
      <w:r>
        <w:rPr>
          <w:iCs/>
          <w:i/>
        </w:rPr>
        <w:t xml:space="preserve">The Journal of Clinical Hypertension</w:t>
      </w:r>
      <w:r>
        <w:t xml:space="preserve">. 2010;12(1):22-28.</w:t>
      </w:r>
    </w:p>
    <w:bookmarkEnd w:id="42"/>
    <w:bookmarkStart w:id="44" w:name="ref-parker2017national"/>
    <w:p>
      <w:pPr>
        <w:pStyle w:val="Bibliography"/>
      </w:pPr>
      <w:r>
        <w:t xml:space="preserve">10.</w:t>
      </w:r>
      <w:r>
        <w:t xml:space="preserve"> </w:t>
      </w:r>
      <w:r>
        <w:t xml:space="preserve">	</w:t>
      </w:r>
      <w:r>
        <w:t xml:space="preserve">Parker JD, Talih M, Malec DJ, et al.</w:t>
      </w:r>
      <w:r>
        <w:t xml:space="preserve"> </w:t>
      </w:r>
      <w:hyperlink r:id="rId43">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44"/>
    <w:bookmarkStart w:id="46" w:name="ref-rpack_cardioStatsUSA"/>
    <w:p>
      <w:pPr>
        <w:pStyle w:val="Bibliography"/>
      </w:pPr>
      <w:r>
        <w:t xml:space="preserve">11.</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5">
        <w:r>
          <w:rPr>
            <w:rStyle w:val="Hyperlink"/>
          </w:rPr>
          <w:t xml:space="preserve">https://jhs-hwg.github.io/cardioStatsUSA/</w:t>
        </w:r>
      </w:hyperlink>
    </w:p>
    <w:bookmarkEnd w:id="46"/>
    <w:bookmarkStart w:id="48" w:name="ref-whelton20182017"/>
    <w:p>
      <w:pPr>
        <w:pStyle w:val="Bibliography"/>
      </w:pPr>
      <w:r>
        <w:t xml:space="preserve">12.</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7">
        <w:r>
          <w:rPr>
            <w:rStyle w:val="Hyperlink"/>
          </w:rPr>
          <w:t xml:space="preserve">10.1016/j.jacc.2017.11.006</w:t>
        </w:r>
      </w:hyperlink>
    </w:p>
    <w:bookmarkEnd w:id="48"/>
    <w:bookmarkStart w:id="50" w:name="ref-ostchega_national_2003"/>
    <w:p>
      <w:pPr>
        <w:pStyle w:val="Bibliography"/>
      </w:pPr>
      <w:r>
        <w:t xml:space="preserve">13.</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9">
        <w:r>
          <w:rPr>
            <w:rStyle w:val="Hyperlink"/>
          </w:rPr>
          <w:t xml:space="preserve">10.1016/S0895-4356(03)00085-4</w:t>
        </w:r>
      </w:hyperlink>
    </w:p>
    <w:bookmarkEnd w:id="50"/>
    <w:bookmarkStart w:id="52" w:name="ref-muntner2022blood"/>
    <w:p>
      <w:pPr>
        <w:pStyle w:val="Bibliography"/>
      </w:pPr>
      <w:r>
        <w:t xml:space="preserve">14.</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51">
        <w:r>
          <w:rPr>
            <w:rStyle w:val="Hyperlink"/>
          </w:rPr>
          <w:t xml:space="preserve">10.1161/HYPERTENSIONAHA.122.19222</w:t>
        </w:r>
      </w:hyperlink>
    </w:p>
    <w:bookmarkEnd w:id="52"/>
    <w:bookmarkStart w:id="54" w:name="ref-ostchega2021comparing"/>
    <w:p>
      <w:pPr>
        <w:pStyle w:val="Bibliography"/>
      </w:pPr>
      <w:r>
        <w:t xml:space="preserve">15.</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53">
        <w:r>
          <w:rPr>
            <w:rStyle w:val="Hyperlink"/>
          </w:rPr>
          <w:t xml:space="preserve">10.15620/cdc:104185</w:t>
        </w:r>
      </w:hyperlink>
    </w:p>
    <w:bookmarkEnd w:id="54"/>
    <w:bookmarkStart w:id="56" w:name="ref-chobanian2003seventh"/>
    <w:p>
      <w:pPr>
        <w:pStyle w:val="Bibliography"/>
      </w:pPr>
      <w:r>
        <w:t xml:space="preserve">16.</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5">
        <w:r>
          <w:rPr>
            <w:rStyle w:val="Hyperlink"/>
          </w:rPr>
          <w:t xml:space="preserve">10.1001/jama.289.19.2560</w:t>
        </w:r>
      </w:hyperlink>
    </w:p>
    <w:bookmarkEnd w:id="56"/>
    <w:bookmarkStart w:id="58" w:name="ref-inker_new_2021"/>
    <w:p>
      <w:pPr>
        <w:pStyle w:val="Bibliography"/>
      </w:pPr>
      <w:r>
        <w:t xml:space="preserve">17.</w:t>
      </w:r>
      <w:r>
        <w:t xml:space="preserve"> </w:t>
      </w:r>
      <w:r>
        <w:t xml:space="preserve">	</w:t>
      </w:r>
      <w:r>
        <w:t xml:space="preserve">Inker LA, Eneanya ND, Coresh J, et al. New creatinine- and cystatin</w:t>
      </w:r>
      <w:r>
        <w:t xml:space="preserve"> </w:t>
      </w:r>
      <w:r>
        <w:t xml:space="preserve">C</w:t>
      </w:r>
      <w:r>
        <w:t xml:space="preserve">–based equations to estimate</w:t>
      </w:r>
      <w:r>
        <w:t xml:space="preserve"> </w:t>
      </w:r>
      <w:r>
        <w:t xml:space="preserve">GFR</w:t>
      </w:r>
      <w:r>
        <w:t xml:space="preserve"> </w:t>
      </w:r>
      <w:r>
        <w:t xml:space="preserve">without race.</w:t>
      </w:r>
      <w:r>
        <w:t xml:space="preserve"> </w:t>
      </w:r>
      <w:r>
        <w:rPr>
          <w:iCs/>
          <w:i/>
        </w:rPr>
        <w:t xml:space="preserve">New England Journal of Medicine</w:t>
      </w:r>
      <w:r>
        <w:t xml:space="preserve">. 2021;385(19):1737-1749. doi:</w:t>
      </w:r>
      <w:hyperlink r:id="rId57">
        <w:r>
          <w:rPr>
            <w:rStyle w:val="Hyperlink"/>
          </w:rPr>
          <w:t xml:space="preserve">10.1056/NEJMoa2102953</w:t>
        </w:r>
      </w:hyperlink>
    </w:p>
    <w:bookmarkEnd w:id="58"/>
    <w:bookmarkStart w:id="60" w:name="ref-muntner2004trends"/>
    <w:p>
      <w:pPr>
        <w:pStyle w:val="Bibliography"/>
      </w:pPr>
      <w:r>
        <w:t xml:space="preserve">18.</w:t>
      </w:r>
      <w:r>
        <w:t xml:space="preserve"> </w:t>
      </w:r>
      <w:r>
        <w:t xml:space="preserve">	</w:t>
      </w:r>
      <w:r>
        <w:t xml:space="preserve">Muntner P, He J, Cutler JA, Wildman RP, Whelton PK. Trends in blood pressure among children and adolescents.</w:t>
      </w:r>
      <w:r>
        <w:t xml:space="preserve"> </w:t>
      </w:r>
      <w:r>
        <w:rPr>
          <w:iCs/>
          <w:i/>
        </w:rPr>
        <w:t xml:space="preserve">JAMA</w:t>
      </w:r>
      <w:r>
        <w:t xml:space="preserve">. 2004;291(17):2107-2113. doi:</w:t>
      </w:r>
      <w:hyperlink r:id="rId59">
        <w:r>
          <w:rPr>
            <w:rStyle w:val="Hyperlink"/>
          </w:rPr>
          <w:t xml:space="preserve">10.1001/jama.291.17.2107</w:t>
        </w:r>
      </w:hyperlink>
    </w:p>
    <w:bookmarkEnd w:id="60"/>
    <w:bookmarkStart w:id="62" w:name="ref-nhanes_tutorial_weights"/>
    <w:p>
      <w:pPr>
        <w:pStyle w:val="Bibliography"/>
      </w:pPr>
      <w:r>
        <w:t xml:space="preserve">19.</w:t>
      </w:r>
      <w:r>
        <w:t xml:space="preserve"> </w:t>
      </w:r>
      <w:r>
        <w:t xml:space="preserve">	</w:t>
      </w:r>
      <w:r>
        <w:t xml:space="preserve">NHANES. Tutorials - module 3 - weighting, available at</w:t>
      </w:r>
      <w:r>
        <w:t xml:space="preserve"> </w:t>
      </w:r>
      <w:hyperlink r:id="rId61">
        <w:r>
          <w:rPr>
            <w:rStyle w:val="Hyperlink"/>
          </w:rPr>
          <w:t xml:space="preserve">https://wwwn.cdc.gov/nchs/nhanes/tutorials/module3.aspx</w:t>
        </w:r>
      </w:hyperlink>
      <w:r>
        <w:t xml:space="preserve">. Accessed on 10/23/2022.</w:t>
      </w:r>
    </w:p>
    <w:bookmarkEnd w:id="62"/>
    <w:bookmarkStart w:id="64" w:name="ref-rpack_shiny"/>
    <w:p>
      <w:pPr>
        <w:pStyle w:val="Bibliography"/>
      </w:pPr>
      <w:r>
        <w:t xml:space="preserve">20.</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3">
        <w:r>
          <w:rPr>
            <w:rStyle w:val="Hyperlink"/>
          </w:rPr>
          <w:t xml:space="preserve">https://CRAN.R-project.org/package=shiny</w:t>
        </w:r>
      </w:hyperlink>
    </w:p>
    <w:bookmarkEnd w:id="64"/>
    <w:bookmarkStart w:id="66" w:name="ref-rpack_shinyWidgets"/>
    <w:p>
      <w:pPr>
        <w:pStyle w:val="Bibliography"/>
      </w:pPr>
      <w:r>
        <w:t xml:space="preserve">21.</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5">
        <w:r>
          <w:rPr>
            <w:rStyle w:val="Hyperlink"/>
          </w:rPr>
          <w:t xml:space="preserve">https://CRAN.R-project.org/package=shinyWidgets</w:t>
        </w:r>
      </w:hyperlink>
    </w:p>
    <w:bookmarkEnd w:id="66"/>
    <w:bookmarkStart w:id="68" w:name="ref-rpack_shinyalert"/>
    <w:p>
      <w:pPr>
        <w:pStyle w:val="Bibliography"/>
      </w:pPr>
      <w:r>
        <w:t xml:space="preserve">22.</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7">
        <w:r>
          <w:rPr>
            <w:rStyle w:val="Hyperlink"/>
          </w:rPr>
          <w:t xml:space="preserve">https://CRAN.R-project.org/package=shinyalert</w:t>
        </w:r>
      </w:hyperlink>
    </w:p>
    <w:bookmarkEnd w:id="68"/>
    <w:bookmarkStart w:id="70" w:name="ref-r_language"/>
    <w:p>
      <w:pPr>
        <w:pStyle w:val="Bibliography"/>
      </w:pPr>
      <w:r>
        <w:t xml:space="preserve">23.</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9">
        <w:r>
          <w:rPr>
            <w:rStyle w:val="Hyperlink"/>
          </w:rPr>
          <w:t xml:space="preserve">https://www.R-project.org/</w:t>
        </w:r>
      </w:hyperlink>
    </w:p>
    <w:bookmarkEnd w:id="70"/>
    <w:bookmarkStart w:id="72" w:name="ref-muntner2020htn"/>
    <w:p>
      <w:pPr>
        <w:pStyle w:val="Bibliography"/>
      </w:pPr>
      <w:r>
        <w:t xml:space="preserve">24.</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71">
        <w:r>
          <w:rPr>
            <w:rStyle w:val="Hyperlink"/>
          </w:rPr>
          <w:t xml:space="preserve">10.1001/jama.2020.14545</w:t>
        </w:r>
      </w:hyperlink>
    </w:p>
    <w:bookmarkEnd w:id="72"/>
    <w:bookmarkStart w:id="74" w:name="ref-fryar_hypertension_2017"/>
    <w:p>
      <w:pPr>
        <w:pStyle w:val="Bibliography"/>
      </w:pPr>
      <w:r>
        <w:t xml:space="preserve">25.</w:t>
      </w:r>
      <w:r>
        <w:t xml:space="preserve"> </w:t>
      </w:r>
      <w:r>
        <w:t xml:space="preserve">	</w:t>
      </w:r>
      <w:r>
        <w:t xml:space="preserve">Fryar CD, Ostchega Y, Hales CM, Zhang G, Kruszon-Moran D.</w:t>
      </w:r>
      <w:r>
        <w:t xml:space="preserve"> </w:t>
      </w:r>
      <w:hyperlink r:id="rId73">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4"/>
    <w:bookmarkStart w:id="76" w:name="ref-app_cardioStatsUSA"/>
    <w:p>
      <w:pPr>
        <w:pStyle w:val="Bibliography"/>
      </w:pPr>
      <w:r>
        <w:t xml:space="preserve">26.</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5">
        <w:r>
          <w:rPr>
            <w:rStyle w:val="Hyperlink"/>
          </w:rPr>
          <w:t xml:space="preserve">https://bcjaeger.shinyapps.io/nhanesShinyBP/</w:t>
        </w:r>
      </w:hyperlink>
    </w:p>
    <w:bookmarkEnd w:id="76"/>
    <w:bookmarkStart w:id="78" w:name="ref-yoon_hypertension_2015"/>
    <w:p>
      <w:pPr>
        <w:pStyle w:val="Bibliography"/>
      </w:pPr>
      <w:r>
        <w:t xml:space="preserve">27.</w:t>
      </w:r>
      <w:r>
        <w:t xml:space="preserve"> </w:t>
      </w:r>
      <w:r>
        <w:t xml:space="preserve">	</w:t>
      </w:r>
      <w:r>
        <w:t xml:space="preserve">Yoon SSS, Carroll MD, Fryar CD.</w:t>
      </w:r>
      <w:r>
        <w:t xml:space="preserve"> </w:t>
      </w:r>
      <w:hyperlink r:id="rId77">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8"/>
    <w:bookmarkStart w:id="80" w:name="ref-handler_impact_2012"/>
    <w:p>
      <w:pPr>
        <w:pStyle w:val="Bibliography"/>
      </w:pPr>
      <w:r>
        <w:t xml:space="preserve">28.</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9">
        <w:r>
          <w:rPr>
            <w:rStyle w:val="Hyperlink"/>
          </w:rPr>
          <w:t xml:space="preserve">10.1111/jch.12009</w:t>
        </w:r>
      </w:hyperlink>
    </w:p>
    <w:bookmarkEnd w:id="80"/>
    <w:bookmarkStart w:id="82" w:name="ref-coresh_prevalence_2003"/>
    <w:p>
      <w:pPr>
        <w:pStyle w:val="Bibliography"/>
      </w:pPr>
      <w:r>
        <w:t xml:space="preserve">29.</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 Third national health and nutrition examination survey.</w:t>
      </w:r>
      <w:r>
        <w:t xml:space="preserve"> </w:t>
      </w:r>
      <w:r>
        <w:rPr>
          <w:iCs/>
          <w:i/>
        </w:rPr>
        <w:t xml:space="preserve">American Journal of Kidney Diseases: The Official Journal of the National Kidney Foundation</w:t>
      </w:r>
      <w:r>
        <w:t xml:space="preserve">. 2003;41(1):1-12. doi:</w:t>
      </w:r>
      <w:hyperlink r:id="rId81">
        <w:r>
          <w:rPr>
            <w:rStyle w:val="Hyperlink"/>
          </w:rPr>
          <w:t xml:space="preserve">10.1053/ajkd.2003.50007</w:t>
        </w:r>
      </w:hyperlink>
    </w:p>
    <w:bookmarkEnd w:id="82"/>
    <w:bookmarkStart w:id="84" w:name="ref-nhanes_rxq_drug"/>
    <w:p>
      <w:pPr>
        <w:pStyle w:val="Bibliography"/>
      </w:pPr>
      <w:r>
        <w:t xml:space="preserve">30.</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83">
        <w:r>
          <w:rPr>
            <w:rStyle w:val="Hyperlink"/>
          </w:rPr>
          <w:t xml:space="preserve">https://wwwn.cdc.gov/Nchs/Nhanes/1999-2000/RXQ_DRUG.htm</w:t>
        </w:r>
      </w:hyperlink>
    </w:p>
    <w:bookmarkEnd w:id="84"/>
    <w:bookmarkStart w:id="86" w:name="ref-carey_prevalence_2019"/>
    <w:p>
      <w:pPr>
        <w:pStyle w:val="Bibliography"/>
      </w:pPr>
      <w:r>
        <w:t xml:space="preserve">31.</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5">
        <w:r>
          <w:rPr>
            <w:rStyle w:val="Hyperlink"/>
          </w:rPr>
          <w:t xml:space="preserve">10.1161/HYPERTENSIONAHA.118.12191</w:t>
        </w:r>
      </w:hyperlink>
    </w:p>
    <w:bookmarkEnd w:id="86"/>
    <w:bookmarkEnd w:id="87"/>
    <w:p>
      <w:r>
        <w:br w:type="page"/>
      </w:r>
    </w:p>
    <w:bookmarkEnd w:id="88"/>
    <w:bookmarkStart w:id="89"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9"/>
    <w:bookmarkStart w:id="106"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90"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90"/>
    <w:bookmarkStart w:id="91"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91"/>
    <w:bookmarkStart w:id="93"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0"/>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mean and the upper and lower limits of the 95% confidence interval) can be obtained in the app by hovering over the mean systolic blood pressure.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2">
        <w:r>
          <w:rPr>
            <w:rStyle w:val="Hyperlink"/>
          </w:rPr>
          <w:t xml:space="preserve">available online</w:t>
        </w:r>
      </w:hyperlink>
      <w:r>
        <w:t xml:space="preserve"> </w:t>
      </w:r>
    </w:p>
    <w:p>
      <w:r>
        <w:br w:type="page"/>
      </w:r>
    </w:p>
    <w:bookmarkEnd w:id="93"/>
    <w:bookmarkStart w:id="95"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1"/>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4">
        <w:r>
          <w:rPr>
            <w:rStyle w:val="Hyperlink"/>
          </w:rPr>
          <w:t xml:space="preserve">available online</w:t>
        </w:r>
      </w:hyperlink>
      <w:r>
        <w:t xml:space="preserve"> </w:t>
      </w:r>
    </w:p>
    <w:p>
      <w:r>
        <w:br w:type="page"/>
      </w:r>
    </w:p>
    <w:bookmarkEnd w:id="95"/>
    <w:bookmarkStart w:id="97"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02"/>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count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6">
        <w:r>
          <w:rPr>
            <w:rStyle w:val="Hyperlink"/>
          </w:rPr>
          <w:t xml:space="preserve">available online</w:t>
        </w:r>
      </w:hyperlink>
      <w:r>
        <w:t xml:space="preserve"> </w:t>
      </w:r>
    </w:p>
    <w:p>
      <w:r>
        <w:br w:type="page"/>
      </w:r>
    </w:p>
    <w:bookmarkEnd w:id="97"/>
    <w:bookmarkStart w:id="100"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03"/>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8">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04"/>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9">
        <w:r>
          <w:rPr>
            <w:rStyle w:val="Hyperlink"/>
          </w:rPr>
          <w:t xml:space="preserve">available online</w:t>
        </w:r>
      </w:hyperlink>
      <w:r>
        <w:t xml:space="preserve"> </w:t>
      </w:r>
    </w:p>
    <w:p>
      <w:r>
        <w:br w:type="page"/>
      </w:r>
    </w:p>
    <w:bookmarkEnd w:id="100"/>
    <w:bookmarkStart w:id="101"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 Each cycle is 2 years in length, apart from 2017-2020, which covers 2017 through March of 2020 (approximately 3.2 years)</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 This top-coding was changed from 85 years to 80 with the 2007-2008 cycle (prior to then, was top-coded at 85).</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cantSplit/>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benazepril, captopril, enalapril, fosinopril, lisinopril, moexipril, perindopril, quinapril, ramipril, trandolapril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guanfacine, methyldopa, reserpine.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self-reported use of insulin or oral glucose-lowering medications.</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101"/>
    <w:bookmarkStart w:id="102"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102"/>
    <w:bookmarkStart w:id="103"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05"/>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103"/>
    <w:bookmarkStart w:id="104"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06"/>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an estimate is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upper and lower limits of the 95% confidence interval, or reasons for the suppression of data if applicable)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segments for these categories.</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07"/>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over the red bar with your mouse.</w:t>
      </w:r>
      <w:r>
        <w:t xml:space="preserve"> </w:t>
      </w:r>
    </w:p>
    <w:p>
      <w:r>
        <w:br w:type="page"/>
      </w:r>
    </w:p>
    <w:bookmarkEnd w:id="104"/>
    <w:bookmarkStart w:id="105"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08"/>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09"/>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105"/>
    <w:bookmarkEnd w:id="106"/>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3" Type="http://schemas.openxmlformats.org/officeDocument/2006/relationships/hyperlink" Target="https://CRAN.R-project.org/package=shiny" TargetMode="External"/>
<Relationship Id="rId65" Type="http://schemas.openxmlformats.org/officeDocument/2006/relationships/hyperlink" Target="https://CRAN.R-project.org/package=shinyWidgets" TargetMode="External"/>
<Relationship Id="rId67" Type="http://schemas.openxmlformats.org/officeDocument/2006/relationships/hyperlink" Target="https://CRAN.R-project.org/package=shinyalert" TargetMode="External"/>
<Relationship Id="rId75" Type="http://schemas.openxmlformats.org/officeDocument/2006/relationships/hyperlink" Target="https://bcjaeger.shinyapps.io/nhanesShinyBP/" TargetMode="External"/>
<Relationship Id="rId96"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9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9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9"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71" Type="http://schemas.openxmlformats.org/officeDocument/2006/relationships/hyperlink" Target="https://doi.org/10.1001/jama.2020.14545" TargetMode="External"/>
<Relationship Id="rId55" Type="http://schemas.openxmlformats.org/officeDocument/2006/relationships/hyperlink" Target="https://doi.org/10.1001/jama.289.19.2560" TargetMode="External"/>
<Relationship Id="rId59" Type="http://schemas.openxmlformats.org/officeDocument/2006/relationships/hyperlink" Target="https://doi.org/10.1001/jama.291.17.2107" TargetMode="External"/>
<Relationship Id="rId49"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7" Type="http://schemas.openxmlformats.org/officeDocument/2006/relationships/hyperlink" Target="https://doi.org/10.1016/j.jacc.2017.11.006" TargetMode="External"/>
<Relationship Id="rId81" Type="http://schemas.openxmlformats.org/officeDocument/2006/relationships/hyperlink" Target="https://doi.org/10.1053/ajkd.2003.50007" TargetMode="External"/>
<Relationship Id="rId57" Type="http://schemas.openxmlformats.org/officeDocument/2006/relationships/hyperlink" Target="https://doi.org/10.1056/NEJMoa2102953" TargetMode="External"/>
<Relationship Id="rId79" Type="http://schemas.openxmlformats.org/officeDocument/2006/relationships/hyperlink" Target="https://doi.org/10.1111/jch.12009" TargetMode="External"/>
<Relationship Id="rId85" Type="http://schemas.openxmlformats.org/officeDocument/2006/relationships/hyperlink" Target="https://doi.org/10.1161/HYPERTENSIONAHA.118.12191" TargetMode="External"/>
<Relationship Id="rId51" Type="http://schemas.openxmlformats.org/officeDocument/2006/relationships/hyperlink" Target="https://doi.org/10.1161/HYPERTENSIONAHA.122.19222" TargetMode="External"/>
<Relationship Id="rId53" Type="http://schemas.openxmlformats.org/officeDocument/2006/relationships/hyperlink" Target="https://doi.org/10.15620/cdc:104185" TargetMode="External"/>
<Relationship Id="rId45" Type="http://schemas.openxmlformats.org/officeDocument/2006/relationships/hyperlink" Target="https://jhs-hwg.github.io/cardioStatsUSA/" TargetMode="External"/>
<Relationship Id="rId69"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7" Type="http://schemas.openxmlformats.org/officeDocument/2006/relationships/hyperlink" Target="https://www.ncbi.nlm.nih.gov/pubmed/26633197" TargetMode="External"/>
<Relationship Id="rId73" Type="http://schemas.openxmlformats.org/officeDocument/2006/relationships/hyperlink" Target="https://www.ncbi.nlm.nih.gov/pubmed/29155682" TargetMode="External"/>
<Relationship Id="rId43" Type="http://schemas.openxmlformats.org/officeDocument/2006/relationships/hyperlink" Target="https://www.ncbi.nlm.nih.gov/pubmed/30248016" TargetMode="External"/>
<Relationship Id="rId83"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61" Type="http://schemas.openxmlformats.org/officeDocument/2006/relationships/hyperlink" Target="https://wwwn.cdc.gov/nchs/nhanes/tutorials/module3.aspx" TargetMode="External"/>
<Relationship Id="rId100" Type="http://schemas.openxmlformats.org/officeDocument/2006/relationships/image" Target="media/file60ece35382d.png"/>
<Relationship Id="rId101" Type="http://schemas.openxmlformats.org/officeDocument/2006/relationships/image" Target="media/file60ec52193d50.png"/>
<Relationship Id="rId102" Type="http://schemas.openxmlformats.org/officeDocument/2006/relationships/image" Target="media/file60ec16e24c5e.png"/>
<Relationship Id="rId103" Type="http://schemas.openxmlformats.org/officeDocument/2006/relationships/image" Target="media/file60ec3e5121cf.png"/>
<Relationship Id="rId104" Type="http://schemas.openxmlformats.org/officeDocument/2006/relationships/image" Target="media/file60ec71357adb.png"/>
<Relationship Id="rId105" Type="http://schemas.openxmlformats.org/officeDocument/2006/relationships/image" Target="media/file60ec3f5123b1.png"/>
<Relationship Id="rId106" Type="http://schemas.openxmlformats.org/officeDocument/2006/relationships/image" Target="media/file60ec7bc03825.png"/>
<Relationship Id="rId107" Type="http://schemas.openxmlformats.org/officeDocument/2006/relationships/image" Target="media/file60ec214d3317.png"/>
<Relationship Id="rId108" Type="http://schemas.openxmlformats.org/officeDocument/2006/relationships/image" Target="media/file60ec268b9e9.png"/>
<Relationship Id="rId109" Type="http://schemas.openxmlformats.org/officeDocument/2006/relationships/image" Target="media/file60ec27b73cb4.png"/>
</Relationships>

</file>

<file path=word/_rels/footnotes.xml.rels><?xml version="1.0" encoding="UTF-8" standalone="yes"?>

<Relationships  xmlns="http://schemas.openxmlformats.org/package/2006/relationships">
<Relationship Id="rId63" Type="http://schemas.openxmlformats.org/officeDocument/2006/relationships/hyperlink" Target="https://CRAN.R-project.org/package=shiny" TargetMode="External"/>
<Relationship Id="rId65" Type="http://schemas.openxmlformats.org/officeDocument/2006/relationships/hyperlink" Target="https://CRAN.R-project.org/package=shinyWidgets" TargetMode="External"/>
<Relationship Id="rId67" Type="http://schemas.openxmlformats.org/officeDocument/2006/relationships/hyperlink" Target="https://CRAN.R-project.org/package=shinyalert" TargetMode="External"/>
<Relationship Id="rId75" Type="http://schemas.openxmlformats.org/officeDocument/2006/relationships/hyperlink" Target="https://bcjaeger.shinyapps.io/nhanesShinyBP/" TargetMode="External"/>
<Relationship Id="rId96"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9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9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9"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71" Type="http://schemas.openxmlformats.org/officeDocument/2006/relationships/hyperlink" Target="https://doi.org/10.1001/jama.2020.14545" TargetMode="External"/>
<Relationship Id="rId55" Type="http://schemas.openxmlformats.org/officeDocument/2006/relationships/hyperlink" Target="https://doi.org/10.1001/jama.289.19.2560" TargetMode="External"/>
<Relationship Id="rId59" Type="http://schemas.openxmlformats.org/officeDocument/2006/relationships/hyperlink" Target="https://doi.org/10.1001/jama.291.17.2107" TargetMode="External"/>
<Relationship Id="rId49"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7" Type="http://schemas.openxmlformats.org/officeDocument/2006/relationships/hyperlink" Target="https://doi.org/10.1016/j.jacc.2017.11.006" TargetMode="External"/>
<Relationship Id="rId81" Type="http://schemas.openxmlformats.org/officeDocument/2006/relationships/hyperlink" Target="https://doi.org/10.1053/ajkd.2003.50007" TargetMode="External"/>
<Relationship Id="rId57" Type="http://schemas.openxmlformats.org/officeDocument/2006/relationships/hyperlink" Target="https://doi.org/10.1056/NEJMoa2102953" TargetMode="External"/>
<Relationship Id="rId79" Type="http://schemas.openxmlformats.org/officeDocument/2006/relationships/hyperlink" Target="https://doi.org/10.1111/jch.12009" TargetMode="External"/>
<Relationship Id="rId85" Type="http://schemas.openxmlformats.org/officeDocument/2006/relationships/hyperlink" Target="https://doi.org/10.1161/HYPERTENSIONAHA.118.12191" TargetMode="External"/>
<Relationship Id="rId51" Type="http://schemas.openxmlformats.org/officeDocument/2006/relationships/hyperlink" Target="https://doi.org/10.1161/HYPERTENSIONAHA.122.19222" TargetMode="External"/>
<Relationship Id="rId53" Type="http://schemas.openxmlformats.org/officeDocument/2006/relationships/hyperlink" Target="https://doi.org/10.15620/cdc:104185" TargetMode="External"/>
<Relationship Id="rId45" Type="http://schemas.openxmlformats.org/officeDocument/2006/relationships/hyperlink" Target="https://jhs-hwg.github.io/cardioStatsUSA/" TargetMode="External"/>
<Relationship Id="rId69"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7" Type="http://schemas.openxmlformats.org/officeDocument/2006/relationships/hyperlink" Target="https://www.ncbi.nlm.nih.gov/pubmed/26633197" TargetMode="External"/>
<Relationship Id="rId73" Type="http://schemas.openxmlformats.org/officeDocument/2006/relationships/hyperlink" Target="https://www.ncbi.nlm.nih.gov/pubmed/29155682" TargetMode="External"/>
<Relationship Id="rId43" Type="http://schemas.openxmlformats.org/officeDocument/2006/relationships/hyperlink" Target="https://www.ncbi.nlm.nih.gov/pubmed/30248016" TargetMode="External"/>
<Relationship Id="rId83"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61"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2022-11-13T21:00:08Z</dcterms:created>
  <dcterms:modified xsi:type="dcterms:W3CDTF">2022-11-13T16:00:10Z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