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80B8" w14:textId="16336A02" w:rsidR="00850D9D" w:rsidRPr="00850D9D" w:rsidRDefault="00850D9D" w:rsidP="002A5DB9">
      <w:pPr>
        <w:pStyle w:val="Heading3"/>
        <w:rPr>
          <w:b w:val="0"/>
          <w:bCs w:val="0"/>
        </w:rPr>
      </w:pPr>
      <w:bookmarkStart w:id="0" w:name="X81837c987ffd91f154501718b564f7b70e03a10"/>
      <w:r>
        <w:t xml:space="preserve">Instructions: </w:t>
      </w:r>
      <w:r>
        <w:rPr>
          <w:b w:val="0"/>
          <w:bCs w:val="0"/>
        </w:rPr>
        <w:t xml:space="preserve">For each variable in </w:t>
      </w:r>
      <w:r w:rsidRPr="00850D9D">
        <w:t>Table 1</w:t>
      </w:r>
      <w:r>
        <w:rPr>
          <w:b w:val="0"/>
          <w:bCs w:val="0"/>
        </w:rPr>
        <w:t>, create a summary. For continuous variables, the summary will be the mean, median, 25</w:t>
      </w:r>
      <w:r w:rsidRPr="00850D9D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>, and 75</w:t>
      </w:r>
      <w:r w:rsidRPr="00850D9D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percentile. For nominal variables, the summary will be the number of observations in each category. At this stage, there is no need to </w:t>
      </w:r>
      <w:proofErr w:type="gramStart"/>
      <w:r>
        <w:rPr>
          <w:b w:val="0"/>
          <w:bCs w:val="0"/>
        </w:rPr>
        <w:t>weight</w:t>
      </w:r>
      <w:proofErr w:type="gramEnd"/>
      <w:r>
        <w:rPr>
          <w:b w:val="0"/>
          <w:bCs w:val="0"/>
        </w:rPr>
        <w:t xml:space="preserve"> the results.</w:t>
      </w:r>
    </w:p>
    <w:p w14:paraId="1936AC2E" w14:textId="77777777" w:rsidR="00850D9D" w:rsidRDefault="00850D9D" w:rsidP="002A5DB9">
      <w:pPr>
        <w:pStyle w:val="Heading3"/>
      </w:pPr>
    </w:p>
    <w:p w14:paraId="0011DFCD" w14:textId="77777777" w:rsidR="00231765" w:rsidRDefault="00231765">
      <w:pPr>
        <w:spacing w:after="160" w:line="259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54CEFEA7" w14:textId="25566FF5" w:rsidR="002A5DB9" w:rsidRDefault="002A5DB9" w:rsidP="002A5DB9">
      <w:pPr>
        <w:pStyle w:val="Heading3"/>
      </w:pPr>
      <w:r>
        <w:lastRenderedPageBreak/>
        <w:t>Table</w:t>
      </w:r>
      <w:r w:rsidR="00E86341">
        <w:t xml:space="preserve"> 1</w:t>
      </w:r>
      <w:r w:rsidR="00BB3235">
        <w:t>:</w:t>
      </w:r>
      <w:r>
        <w:t xml:space="preserve"> </w:t>
      </w:r>
      <w:r w:rsidR="00BB3235">
        <w:t>V</w:t>
      </w:r>
      <w:r>
        <w:t xml:space="preserve">ariables </w:t>
      </w:r>
      <w:r w:rsidR="00BB3235">
        <w:t>to replicate</w:t>
      </w:r>
    </w:p>
    <w:tbl>
      <w:tblPr>
        <w:tblStyle w:val="TableGrid"/>
        <w:tblW w:w="12960" w:type="dxa"/>
        <w:tblLayout w:type="fixed"/>
        <w:tblLook w:val="0420" w:firstRow="1" w:lastRow="0" w:firstColumn="0" w:lastColumn="0" w:noHBand="0" w:noVBand="1"/>
      </w:tblPr>
      <w:tblGrid>
        <w:gridCol w:w="2880"/>
        <w:gridCol w:w="10080"/>
      </w:tblGrid>
      <w:tr w:rsidR="002A5DB9" w14:paraId="7207E4A0" w14:textId="77777777" w:rsidTr="00E86341">
        <w:tc>
          <w:tcPr>
            <w:tcW w:w="2880" w:type="dxa"/>
          </w:tcPr>
          <w:p w14:paraId="240C39EA" w14:textId="2AD2E6B9" w:rsidR="002A5DB9" w:rsidRDefault="005D35A4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</w:t>
            </w:r>
            <w:r w:rsidR="002A5DB9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10080" w:type="dxa"/>
          </w:tcPr>
          <w:p w14:paraId="04169968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 definition</w:t>
            </w:r>
          </w:p>
        </w:tc>
      </w:tr>
      <w:tr w:rsidR="002A5DB9" w14:paraId="01BC25B2" w14:textId="77777777" w:rsidTr="00E86341">
        <w:tc>
          <w:tcPr>
            <w:tcW w:w="12960" w:type="dxa"/>
            <w:gridSpan w:val="2"/>
            <w:shd w:val="clear" w:color="auto" w:fill="D0CECE" w:themeFill="background2" w:themeFillShade="E6"/>
          </w:tcPr>
          <w:p w14:paraId="48731367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Demographics</w:t>
            </w:r>
          </w:p>
        </w:tc>
      </w:tr>
      <w:tr w:rsidR="002A5DB9" w14:paraId="71EBA74D" w14:textId="77777777" w:rsidTr="00E86341">
        <w:tc>
          <w:tcPr>
            <w:tcW w:w="2880" w:type="dxa"/>
          </w:tcPr>
          <w:p w14:paraId="29FED7E3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Age category, years</w:t>
            </w:r>
          </w:p>
        </w:tc>
        <w:tc>
          <w:tcPr>
            <w:tcW w:w="10080" w:type="dxa"/>
          </w:tcPr>
          <w:p w14:paraId="30ACD81D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grouping: 18-44, 45-64, 65-74, ≥ 75 years</w:t>
            </w:r>
          </w:p>
        </w:tc>
      </w:tr>
      <w:tr w:rsidR="002A5DB9" w14:paraId="12CC971C" w14:textId="77777777" w:rsidTr="00E86341">
        <w:tc>
          <w:tcPr>
            <w:tcW w:w="2880" w:type="dxa"/>
          </w:tcPr>
          <w:p w14:paraId="787E1BD9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0080" w:type="dxa"/>
          </w:tcPr>
          <w:p w14:paraId="18FF3CCF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race/ethnicity. From 1999-2000 through 2009-2010 this was available as non-Hispanic White, non-Hispanic Black, Hispanic and other. From 2011-2012 through 2017-2020 this was available as non-Hispanic White, non-Hispanic Black, non-Hispanic Asian, Hispanic and other.</w:t>
            </w:r>
          </w:p>
        </w:tc>
      </w:tr>
      <w:tr w:rsidR="002A5DB9" w14:paraId="1DBF0CDD" w14:textId="77777777" w:rsidTr="00E86341">
        <w:tc>
          <w:tcPr>
            <w:tcW w:w="2880" w:type="dxa"/>
          </w:tcPr>
          <w:p w14:paraId="4DCDD2B4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Age, years</w:t>
            </w:r>
          </w:p>
        </w:tc>
        <w:tc>
          <w:tcPr>
            <w:tcW w:w="10080" w:type="dxa"/>
          </w:tcPr>
          <w:p w14:paraId="6C1932CE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 age in years.  Participants &gt; 80 years of age are given an age of 80 years.</w:t>
            </w:r>
          </w:p>
        </w:tc>
      </w:tr>
      <w:tr w:rsidR="002A5DB9" w14:paraId="19F706EC" w14:textId="77777777" w:rsidTr="00E86341">
        <w:tc>
          <w:tcPr>
            <w:tcW w:w="2880" w:type="dxa"/>
          </w:tcPr>
          <w:p w14:paraId="455D2FDC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Pregnant</w:t>
            </w:r>
          </w:p>
        </w:tc>
        <w:tc>
          <w:tcPr>
            <w:tcW w:w="10080" w:type="dxa"/>
          </w:tcPr>
          <w:p w14:paraId="2301DFE5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Pregnancy status. This is defined by either self-report of being pregnant or a positive pregnancy test conducted during the study visit.</w:t>
            </w:r>
          </w:p>
        </w:tc>
      </w:tr>
      <w:tr w:rsidR="002A5DB9" w14:paraId="0AF3D7EA" w14:textId="77777777" w:rsidTr="00E86341">
        <w:tc>
          <w:tcPr>
            <w:tcW w:w="2880" w:type="dxa"/>
          </w:tcPr>
          <w:p w14:paraId="34D13E16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0080" w:type="dxa"/>
          </w:tcPr>
          <w:p w14:paraId="5A47AE3A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gender</w:t>
            </w:r>
          </w:p>
        </w:tc>
      </w:tr>
      <w:tr w:rsidR="002A5DB9" w14:paraId="1DEB0540" w14:textId="77777777" w:rsidTr="00E86341">
        <w:tc>
          <w:tcPr>
            <w:tcW w:w="12960" w:type="dxa"/>
            <w:gridSpan w:val="2"/>
            <w:shd w:val="clear" w:color="auto" w:fill="D0CECE" w:themeFill="background2" w:themeFillShade="E6"/>
          </w:tcPr>
          <w:p w14:paraId="47AEF49D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Blood pressure</w:t>
            </w:r>
          </w:p>
        </w:tc>
      </w:tr>
      <w:tr w:rsidR="002A5DB9" w14:paraId="1CB0E4FE" w14:textId="77777777" w:rsidTr="00E86341">
        <w:tc>
          <w:tcPr>
            <w:tcW w:w="2880" w:type="dxa"/>
          </w:tcPr>
          <w:p w14:paraId="5C353666" w14:textId="77777777" w:rsidR="002A5DB9" w:rsidRPr="00A93457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10080" w:type="dxa"/>
          </w:tcPr>
          <w:p w14:paraId="0074D235" w14:textId="77777777" w:rsidR="002A5DB9" w:rsidRPr="00A93457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systolic blood pressure in mm Hg. This is based on the average of up to 3 readings.  Overall, &gt;95% of participants with at least one systolic blood pressure reading had three readings.  From 1999-2000 through 2015-2016, systolic blood pressure was measured using a mercury sphygmomanometer.  In 2017-2020, systolic blood pressure was measured using an </w:t>
            </w:r>
            <w:proofErr w:type="spellStart"/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>oscillometric</w:t>
            </w:r>
            <w:proofErr w:type="spellEnd"/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device.  The systolic blood pressure in 2017-2020 was calibrated to the mercury device by adding 1.5 mm Hg to the mean measured value.</w:t>
            </w:r>
          </w:p>
        </w:tc>
      </w:tr>
      <w:tr w:rsidR="002A5DB9" w14:paraId="7D3D7F13" w14:textId="77777777" w:rsidTr="00E86341">
        <w:tc>
          <w:tcPr>
            <w:tcW w:w="2880" w:type="dxa"/>
          </w:tcPr>
          <w:p w14:paraId="494D9E6B" w14:textId="77777777" w:rsidR="002A5DB9" w:rsidRPr="00A93457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Diastolic blood pressure, mm Hg</w:t>
            </w:r>
          </w:p>
        </w:tc>
        <w:tc>
          <w:tcPr>
            <w:tcW w:w="10080" w:type="dxa"/>
          </w:tcPr>
          <w:p w14:paraId="41C3526A" w14:textId="77777777" w:rsidR="002A5DB9" w:rsidRPr="00A93457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Mean diastolic blood pressure in mm Hg. This is based on the average of up to 3 readings.  Overall, &gt;95% of participants with at least one diastolic blood pressure reading had three readings.  From 1999-2000 through 2015-2016, diastolic blood pressure was measured using a mercury sphygmomanometer.  In 2017-2020, diastolic blood pressure was measured using an </w:t>
            </w:r>
            <w:proofErr w:type="spellStart"/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>oscillometric</w:t>
            </w:r>
            <w:proofErr w:type="spellEnd"/>
            <w:r w:rsidRPr="00A9345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device.  The diastolic blood pressure in 2017-2020 was calibrated to the mercury device by subtracting 1.0 mm Hg to the mean measured value.</w:t>
            </w:r>
          </w:p>
        </w:tc>
      </w:tr>
      <w:tr w:rsidR="002A5DB9" w14:paraId="00C9DF8C" w14:textId="77777777" w:rsidTr="00E86341">
        <w:tc>
          <w:tcPr>
            <w:tcW w:w="2880" w:type="dxa"/>
          </w:tcPr>
          <w:p w14:paraId="3B41028D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Blood pressure category</w:t>
            </w:r>
          </w:p>
        </w:tc>
        <w:tc>
          <w:tcPr>
            <w:tcW w:w="10080" w:type="dxa"/>
          </w:tcPr>
          <w:p w14:paraId="480B9E6F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Systolic/diastolic blood pressure &lt;120/80, 120-129/&lt;80, 130-139/80-89, 140-159/90-99, ≥ 160/100. Participants were placed in the category associated with higher blood pressure (e.g., someone with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systolic blood pressure of 150 mm Hg and diastolic blood pressure of 76 mm Hg was placed in the ≥ 140/90 mm Hg category)</w:t>
            </w:r>
          </w:p>
        </w:tc>
      </w:tr>
      <w:tr w:rsidR="002A5DB9" w14:paraId="30BE9E6A" w14:textId="77777777" w:rsidTr="00E86341">
        <w:tc>
          <w:tcPr>
            <w:tcW w:w="12960" w:type="dxa"/>
            <w:gridSpan w:val="2"/>
            <w:shd w:val="clear" w:color="auto" w:fill="D0CECE" w:themeFill="background2" w:themeFillShade="E6"/>
          </w:tcPr>
          <w:p w14:paraId="2AEBBD01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lastRenderedPageBreak/>
              <w:t>Antihypertensive medication</w:t>
            </w:r>
          </w:p>
        </w:tc>
      </w:tr>
      <w:tr w:rsidR="002A5DB9" w14:paraId="49060C6B" w14:textId="77777777" w:rsidTr="00E86341">
        <w:tc>
          <w:tcPr>
            <w:tcW w:w="2880" w:type="dxa"/>
          </w:tcPr>
          <w:p w14:paraId="1BD01430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antihypertensive medication use</w:t>
            </w:r>
          </w:p>
        </w:tc>
        <w:tc>
          <w:tcPr>
            <w:tcW w:w="10080" w:type="dxa"/>
          </w:tcPr>
          <w:p w14:paraId="18A33A73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use of antihypertensive medication</w:t>
            </w:r>
          </w:p>
        </w:tc>
      </w:tr>
      <w:tr w:rsidR="002A5DB9" w14:paraId="0C4BA687" w14:textId="77777777" w:rsidTr="00E86341">
        <w:tc>
          <w:tcPr>
            <w:tcW w:w="2880" w:type="dxa"/>
          </w:tcPr>
          <w:p w14:paraId="5D03B65F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antihypertensive medication classes</w:t>
            </w:r>
          </w:p>
        </w:tc>
        <w:tc>
          <w:tcPr>
            <w:tcW w:w="10080" w:type="dxa"/>
          </w:tcPr>
          <w:p w14:paraId="72784DC0" w14:textId="4B066BF4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 of antihypertensive medication classes being taken based on the pill bottle review</w:t>
            </w:r>
            <w:r w:rsidR="00850D9D">
              <w:rPr>
                <w:rFonts w:ascii="Arial" w:eastAsia="Arial" w:hAnsi="Arial" w:cs="Arial"/>
                <w:color w:val="000000"/>
                <w:sz w:val="22"/>
                <w:szCs w:val="22"/>
              </w:rPr>
              <w:t>. Treat this as categorical with categories of 0 classes, 1 class, 2 classes, 3 classes, and 4 or more classes.</w:t>
            </w:r>
          </w:p>
        </w:tc>
      </w:tr>
      <w:tr w:rsidR="002A5DB9" w14:paraId="37ABA5F8" w14:textId="77777777" w:rsidTr="00E86341">
        <w:tc>
          <w:tcPr>
            <w:tcW w:w="12960" w:type="dxa"/>
            <w:gridSpan w:val="2"/>
            <w:shd w:val="clear" w:color="auto" w:fill="E7E6E6" w:themeFill="background2"/>
          </w:tcPr>
          <w:p w14:paraId="4D40528C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2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Antihypertensive medicati</w:t>
            </w:r>
            <w:r w:rsidRPr="00BB3235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on classes</w:t>
            </w:r>
          </w:p>
        </w:tc>
      </w:tr>
      <w:tr w:rsidR="002A5DB9" w14:paraId="71F690C3" w14:textId="77777777" w:rsidTr="00E86341">
        <w:tc>
          <w:tcPr>
            <w:tcW w:w="2880" w:type="dxa"/>
          </w:tcPr>
          <w:p w14:paraId="4F0ADE27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ACE inhibitors</w:t>
            </w:r>
          </w:p>
        </w:tc>
        <w:tc>
          <w:tcPr>
            <w:tcW w:w="10080" w:type="dxa"/>
          </w:tcPr>
          <w:p w14:paraId="6EF96DCF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an angiotensin converting enzyme inhibitor, defined using the pill bottle review. Drugs in this class included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bnazepril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captopril, enalapril,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fosinopril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lisonopril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moexipril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, perindopril, quinapril, ramipril, trandolapril</w:t>
            </w:r>
          </w:p>
        </w:tc>
      </w:tr>
      <w:tr w:rsidR="002A5DB9" w14:paraId="34AC1079" w14:textId="77777777" w:rsidTr="00E86341">
        <w:tc>
          <w:tcPr>
            <w:tcW w:w="2880" w:type="dxa"/>
          </w:tcPr>
          <w:p w14:paraId="1B1C7EB4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Aldosterone antagonists</w:t>
            </w:r>
          </w:p>
        </w:tc>
        <w:tc>
          <w:tcPr>
            <w:tcW w:w="10080" w:type="dxa"/>
          </w:tcPr>
          <w:p w14:paraId="2F358E97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Taking an aldosterone antagonist, defined using the pill bottle review. Drugs in this class included eplerenone, spironolactone.</w:t>
            </w:r>
          </w:p>
        </w:tc>
      </w:tr>
      <w:tr w:rsidR="002A5DB9" w14:paraId="5B65AE78" w14:textId="77777777" w:rsidTr="00E86341">
        <w:tc>
          <w:tcPr>
            <w:tcW w:w="2880" w:type="dxa"/>
          </w:tcPr>
          <w:p w14:paraId="4800AEB9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Alpha-1 blockers</w:t>
            </w:r>
          </w:p>
        </w:tc>
        <w:tc>
          <w:tcPr>
            <w:tcW w:w="10080" w:type="dxa"/>
          </w:tcPr>
          <w:p w14:paraId="5D3BD4F5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Taking an alpha blocker, defined using the pill bottle review. Drugs in this class included doxazosin, prazosin, terazosin.</w:t>
            </w:r>
          </w:p>
        </w:tc>
      </w:tr>
      <w:tr w:rsidR="002A5DB9" w14:paraId="316D092B" w14:textId="77777777" w:rsidTr="00E86341">
        <w:tc>
          <w:tcPr>
            <w:tcW w:w="2880" w:type="dxa"/>
          </w:tcPr>
          <w:p w14:paraId="66E307E9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Angiotensin receptor blockers</w:t>
            </w:r>
          </w:p>
        </w:tc>
        <w:tc>
          <w:tcPr>
            <w:tcW w:w="10080" w:type="dxa"/>
          </w:tcPr>
          <w:p w14:paraId="2EB35913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an angiotensin receptor blocker, defined using the pill bottle review. Drugs in this class included candesartan,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eprosartan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irbesartan, losartan,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olmesartan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telmisartan, valsartan,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azilsartan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2A5DB9" w14:paraId="039EC62B" w14:textId="77777777" w:rsidTr="00E86341">
        <w:tc>
          <w:tcPr>
            <w:tcW w:w="2880" w:type="dxa"/>
          </w:tcPr>
          <w:p w14:paraId="3F05733D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Beta blockers</w:t>
            </w:r>
          </w:p>
        </w:tc>
        <w:tc>
          <w:tcPr>
            <w:tcW w:w="10080" w:type="dxa"/>
          </w:tcPr>
          <w:p w14:paraId="4F22C2FA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 beta blocker. Drugs in this class included acebutolol, atenolol,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betaxolol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, bisoprolol, carvedilol, labetalol, metoprolol, nadolol, nebivolol, pindolol, propranolol.</w:t>
            </w:r>
          </w:p>
        </w:tc>
      </w:tr>
      <w:tr w:rsidR="002A5DB9" w14:paraId="26036CD0" w14:textId="77777777" w:rsidTr="00E86341">
        <w:tc>
          <w:tcPr>
            <w:tcW w:w="2880" w:type="dxa"/>
          </w:tcPr>
          <w:p w14:paraId="7D250ED3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Central alpha1 agonist and other centrally acting agents</w:t>
            </w:r>
          </w:p>
        </w:tc>
        <w:tc>
          <w:tcPr>
            <w:tcW w:w="10080" w:type="dxa"/>
          </w:tcPr>
          <w:p w14:paraId="11B69F21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 centrally acting agents, defined using the pill bottle review. Drugs in this class included clonidine,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guanabenz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guanfaacine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, methyldopa, reserpine.</w:t>
            </w:r>
          </w:p>
        </w:tc>
      </w:tr>
      <w:tr w:rsidR="002A5DB9" w14:paraId="2B3A69C3" w14:textId="77777777" w:rsidTr="00E86341">
        <w:tc>
          <w:tcPr>
            <w:tcW w:w="2880" w:type="dxa"/>
          </w:tcPr>
          <w:p w14:paraId="6C722766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Calcium channel blockers</w:t>
            </w:r>
          </w:p>
        </w:tc>
        <w:tc>
          <w:tcPr>
            <w:tcW w:w="10080" w:type="dxa"/>
          </w:tcPr>
          <w:p w14:paraId="725E6AF7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 calcium channel blocker, defined using the pill bottle review. Drugs in this class included amlodipine, diltiazem, felodipine,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isradipine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nicardipine, nifedipine,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nisoldipine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, verapamil.</w:t>
            </w:r>
          </w:p>
        </w:tc>
      </w:tr>
      <w:tr w:rsidR="002A5DB9" w14:paraId="15222F12" w14:textId="77777777" w:rsidTr="00E86341">
        <w:tc>
          <w:tcPr>
            <w:tcW w:w="2880" w:type="dxa"/>
          </w:tcPr>
          <w:p w14:paraId="7AF82432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 sparing diuretics</w:t>
            </w:r>
          </w:p>
        </w:tc>
        <w:tc>
          <w:tcPr>
            <w:tcW w:w="10080" w:type="dxa"/>
          </w:tcPr>
          <w:p w14:paraId="1C918183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Taking a potassium-sparing diuretic, defined using the pill bottle review. Drugs in this class included amiloride, triamterene.</w:t>
            </w:r>
          </w:p>
        </w:tc>
      </w:tr>
      <w:tr w:rsidR="002A5DB9" w14:paraId="030BF5D3" w14:textId="77777777" w:rsidTr="00E86341">
        <w:tc>
          <w:tcPr>
            <w:tcW w:w="2880" w:type="dxa"/>
          </w:tcPr>
          <w:p w14:paraId="5B748D05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Loop diuretics</w:t>
            </w:r>
          </w:p>
        </w:tc>
        <w:tc>
          <w:tcPr>
            <w:tcW w:w="10080" w:type="dxa"/>
          </w:tcPr>
          <w:p w14:paraId="2152DD99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Taking a loop diuretic, defined using the pill bottle review. Drugs in this class included bumetanide, furosemide, torsemide, ethacrynic acid.</w:t>
            </w:r>
          </w:p>
        </w:tc>
      </w:tr>
      <w:tr w:rsidR="002A5DB9" w14:paraId="586ECCCE" w14:textId="77777777" w:rsidTr="00E86341">
        <w:tc>
          <w:tcPr>
            <w:tcW w:w="2880" w:type="dxa"/>
          </w:tcPr>
          <w:p w14:paraId="7CE25ED0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Thiazide or thiazide-type diuretics</w:t>
            </w:r>
          </w:p>
        </w:tc>
        <w:tc>
          <w:tcPr>
            <w:tcW w:w="10080" w:type="dxa"/>
          </w:tcPr>
          <w:p w14:paraId="135C567E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 thiazide diuretic, defined using the pill bottle review. Drugs in this class included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bendroflumethiazide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, chlorthalidone, chlorothiazide, hydrochlorothiazide, indapamide, metolazone, polythiazide.</w:t>
            </w:r>
          </w:p>
        </w:tc>
      </w:tr>
      <w:tr w:rsidR="002A5DB9" w14:paraId="277E6A6A" w14:textId="77777777" w:rsidTr="00E86341">
        <w:tc>
          <w:tcPr>
            <w:tcW w:w="2880" w:type="dxa"/>
          </w:tcPr>
          <w:p w14:paraId="2DB3DB0C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Direct renin inhibitors</w:t>
            </w:r>
          </w:p>
        </w:tc>
        <w:tc>
          <w:tcPr>
            <w:tcW w:w="10080" w:type="dxa"/>
          </w:tcPr>
          <w:p w14:paraId="67E71786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Taking a renin inhibitor, defined using the pill bottle review. Drugs in this class included </w:t>
            </w:r>
            <w:proofErr w:type="spellStart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aliskiren</w:t>
            </w:r>
            <w:proofErr w:type="spellEnd"/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2A5DB9" w14:paraId="41911C36" w14:textId="77777777" w:rsidTr="00E86341">
        <w:tc>
          <w:tcPr>
            <w:tcW w:w="2880" w:type="dxa"/>
          </w:tcPr>
          <w:p w14:paraId="37C52C37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Direct vasodilators</w:t>
            </w:r>
          </w:p>
        </w:tc>
        <w:tc>
          <w:tcPr>
            <w:tcW w:w="10080" w:type="dxa"/>
          </w:tcPr>
          <w:p w14:paraId="223E0D4E" w14:textId="77777777" w:rsidR="002A5DB9" w:rsidRPr="00BB3235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BB3235">
              <w:rPr>
                <w:rFonts w:ascii="Arial" w:eastAsia="Arial" w:hAnsi="Arial" w:cs="Arial"/>
                <w:color w:val="000000"/>
                <w:sz w:val="22"/>
                <w:szCs w:val="22"/>
              </w:rPr>
              <w:t>Taking a vasodilator, defined using the pill bottle review. Drugs in this class included hydralazine, minoxidil.</w:t>
            </w:r>
          </w:p>
        </w:tc>
      </w:tr>
      <w:tr w:rsidR="002A5DB9" w14:paraId="303EE604" w14:textId="77777777" w:rsidTr="00E86341">
        <w:tc>
          <w:tcPr>
            <w:tcW w:w="12960" w:type="dxa"/>
            <w:gridSpan w:val="2"/>
          </w:tcPr>
          <w:p w14:paraId="6556065C" w14:textId="77777777" w:rsidR="002A5DB9" w:rsidRDefault="002A5DB9" w:rsidP="004632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Abbreviations: ACC = American College of Cardiology; AHA = American Heart Association; BP = blood pressure; DBP = diastolic blood pressure; JNC7 = Seventh Joint National Committee; and SBP = systolic blood pressure</w:t>
            </w:r>
          </w:p>
        </w:tc>
      </w:tr>
      <w:bookmarkEnd w:id="0"/>
    </w:tbl>
    <w:p w14:paraId="59D2E531" w14:textId="729E9EA4" w:rsidR="004F21FE" w:rsidRDefault="00000000"/>
    <w:sectPr w:rsidR="004F21FE" w:rsidSect="002A5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B9"/>
    <w:rsid w:val="000D00DC"/>
    <w:rsid w:val="00231765"/>
    <w:rsid w:val="002A5DB9"/>
    <w:rsid w:val="005D35A4"/>
    <w:rsid w:val="00850D9D"/>
    <w:rsid w:val="00A93457"/>
    <w:rsid w:val="00BB3235"/>
    <w:rsid w:val="00E86341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E45B"/>
  <w15:chartTrackingRefBased/>
  <w15:docId w15:val="{4C988B7A-7699-4760-8723-34C5176D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B9"/>
    <w:pPr>
      <w:spacing w:after="200" w:line="240" w:lineRule="auto"/>
    </w:pPr>
    <w:rPr>
      <w:rFonts w:ascii="Times New Roman" w:hAnsi="Times New Roman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A5DB9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DB9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A5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5DB9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E8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Muntner, Paul M</dc:creator>
  <cp:keywords/>
  <dc:description/>
  <cp:lastModifiedBy>Byron C Jaeger</cp:lastModifiedBy>
  <cp:revision>5</cp:revision>
  <dcterms:created xsi:type="dcterms:W3CDTF">2022-10-26T22:20:00Z</dcterms:created>
  <dcterms:modified xsi:type="dcterms:W3CDTF">2022-10-27T00:19:00Z</dcterms:modified>
</cp:coreProperties>
</file>