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4179" w14:textId="77777777" w:rsidR="003D1C49" w:rsidRDefault="00000000">
      <w:pPr>
        <w:adjustRightInd w:val="0"/>
        <w:rPr>
          <w:rFonts w:ascii="Arial" w:hAnsi="Arial" w:cs="Arial"/>
          <w:b/>
          <w:bCs/>
          <w:sz w:val="22"/>
          <w:szCs w:val="22"/>
        </w:rPr>
      </w:pPr>
      <w:bookmarkStart w:id="0" w:name="IDX"/>
      <w:bookmarkEnd w:id="0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Table 1. Descriptive statistics (unweighted).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72"/>
        <w:gridCol w:w="4309"/>
        <w:gridCol w:w="3752"/>
      </w:tblGrid>
      <w:tr w:rsidR="003D1C49" w14:paraId="4E896E17" w14:textId="77777777" w:rsidTr="004E7CD9">
        <w:trPr>
          <w:cantSplit/>
          <w:tblHeader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center"/>
          </w:tcPr>
          <w:p w14:paraId="2EB36014" w14:textId="77777777" w:rsidR="003D1C49" w:rsidRDefault="00000000">
            <w:pPr>
              <w:keepNext/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43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center"/>
          </w:tcPr>
          <w:p w14:paraId="32799DAF" w14:textId="77777777" w:rsidR="003D1C49" w:rsidRDefault="00000000">
            <w:pPr>
              <w:keepNext/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Classification</w:t>
            </w:r>
          </w:p>
        </w:tc>
        <w:tc>
          <w:tcPr>
            <w:tcW w:w="3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" w:type="dxa"/>
              <w:right w:w="20" w:type="dxa"/>
            </w:tcMar>
            <w:vAlign w:val="center"/>
          </w:tcPr>
          <w:p w14:paraId="7EA301CF" w14:textId="77777777" w:rsidR="003D1C49" w:rsidRDefault="00000000">
            <w:pPr>
              <w:keepNext/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Statisitics</w:t>
            </w:r>
            <w:proofErr w:type="spellEnd"/>
          </w:p>
        </w:tc>
      </w:tr>
      <w:tr w:rsidR="003D1C49" w14:paraId="3AC4A38E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095146FE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Systolic blood pressure, mm Hg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0E1D4190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Mean (STD)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1368E923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123.59 (18.92)</w:t>
            </w:r>
          </w:p>
        </w:tc>
      </w:tr>
      <w:tr w:rsidR="003D1C49" w14:paraId="0FF344AA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24C34F23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73BFAF4E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Median (Q1, Q3)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1BB52904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120.00 (110.67, 133.33)</w:t>
            </w:r>
          </w:p>
        </w:tc>
      </w:tr>
      <w:tr w:rsidR="003D1C49" w14:paraId="7CC93D53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029DE8CE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7EF8DF67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Min, Max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2C9F77F2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64.67, 238.00</w:t>
            </w:r>
          </w:p>
        </w:tc>
      </w:tr>
      <w:tr w:rsidR="003D1C49" w14:paraId="1A178237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4F42A51E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4AC5556D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0F6B1529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3131 (5.6%)</w:t>
            </w:r>
          </w:p>
        </w:tc>
      </w:tr>
      <w:tr w:rsidR="003D1C49" w14:paraId="30D6E3CD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12EB33ED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Age category, years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6433CA8F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18-44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31EECA62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26,096 (46.6%)</w:t>
            </w:r>
          </w:p>
        </w:tc>
      </w:tr>
      <w:tr w:rsidR="003D1C49" w14:paraId="130F2D51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3EEDECEA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48A6A4C0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45-64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3C0B2820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17,155 (30.6%)</w:t>
            </w:r>
          </w:p>
        </w:tc>
      </w:tr>
      <w:tr w:rsidR="003D1C49" w14:paraId="50219F1D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484A4029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638C4686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65-74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177A7686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7,013 (12.5%)</w:t>
            </w:r>
          </w:p>
        </w:tc>
      </w:tr>
      <w:tr w:rsidR="003D1C49" w14:paraId="3F97F8AB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34E1EA5C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59E8A88E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≥ 75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4D974752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5,753 (10.3%)</w:t>
            </w:r>
          </w:p>
        </w:tc>
      </w:tr>
      <w:tr w:rsidR="003D1C49" w14:paraId="6131A295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442B96D5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574633A2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3B37A7EA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23,980 (42.8%)</w:t>
            </w:r>
          </w:p>
        </w:tc>
      </w:tr>
      <w:tr w:rsidR="003D1C49" w14:paraId="5388F896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48372185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060DBAAB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57BEF34F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12,355 (22.1%)</w:t>
            </w:r>
          </w:p>
        </w:tc>
      </w:tr>
      <w:tr w:rsidR="003D1C49" w14:paraId="71CAB3AD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48B578FE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74EF94B1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26284423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14,520 (25.9%)</w:t>
            </w:r>
          </w:p>
        </w:tc>
      </w:tr>
      <w:tr w:rsidR="003D1C49" w14:paraId="0BE7F5E8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085BE033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47B4AAD1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Non-Hispanic Asian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7909E6CB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2,946 (5.3%)</w:t>
            </w:r>
          </w:p>
        </w:tc>
      </w:tr>
      <w:tr w:rsidR="003D1C49" w14:paraId="4B870570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5CD17802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6AF5BD70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Other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race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70717449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2,216 (4.0%)</w:t>
            </w:r>
          </w:p>
        </w:tc>
      </w:tr>
      <w:tr w:rsidR="003D1C49" w14:paraId="29B359AA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15E86957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Age, years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101DE54E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Mean (STD)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65F2ABBD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47.49 (19.15)</w:t>
            </w:r>
          </w:p>
        </w:tc>
      </w:tr>
      <w:tr w:rsidR="003D1C49" w14:paraId="63D472F0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608386BA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30D481B6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Median (Q1, Q3)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6380EB6C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47.00 (31.00, 63.00)</w:t>
            </w:r>
          </w:p>
        </w:tc>
      </w:tr>
      <w:tr w:rsidR="003D1C49" w14:paraId="2B96E7B7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684A3FD2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037F44F1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Min, Max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4484895F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18.00, 85.00</w:t>
            </w:r>
          </w:p>
        </w:tc>
      </w:tr>
      <w:tr w:rsidR="003D1C49" w14:paraId="36A96922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57442807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6CC0787F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2EDB85D1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 (0.0%)</w:t>
            </w:r>
          </w:p>
        </w:tc>
      </w:tr>
      <w:tr w:rsidR="003D1C49" w14:paraId="03C99C31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1C331EC3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Pregnant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702FD768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7667B64D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1,501 (2.7%)</w:t>
            </w:r>
          </w:p>
        </w:tc>
      </w:tr>
      <w:tr w:rsidR="003D1C49" w14:paraId="0D866B9A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6879ACC9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1EE68293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0C2BF5EE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27,242 (48.6%)</w:t>
            </w:r>
          </w:p>
        </w:tc>
      </w:tr>
      <w:tr w:rsidR="003D1C49" w14:paraId="716E4DCF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78DAB900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79F82ED5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412988B5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28,775 (51.4%)</w:t>
            </w:r>
          </w:p>
        </w:tc>
      </w:tr>
      <w:tr w:rsidR="003D1C49" w14:paraId="6A64DE4E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2FABF809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Systolic blood pressure, mm Hg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7357323B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Mean (STD)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732EEDC7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123.59 (18.92)</w:t>
            </w:r>
          </w:p>
        </w:tc>
      </w:tr>
      <w:tr w:rsidR="003D1C49" w14:paraId="2390E9A5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3AB14FA5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3F4949B4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Median (Q1, Q3)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799D5348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120.00 (110.67, 133.33)</w:t>
            </w:r>
          </w:p>
        </w:tc>
      </w:tr>
      <w:tr w:rsidR="003D1C49" w14:paraId="498EB7CD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0960156B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46225F5F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Min, Max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2FB18D83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64.67, 238.00</w:t>
            </w:r>
          </w:p>
        </w:tc>
      </w:tr>
      <w:tr w:rsidR="003D1C49" w14:paraId="5773D11C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032E0BD1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18880A53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3600CAE0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3131 (5.6%)</w:t>
            </w:r>
          </w:p>
        </w:tc>
      </w:tr>
      <w:tr w:rsidR="003D1C49" w14:paraId="607BB8C9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112A01EE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Diastolic blood pressure, mm Hg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1398CA60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Mean (STD)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67988037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70.81 (11.80)</w:t>
            </w:r>
          </w:p>
        </w:tc>
      </w:tr>
      <w:tr w:rsidR="003D1C49" w14:paraId="1702E981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056CEC10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3EA8CAA6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Median (Q1, Q3)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6C731BEB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70.67 (63.33, 78.00)</w:t>
            </w:r>
          </w:p>
        </w:tc>
      </w:tr>
      <w:tr w:rsidR="003D1C49" w14:paraId="7CD7B6BD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65C4B953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47069F96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Min, Max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64250FB0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3.33, 143.67</w:t>
            </w:r>
          </w:p>
        </w:tc>
      </w:tr>
      <w:tr w:rsidR="003D1C49" w14:paraId="57259C00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7A8A6EC3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2BC823A8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380C9E67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3465 (6.2%)</w:t>
            </w:r>
          </w:p>
        </w:tc>
      </w:tr>
      <w:tr w:rsidR="003D1C49" w14:paraId="0163BBD4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58DE89E2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Blood pressure category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6C5C93CB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&lt;120/80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369EB3C7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24,119 (43.1%)</w:t>
            </w:r>
          </w:p>
        </w:tc>
      </w:tr>
      <w:tr w:rsidR="003D1C49" w14:paraId="07A59E7A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6A296205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50A247E3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120-129/&lt;80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7CACAE3F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8,270 (14.8%)</w:t>
            </w:r>
          </w:p>
        </w:tc>
      </w:tr>
      <w:tr w:rsidR="003D1C49" w14:paraId="20F0F9C9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77BD5DE6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36C82782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130-139/80-89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37A06FE2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10,274 (18.3%)</w:t>
            </w:r>
          </w:p>
        </w:tc>
      </w:tr>
      <w:tr w:rsidR="003D1C49" w14:paraId="01448CF5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57AB4ED6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61FC5822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140-159/90-99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28CDFBE0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7,007 (12.5%)</w:t>
            </w:r>
          </w:p>
        </w:tc>
      </w:tr>
      <w:tr w:rsidR="003D1C49" w14:paraId="3A453A80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3DE0388B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5DE60669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≥ 160/100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5C90CE3F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2,882 (5.1%)</w:t>
            </w:r>
          </w:p>
        </w:tc>
      </w:tr>
      <w:tr w:rsidR="003D1C49" w14:paraId="4F50437C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0CE224C2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5AA8DB4D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1AF1F4FD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3,465 (6.2%)</w:t>
            </w:r>
          </w:p>
        </w:tc>
      </w:tr>
      <w:tr w:rsidR="003D1C49" w14:paraId="0AA013DC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5539C104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Self-reported antihypertensive medication use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23AE8F8B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7AC5A035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15,771 (28.2%)</w:t>
            </w:r>
          </w:p>
        </w:tc>
      </w:tr>
      <w:tr w:rsidR="003D1C49" w14:paraId="6C8FDE4D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3A26831D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7280BF1B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50306B44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37,597 (67.1%)</w:t>
            </w:r>
          </w:p>
        </w:tc>
      </w:tr>
      <w:tr w:rsidR="003D1C49" w14:paraId="456AB4D4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01E91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commentRangeStart w:id="1"/>
            <w:r>
              <w:rPr>
                <w:rFonts w:ascii="Arial" w:hAnsi="Arial" w:cs="Arial"/>
                <w:color w:val="000000"/>
                <w:sz w:val="22"/>
                <w:szCs w:val="22"/>
              </w:rPr>
              <w:t>Number of antihypertensive medication classes</w:t>
            </w:r>
            <w:commentRangeEnd w:id="1"/>
            <w:r w:rsidR="0021740D">
              <w:rPr>
                <w:rStyle w:val="CommentReference"/>
              </w:rPr>
              <w:commentReference w:id="1"/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17E6A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Mean (STD)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B64E6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0.54 (1.00)</w:t>
            </w:r>
          </w:p>
        </w:tc>
      </w:tr>
      <w:tr w:rsidR="003D1C49" w14:paraId="64CA975E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80ACC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30F86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Median (Q1, Q3)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67523C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0.00 (0.00, 1.00)</w:t>
            </w:r>
          </w:p>
        </w:tc>
      </w:tr>
      <w:tr w:rsidR="003D1C49" w14:paraId="32979839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1DED9B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121D5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Min, Max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EBD001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0.00, 7.00</w:t>
            </w:r>
          </w:p>
        </w:tc>
      </w:tr>
      <w:tr w:rsidR="003D1C49" w14:paraId="2ECFF9A3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B77EB9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856C01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D324F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 (0.0%)</w:t>
            </w:r>
          </w:p>
        </w:tc>
      </w:tr>
      <w:tr w:rsidR="003D1C49" w14:paraId="3DF0617F" w14:textId="77777777" w:rsidTr="00517F8A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7BA89C22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ACE inhibitors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0E7AADDB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136C5472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6,633 (11.8%)</w:t>
            </w:r>
          </w:p>
        </w:tc>
      </w:tr>
      <w:tr w:rsidR="003D1C49" w14:paraId="6DBA2B4F" w14:textId="77777777" w:rsidTr="0021740D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 w:themeFill="background1"/>
            <w:tcMar>
              <w:left w:w="20" w:type="dxa"/>
              <w:right w:w="20" w:type="dxa"/>
            </w:tcMar>
          </w:tcPr>
          <w:p w14:paraId="49D914EF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20" w:type="dxa"/>
              <w:right w:w="20" w:type="dxa"/>
            </w:tcMar>
          </w:tcPr>
          <w:p w14:paraId="2804FFD3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 w:themeFill="background1"/>
            <w:tcMar>
              <w:left w:w="20" w:type="dxa"/>
              <w:right w:w="20" w:type="dxa"/>
            </w:tcMar>
          </w:tcPr>
          <w:p w14:paraId="62D703D0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 (0.0%)</w:t>
            </w:r>
          </w:p>
        </w:tc>
      </w:tr>
      <w:tr w:rsidR="003D1C49" w14:paraId="1460C41D" w14:textId="77777777" w:rsidTr="0021740D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1A1C735B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Aldosterone antagonists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50823510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2E3A79D6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414 (0.7%)</w:t>
            </w:r>
          </w:p>
        </w:tc>
      </w:tr>
      <w:tr w:rsidR="003D1C49" w14:paraId="3C27EB20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036F1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8B46A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0DF976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 (0.0%)</w:t>
            </w:r>
          </w:p>
        </w:tc>
      </w:tr>
      <w:tr w:rsidR="003D1C49" w14:paraId="715D9EF4" w14:textId="77777777" w:rsidTr="0021740D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6273FA7F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Alpha-1 blockers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165DCC1B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276BE5DA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769 (1.4%)</w:t>
            </w:r>
          </w:p>
        </w:tc>
      </w:tr>
      <w:tr w:rsidR="003D1C49" w14:paraId="62BD412D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A7F0C6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CB8C4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91311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 (0.0%)</w:t>
            </w:r>
          </w:p>
        </w:tc>
      </w:tr>
      <w:tr w:rsidR="003D1C49" w14:paraId="5217DEA9" w14:textId="77777777" w:rsidTr="0021740D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117A3890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Angiotensin receptor blockers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18D89E4B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493D5CA4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3,508 (6.3%)</w:t>
            </w:r>
          </w:p>
        </w:tc>
      </w:tr>
      <w:tr w:rsidR="003D1C49" w14:paraId="79249FC0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5E67D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8353B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F00F6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 (0.0%)</w:t>
            </w:r>
          </w:p>
        </w:tc>
      </w:tr>
      <w:tr w:rsidR="003D1C49" w14:paraId="19C34B5D" w14:textId="77777777" w:rsidTr="0021740D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0D118668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Beta blockers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745E0EC8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576A080A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6,033 (10.8%)</w:t>
            </w:r>
          </w:p>
        </w:tc>
      </w:tr>
      <w:tr w:rsidR="003D1C49" w14:paraId="66A65E0F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EFF8E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EE372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865CE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 (0.0%)</w:t>
            </w:r>
          </w:p>
        </w:tc>
      </w:tr>
      <w:tr w:rsidR="003D1C49" w14:paraId="2372C9BE" w14:textId="77777777" w:rsidTr="0021740D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17735791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Central alpha1 agonist and other centrally acting agents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3EF321A7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105EE48E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464 (0.8%)</w:t>
            </w:r>
          </w:p>
        </w:tc>
      </w:tr>
      <w:tr w:rsidR="003D1C49" w14:paraId="55C30F90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B253AC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409234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58884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 (0.0%)</w:t>
            </w:r>
          </w:p>
        </w:tc>
      </w:tr>
      <w:tr w:rsidR="003D1C49" w14:paraId="42C0C1D7" w14:textId="77777777" w:rsidTr="0021740D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3738D876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Calcium channel blockers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1AD4F5D8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76E8242D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4,465 (8.0%)</w:t>
            </w:r>
          </w:p>
        </w:tc>
      </w:tr>
      <w:tr w:rsidR="003D1C49" w14:paraId="3E811344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939BB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8B8F6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CA34A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 (0.0%)</w:t>
            </w:r>
          </w:p>
        </w:tc>
      </w:tr>
      <w:tr w:rsidR="003D1C49" w14:paraId="38DB7FFF" w14:textId="77777777" w:rsidTr="0021740D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78CCF92F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Potassium sparing diuretics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6A8065F9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5AD502DB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796 (1.4%)</w:t>
            </w:r>
          </w:p>
        </w:tc>
      </w:tr>
      <w:tr w:rsidR="003D1C49" w14:paraId="7208C8F6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CA3DD1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24F26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31E93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 (0.0%)</w:t>
            </w:r>
          </w:p>
        </w:tc>
      </w:tr>
      <w:tr w:rsidR="003D1C49" w14:paraId="1F22ADB2" w14:textId="77777777" w:rsidTr="0021740D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56128438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Loop diuretics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1F67461E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57F9A458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1,843 (3.3%)</w:t>
            </w:r>
          </w:p>
        </w:tc>
      </w:tr>
      <w:tr w:rsidR="003D1C49" w14:paraId="7FA7C7EB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E4475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4F838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F373A0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 (0.0%)</w:t>
            </w:r>
          </w:p>
        </w:tc>
      </w:tr>
      <w:tr w:rsidR="003D1C49" w14:paraId="446EB2D7" w14:textId="77777777" w:rsidTr="0021740D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62AD79E1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Thiazide or thiazide-type diuretics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3429A227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3C3E7DD9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5,003 (8.9%)</w:t>
            </w:r>
          </w:p>
        </w:tc>
      </w:tr>
      <w:tr w:rsidR="003D1C49" w14:paraId="49F1A5B0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FC71B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65150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A6997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 (0.0%)</w:t>
            </w:r>
          </w:p>
        </w:tc>
      </w:tr>
      <w:tr w:rsidR="003D1C49" w14:paraId="475B9A8A" w14:textId="77777777" w:rsidTr="0021740D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566E36FD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Direct renin inhibitors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5D4070E2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tcMar>
              <w:left w:w="20" w:type="dxa"/>
              <w:right w:w="20" w:type="dxa"/>
            </w:tcMar>
          </w:tcPr>
          <w:p w14:paraId="0C377A4D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23 (0.0%)</w:t>
            </w:r>
          </w:p>
        </w:tc>
      </w:tr>
      <w:tr w:rsidR="003D1C49" w14:paraId="7DA83331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46D50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24CFB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F03EDB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 (0.0%)</w:t>
            </w:r>
          </w:p>
        </w:tc>
      </w:tr>
      <w:tr w:rsidR="003D1C49" w14:paraId="4DE5B19C" w14:textId="77777777" w:rsidTr="0021740D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38C0E4A0" w14:textId="77777777" w:rsidR="003D1C49" w:rsidRDefault="00000000">
            <w:pPr>
              <w:keepNext/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Direct vasodilators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5B0F917C" w14:textId="77777777" w:rsidR="003D1C49" w:rsidRDefault="00000000">
            <w:pPr>
              <w:keepNext/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BE4D5" w:themeFill="accent2" w:themeFillTint="33"/>
            <w:tcMar>
              <w:left w:w="20" w:type="dxa"/>
              <w:right w:w="20" w:type="dxa"/>
            </w:tcMar>
          </w:tcPr>
          <w:p w14:paraId="7F4D2732" w14:textId="77777777" w:rsidR="003D1C49" w:rsidRDefault="00000000">
            <w:pPr>
              <w:keepNext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268 (0.5%)</w:t>
            </w:r>
          </w:p>
        </w:tc>
      </w:tr>
      <w:tr w:rsidR="003D1C49" w14:paraId="2721413C" w14:textId="77777777" w:rsidTr="004E7CD9">
        <w:trPr>
          <w:cantSplit/>
        </w:trPr>
        <w:tc>
          <w:tcPr>
            <w:tcW w:w="54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B7EAA" w14:textId="77777777" w:rsidR="003D1C49" w:rsidRDefault="003D1C49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74D86" w14:textId="77777777" w:rsidR="003D1C49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85DAA2" w14:textId="77777777" w:rsidR="003D1C49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 (0.0%)</w:t>
            </w:r>
          </w:p>
        </w:tc>
      </w:tr>
    </w:tbl>
    <w:p w14:paraId="41D0601B" w14:textId="77777777" w:rsidR="0001691A" w:rsidRDefault="0001691A">
      <w:pPr>
        <w:adjustRightInd w:val="0"/>
        <w:rPr>
          <w:rFonts w:ascii="Arial" w:hAnsi="Arial" w:cs="Arial"/>
          <w:color w:val="000000"/>
          <w:sz w:val="22"/>
          <w:szCs w:val="22"/>
        </w:rPr>
      </w:pPr>
    </w:p>
    <w:sectPr w:rsidR="0001691A">
      <w:headerReference w:type="default" r:id="rId10"/>
      <w:footerReference w:type="default" r:id="rId11"/>
      <w:pgSz w:w="15840" w:h="12240" w:orient="landscape"/>
      <w:pgMar w:top="1440" w:right="1080" w:bottom="1440" w:left="1080" w:header="720" w:footer="144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yron C Jaeger" w:date="2022-11-02T14:44:00Z" w:initials="BCJ">
    <w:p w14:paraId="4C54B4C2" w14:textId="77777777" w:rsidR="0021740D" w:rsidRDefault="0021740D" w:rsidP="00CD21D2">
      <w:pPr>
        <w:pStyle w:val="CommentText"/>
      </w:pPr>
      <w:r>
        <w:rPr>
          <w:rStyle w:val="CommentReference"/>
        </w:rPr>
        <w:annotationRef/>
      </w:r>
      <w:r>
        <w:t>Ignoring this because our variable is categorical and this will clearly not be an exact match unless all of the antihypertensive medication variables are a match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54B4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D00D6" w16cex:dateUtc="2022-11-02T1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54B4C2" w16cid:durableId="270D00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F06D4" w14:textId="77777777" w:rsidR="00C05068" w:rsidRDefault="00C05068">
      <w:r>
        <w:separator/>
      </w:r>
    </w:p>
  </w:endnote>
  <w:endnote w:type="continuationSeparator" w:id="0">
    <w:p w14:paraId="20E4939C" w14:textId="77777777" w:rsidR="00C05068" w:rsidRDefault="00C05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63829" w14:textId="77777777" w:rsidR="003D1C49" w:rsidRDefault="003D1C49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9517E" w14:textId="77777777" w:rsidR="00C05068" w:rsidRDefault="00C05068">
      <w:r>
        <w:separator/>
      </w:r>
    </w:p>
  </w:footnote>
  <w:footnote w:type="continuationSeparator" w:id="0">
    <w:p w14:paraId="1C006EDD" w14:textId="77777777" w:rsidR="00C05068" w:rsidRDefault="00C05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3680"/>
    </w:tblGrid>
    <w:tr w:rsidR="003D1C49" w14:paraId="55BC43EE" w14:textId="77777777">
      <w:trPr>
        <w:cantSplit/>
        <w:jc w:val="center"/>
      </w:trPr>
      <w:tc>
        <w:tcPr>
          <w:tcW w:w="1368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14:paraId="783CF628" w14:textId="77777777" w:rsidR="003D1C49" w:rsidRDefault="003D1C49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</w:p>
      </w:tc>
    </w:tr>
  </w:tbl>
  <w:p w14:paraId="3286F4C7" w14:textId="77777777" w:rsidR="003D1C49" w:rsidRDefault="003D1C49">
    <w:pPr>
      <w:adjustRightInd w:val="0"/>
      <w:rPr>
        <w:rFonts w:ascii="Arial" w:hAnsi="Arial" w:cs="Arial"/>
        <w:b/>
        <w:bCs/>
        <w:color w:val="000000"/>
        <w:sz w:val="24"/>
        <w:szCs w:val="24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yron C Jaeger">
    <w15:presenceInfo w15:providerId="AD" w15:userId="S::bjaeger@wakehealth.edu::85c6e26b-50b9-4776-9e89-c10c0e6260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7C"/>
    <w:rsid w:val="0001691A"/>
    <w:rsid w:val="00131898"/>
    <w:rsid w:val="0021740D"/>
    <w:rsid w:val="003D1C49"/>
    <w:rsid w:val="004E7CD9"/>
    <w:rsid w:val="004F6941"/>
    <w:rsid w:val="00517F8A"/>
    <w:rsid w:val="0064127C"/>
    <w:rsid w:val="00C0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09877B"/>
  <w14:defaultImageDpi w14:val="96"/>
  <w15:docId w15:val="{BE44EB94-DF25-44EA-B70E-A00C244E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74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740D"/>
  </w:style>
  <w:style w:type="character" w:customStyle="1" w:styleId="CommentTextChar">
    <w:name w:val="Comment Text Char"/>
    <w:basedOn w:val="DefaultParagraphFont"/>
    <w:link w:val="CommentText"/>
    <w:uiPriority w:val="99"/>
    <w:rsid w:val="0021740D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4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40D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340</Words>
  <Characters>1811</Characters>
  <Application>Microsoft Office Word</Application>
  <DocSecurity>0</DocSecurity>
  <Lines>452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Byron C Jaeger</cp:lastModifiedBy>
  <cp:revision>2</cp:revision>
  <dcterms:created xsi:type="dcterms:W3CDTF">2022-11-02T18:46:00Z</dcterms:created>
  <dcterms:modified xsi:type="dcterms:W3CDTF">2022-11-02T18:46:00Z</dcterms:modified>
</cp:coreProperties>
</file>