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Stephen R. Rapp, PhD,</w:t>
      </w:r>
      <w:r>
        <w:t xml:space="preserve"> </w:t>
      </w:r>
      <w:r>
        <w:rPr>
          <w:vertAlign w:val="superscript"/>
        </w:rPr>
        <w:t xml:space="preserve">12</w:t>
      </w:r>
      <w:r>
        <w:t xml:space="preserve"> </w:t>
      </w:r>
      <w:r>
        <w:t xml:space="preserve">Mark A. Supiano, MD,</w:t>
      </w:r>
      <w:r>
        <w:rPr>
          <w:vertAlign w:val="superscript"/>
        </w:rPr>
        <w:t xml:space="preserve">13</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w:t>
      </w:r>
      <w:r>
        <w:t xml:space="preserve"> </w:t>
      </w:r>
      <w:r>
        <w:t xml:space="preserve">Nicholas M. Pajewski, PhD</w:t>
      </w:r>
      <w:r>
        <w:rPr>
          <w:vertAlign w:val="superscript"/>
        </w:rPr>
        <w:t xml:space="preserve">1</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t xml:space="preserve"> </w:t>
      </w:r>
      <w:r>
        <w:rPr>
          <w:vertAlign w:val="superscript"/>
        </w:rPr>
        <w:t xml:space="preserve">3</w:t>
      </w:r>
      <w:r>
        <w:t xml:space="preserve">Department of Population Health Sciences, University of Utah School of Medicine, Salt Lake City, UT.</w:t>
      </w:r>
      <w:r>
        <w:t xml:space="preserve"> </w:t>
      </w:r>
      <w:r>
        <w:t xml:space="preserve"> </w:t>
      </w:r>
      <w:r>
        <w:rPr>
          <w:vertAlign w:val="superscript"/>
        </w:rPr>
        <w:t xml:space="preserve">4</w:t>
      </w:r>
      <w:r>
        <w:t xml:space="preserve">Department of Epidemiology, Tulane University School of Public Health and Tropical Medicine, New Orleans, LA.</w:t>
      </w:r>
      <w:r>
        <w:t xml:space="preserve"> </w:t>
      </w:r>
      <w:r>
        <w:t xml:space="preserve"> </w:t>
      </w:r>
      <w:r>
        <w:rPr>
          <w:vertAlign w:val="superscript"/>
        </w:rPr>
        <w:t xml:space="preserve">5</w:t>
      </w:r>
      <w:r>
        <w:t xml:space="preserve">Renal Section, Veterans Affairs Salt Lake City Healthcare System, UT.</w:t>
      </w:r>
      <w:r>
        <w:t xml:space="preserve"> </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t xml:space="preserve"> </w:t>
      </w:r>
      <w:r>
        <w:rPr>
          <w:vertAlign w:val="superscript"/>
        </w:rPr>
        <w:t xml:space="preserve">7</w:t>
      </w:r>
      <w:r>
        <w:t xml:space="preserve">Department of Preventive Medicine, University of Tennessee Health Science Center, Memphis, TN.</w:t>
      </w:r>
      <w:r>
        <w:t xml:space="preserve"> </w:t>
      </w:r>
      <w:r>
        <w:t xml:space="preserve"> </w:t>
      </w:r>
      <w:r>
        <w:rPr>
          <w:vertAlign w:val="superscript"/>
        </w:rPr>
        <w:t xml:space="preserve">8</w:t>
      </w:r>
      <w:r>
        <w:t xml:space="preserve">Division of Renal Diseases &amp; Hypertension, University of Minnesota, MN.</w:t>
      </w:r>
      <w:r>
        <w:t xml:space="preserve"> </w:t>
      </w:r>
      <w:r>
        <w:t xml:space="preserve"> </w:t>
      </w:r>
      <w:r>
        <w:rPr>
          <w:vertAlign w:val="superscript"/>
        </w:rPr>
        <w:t xml:space="preserve">9</w:t>
      </w:r>
      <w:r>
        <w:t xml:space="preserve">Department of Epidemiology, University of Alabama at Birmingham.</w:t>
      </w:r>
      <w:r>
        <w:t xml:space="preserve"> </w:t>
      </w:r>
      <w:r>
        <w:t xml:space="preserve"> </w:t>
      </w:r>
      <w:r>
        <w:rPr>
          <w:vertAlign w:val="superscript"/>
        </w:rPr>
        <w:t xml:space="preserve">10</w:t>
      </w:r>
      <w:r>
        <w:t xml:space="preserve">Division of Cardiovascular Disease, Department of Medicine, University of Alabama at Birmingham.</w:t>
      </w:r>
      <w:r>
        <w:t xml:space="preserve"> </w:t>
      </w:r>
      <w:r>
        <w:t xml:space="preserve"> </w:t>
      </w:r>
      <w:r>
        <w:rPr>
          <w:vertAlign w:val="superscript"/>
        </w:rPr>
        <w:t xml:space="preserve">11</w:t>
      </w:r>
      <w:r>
        <w:t xml:space="preserve">Section on Nephrology, Department of Internal Medicine, Wake Forest School of Medicine, Winston-Salem, NC.</w:t>
      </w:r>
      <w:r>
        <w:t xml:space="preserve"> </w:t>
      </w:r>
      <w:r>
        <w:t xml:space="preserve"> </w:t>
      </w:r>
      <w:r>
        <w:rPr>
          <w:vertAlign w:val="superscript"/>
        </w:rPr>
        <w:t xml:space="preserve">11</w:t>
      </w:r>
      <w:r>
        <w:t xml:space="preserve">Departments of Psychiatry and Behavioral Medicine &amp; Social Sciences and Health Policy, Wake Forest School of Medicine, Winston-Salem, NC.</w:t>
      </w:r>
      <w:r>
        <w:t xml:space="preserve"> </w:t>
      </w:r>
      <w:r>
        <w:t xml:space="preserve"> </w:t>
      </w:r>
      <w:r>
        <w:rPr>
          <w:vertAlign w:val="superscript"/>
        </w:rPr>
        <w:t xml:space="preserve">13</w:t>
      </w:r>
      <w:r>
        <w:t xml:space="preserve">Division of Geriatrics, University of Utah School of Medicine, Salt Lake City.</w:t>
      </w:r>
      <w:r>
        <w:t xml:space="preserve"> </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cardiovascular and all-cause mortality risk. However, the legacy effect of intensive treatment, defined as the persistence of benefit after stopping intensive treatment, is unknown.</w:t>
      </w:r>
    </w:p>
    <w:p>
      <w:pPr>
        <w:pStyle w:val="BodyText"/>
      </w:pPr>
      <w:r>
        <w:rPr>
          <w:bCs/>
          <w:b/>
        </w:rPr>
        <w:t xml:space="preserve">OBJECTIVE</w:t>
      </w:r>
      <w:r>
        <w:t xml:space="preserve">. To evaluate the effect of receiving intensive treatment during the SPRINT trial, which began in 2010 and ended in 2016, with cardiovascular and all-cause mortality through 2020.</w:t>
      </w:r>
    </w:p>
    <w:p>
      <w:pPr>
        <w:pStyle w:val="BodyText"/>
      </w:pPr>
      <w:r>
        <w:rPr>
          <w:bCs/>
          <w:b/>
        </w:rPr>
        <w:t xml:space="preserve">DESIGN, SETTING, AND PARTICIPANTS</w:t>
      </w:r>
      <w:r>
        <w:t xml:space="preserve">. Randomized clinical trial of 9361 patients aged ≥50 years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from 2016 through 2020. In a subset of 2944 trial participants, outpatient SBP levels measured in routine clinical practice after the trial were examined.</w:t>
      </w:r>
    </w:p>
    <w:p>
      <w:pPr>
        <w:pStyle w:val="BodyText"/>
      </w:pPr>
      <w:r>
        <w:rPr>
          <w:bCs/>
          <w:b/>
        </w:rPr>
        <w:t xml:space="preserve">RESULTS</w:t>
      </w:r>
      <w:r>
        <w:t xml:space="preserve">. Among 9360 randomized participants, the mean (standard deviation) age was 67.9 (9.4) years and 35.6% were women. Over the median intervention phase of 3.3 years, intensive treatment was beneficial for both cardiovascular mortality (Hazard Ratio [HR] = 0.65, 95% confidence interval [CI] 0.48 to 0.88) and all-cause mortality (HR = 0.83, 95% CI 0.68 to 1.01). However, at the median total follow-up of 11.8 years, there was no longer evidence of benefit for cardiovascular mortality (HR = 0.92, 95% CI 0.81 to 1.05) or all-cause mortality (HR = 1.00, 95% CI 0.90 to 1.10). In a subgroup of 2944 participants, the estimated mean (95% CI) outpatient SBP among participants randomized to intensive treatment increased from 132.8 (132.0, 133.7) at five years to 140.4 (137.8, 143.0) ten years following randomization.</w:t>
      </w:r>
    </w:p>
    <w:p>
      <w:pPr>
        <w:pStyle w:val="BodyText"/>
      </w:pPr>
      <w:r>
        <w:rPr>
          <w:bCs/>
          <w:b/>
        </w:rPr>
        <w:t xml:space="preserve">CONCLUSIONS AND RELEVANCE</w:t>
      </w:r>
      <w:r>
        <w:t xml:space="preserve">. The beneficial effect of intensive treatment on cardiovascular and all-cause mortality did not persist after the trial.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 compared with treatment to an SBP target of &lt; 140 mm Hg</w:t>
      </w:r>
      <w:r>
        <w:rPr>
          <w:vertAlign w:val="superscript"/>
        </w:rPr>
        <w:t xml:space="preserve">2</w:t>
      </w:r>
      <w:r>
        <w:t xml:space="preserve">. Because a clear benefit was evident for intensive antihypertensive drug treatment after a median follow-up of 3.3 years, the trial was stopped early. However, the longer-term effect of randomization to intensive treatment on cardiovascular and all-cause mortality after the trial (i.e., the legacy effect</w:t>
      </w:r>
      <w:r>
        <w:rPr>
          <w:vertAlign w:val="superscript"/>
        </w:rPr>
        <w:t xml:space="preserve">3</w:t>
      </w:r>
      <w:r>
        <w:t xml:space="preserve">) has not been evaluated.</w:t>
      </w:r>
    </w:p>
    <w:p>
      <w:pPr>
        <w:pStyle w:val="BodyText"/>
      </w:pPr>
      <w:r>
        <w:t xml:space="preserve">The objective of the current study was to evaluate the long-term legacy effect of intensive treatment on mortality by passive follow-up using administrative data sources. We linked participants to the National Death Index (NDI) from 2016 through 2020, adding 4 years of follow-up after the conclusion of trial visits. A secondary objective was to examine change in attained BP levels following the discontinuation of the trial intervention and study visits. To examine this issue, we extracted longitudinal outpatient measurements of SBP from 2010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for CVD. Participants were aged 50 years or older and had an SBP between 130 and 180 mm Hg at the screening visit, depending on the use and number of anti-hypertensive agents prescribed. Participants were considered to have an increased cardiovascular risk if they had clinical or subclinical cardiovascular disease, chronic kidney disease (CKD), a Framingham Risk Score of 15% or greater, or if they were aged 75 years or older. Individuals residing in a nursing home, with a diagnosis of dementia (based on medical record review), and those treated with medications prescribed for dementia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Director of the National Heart, Lung, and Blood Institute accepted the data and safety monitoring board’s recommendation to inform the investigators and participants of the cardiovascular results, and decided to stop the trial, early, for benefit. In addition to the trial’s intervention phase, which spanned November 8, 2010 through August 20, 2015, when the administrative decision to stop the trial was made, the current study includes as part of the</w:t>
      </w:r>
      <w:r>
        <w:t xml:space="preserve"> </w:t>
      </w:r>
      <w:r>
        <w:t xml:space="preserve">“</w:t>
      </w:r>
      <w:r>
        <w:t xml:space="preserve">trial phase</w:t>
      </w:r>
      <w:r>
        <w:t xml:space="preserve">”</w:t>
      </w:r>
      <w:r>
        <w:t xml:space="preserve"> </w:t>
      </w:r>
      <w:r>
        <w:t xml:space="preserve">the additional period of study-provided antihypertensive medications prior to the final closeout visit on July 1, 2016 (eFigure 1). Observational follow-up continued through December 2020.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In the current study,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December 2020.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r>
        <w:t xml:space="preserve">.</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electronic health record reports of outpatient BP measurements during the trial.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r>
        <w:t xml:space="preserve">.</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4.4.0 (R Project for Statistical Computing [</w:t>
      </w:r>
      <w:hyperlink r:id="rId23">
        <w:r>
          <w:rPr>
            <w:rStyle w:val="Hyperlink"/>
          </w:rPr>
          <w:t xml:space="preserve">http://www.r-project.org</w:t>
        </w:r>
      </w:hyperlink>
      <w:r>
        <w:t xml:space="preserve">]) with assistance from multiple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9360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older, with lower SBP and higher scores on the MoCA, and a higher prevalence of CKD.</w:t>
      </w:r>
    </w:p>
    <w:p>
      <w:pPr>
        <w:pStyle w:val="BodyText"/>
      </w:pPr>
      <w:r>
        <w:rPr>
          <w:iCs/>
          <w:i/>
          <w:bCs/>
          <w:b/>
        </w:rPr>
        <w:t xml:space="preserve">All-cause Mortality</w:t>
      </w:r>
      <w:r>
        <w:t xml:space="preserve">. In both treatment groups, the total median follow-up time was 11.8 years. A total of 1,270 and 1,326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1.00 (95% CI 0.90, 1.10) during the observational phase. The continuous time-dependent effect of intensive versus standard treatment indicated a benefit for all-cause mortality from 0.93 to 3.1 years following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During the 11.8 years of follow-up, a total of 414 and 493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0.65 (95% CI 0.48, 0.88) during the trial phase and 0.92 (95% CI 0.81, 1.05) during the observational phase. The time-dependent effect of intensive versus standard treatment indicated a benefit for CVD mortality from 2.1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a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(interquartile range: 10 to 34). The estimated mean (95% CI) SBP among participants randomized to intensive treatment was 132.8 (132.0, 133.7) at 5 years following randomization and 140.4 (137.8, 143.0) at 10 years following randomization (</w:t>
      </w:r>
      <w:r>
        <w:rPr>
          <w:bCs/>
          <w:b/>
        </w:rPr>
        <w:t xml:space="preserve">Figure 5</w:t>
      </w:r>
      <w:r>
        <w:t xml:space="preserve">). For participants randomized to standard treatment, mean (95% CI) SBP was estimated to be 138.8 (137.9, 139.6) at 5 years following randomization and 140.2 (137.7, 142.6) at 10 years following randomization. The between-group difference in mean SBP levels (intensive minus standard) was 5.9 (5.2, 6.7) mm Hg at 5 years following randomization and was reduced to -0.21 (-3.6, 3.2) at 10 years following 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trial participants up to 10 years following randomization, finding that the benefits associated with intensive treatment quickly attenuated after the trial intervention was discontinued. Time-varying estimates of the benefit of intensive treatment for all-cause mortality were attenuated at 3.1 years while the benefit for CVD-mortality was attenuated at 5.6 years following randomization. Findings from our ancillary study of outpatient SBP measured in routine clinical practice indicated that the difference in SBP between treatment groups diminished steadily over time, with no detectable difference in SBP approximately 9 years after randomization. These results in combination with the primary findings of the trial indicate that the beneficial effect of intensive treatment among adults with hypertension appears to diminish if BP control is not sustained.</w:t>
      </w:r>
    </w:p>
    <w:p>
      <w:pPr>
        <w:pStyle w:val="BodyText"/>
      </w:pPr>
      <w:r>
        <w:t xml:space="preserve">The current study’s results in the</w:t>
      </w:r>
      <w:r>
        <w:t xml:space="preserve"> </w:t>
      </w:r>
      <w:r>
        <w:t xml:space="preserve">“</w:t>
      </w:r>
      <w:r>
        <w:t xml:space="preserve">trial phase</w:t>
      </w:r>
      <w:r>
        <w:t xml:space="preserve">”</w:t>
      </w:r>
      <w:r>
        <w:t xml:space="preserve"> </w:t>
      </w:r>
      <w:r>
        <w:t xml:space="preserve">are similar but not identical to results from the</w:t>
      </w:r>
      <w:r>
        <w:t xml:space="preserve"> </w:t>
      </w:r>
      <w:r>
        <w:t xml:space="preserve">“</w:t>
      </w:r>
      <w:r>
        <w:t xml:space="preserve">intervention period</w:t>
      </w:r>
      <w:r>
        <w:t xml:space="preserve">”</w:t>
      </w:r>
      <w:r>
        <w:t xml:space="preserve"> </w:t>
      </w:r>
      <w:r>
        <w:t xml:space="preserve">of the SPRINT final report, which considered August 20, 2015 to July 29, 2016 as an observational post-intervention period</w:t>
      </w:r>
      <w:r>
        <w:rPr>
          <w:vertAlign w:val="superscript"/>
        </w:rPr>
        <w:t xml:space="preserve">2</w:t>
      </w:r>
      <w:r>
        <w:t xml:space="preserve">. The current study included August 20, 2015 to July 1, 2016 in the</w:t>
      </w:r>
      <w:r>
        <w:t xml:space="preserve"> </w:t>
      </w:r>
      <w:r>
        <w:t xml:space="preserve">“</w:t>
      </w:r>
      <w:r>
        <w:t xml:space="preserve">trial phase</w:t>
      </w:r>
      <w:r>
        <w:t xml:space="preserve">”</w:t>
      </w:r>
      <w:r>
        <w:t xml:space="preserve"> </w:t>
      </w:r>
      <w:r>
        <w:t xml:space="preserve">because antihypertensive medications continued to be provided until the final closeout visit on July 1, 2016. Also, as the NDI is continuously updated, the current analysis includes some deaths in 2016 that were not identified at the time of the final SPRINT report.</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the protective effect of the SPRINT intensive treatment for all-cause mortality was attenuated several years before attenuation of the protective effect for CVD mortality.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25</w:t>
      </w:r>
      <w:r>
        <w:t xml:space="preserve">. In addition, an analysis of data from 464,585 adults enrolled in a Quest Diagnostics wellness program found SBP was between 1 mm Hg and 3 mm Hg higher, depending on age group and sex, in April through December of 2020 versus their corresponding values throughout 2019</w:t>
      </w:r>
      <w:r>
        <w:rPr>
          <w:vertAlign w:val="superscript"/>
        </w:rPr>
        <w:t xml:space="preserve">26</w:t>
      </w:r>
      <w:r>
        <w:t xml:space="preserve">. The current study shows that even for adults who have maintained intense SBP control for 3 years, increasing SBP levels may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27</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in a subgroup of the SPRINT participants and was extracted from their EHR record, which is known to poorly reflect the standardized BP measurement process used during the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suggest that maintaining more intensive BP targets throughout adulthood will likely be essential for long-term CVD risk management.</w:t>
      </w:r>
    </w:p>
    <w:p>
      <w:r>
        <w:br w:type="page"/>
      </w:r>
    </w:p>
    <w:bookmarkEnd w:id="26"/>
    <w:bookmarkStart w:id="73" w:name="references"/>
    <w:p>
      <w:pPr>
        <w:pStyle w:val="Heading1"/>
      </w:pPr>
      <w:r>
        <w:t xml:space="preserve">REFERENCES</w:t>
      </w:r>
    </w:p>
    <w:bookmarkStart w:id="72"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7" w:name="ref-muntner2020htn"/>
    <w:p>
      <w:pPr>
        <w:pStyle w:val="Bibliography"/>
      </w:pPr>
      <w:r>
        <w:t xml:space="preserve">25.</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7"/>
    <w:bookmarkStart w:id="69" w:name="ref-laffin_rise_2022"/>
    <w:p>
      <w:pPr>
        <w:pStyle w:val="Bibliography"/>
      </w:pPr>
      <w:r>
        <w:t xml:space="preserve">26.</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68">
        <w:r>
          <w:rPr>
            <w:rStyle w:val="Hyperlink"/>
          </w:rPr>
          <w:t xml:space="preserve">10.1161/CIRCULATIONAHA.121.057075</w:t>
        </w:r>
      </w:hyperlink>
    </w:p>
    <w:bookmarkEnd w:id="69"/>
    <w:bookmarkStart w:id="71" w:name="ref-us_surgeon_2020"/>
    <w:p>
      <w:pPr>
        <w:pStyle w:val="Bibliography"/>
      </w:pPr>
      <w:r>
        <w:t xml:space="preserve">27.</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0">
        <w:r>
          <w:rPr>
            <w:rStyle w:val="Hyperlink"/>
          </w:rPr>
          <w:t xml:space="preserve">http://www.ncbi.nlm.nih.gov/books/NBK567645/</w:t>
        </w:r>
      </w:hyperlink>
    </w:p>
    <w:bookmarkEnd w:id="71"/>
    <w:bookmarkEnd w:id="72"/>
    <w:p>
      <w:r>
        <w:br w:type="page"/>
      </w:r>
    </w:p>
    <w:bookmarkEnd w:id="73"/>
    <w:bookmarkStart w:id="74"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4"/>
    <w:bookmarkStart w:id="75"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officer="true">
          <w:pgMar w:header="720" w:bottom="1440" w:top="1440" w:right="1440" w:left="1440" w:footer="720" w:gutter="0"/>
          <w:pgSz w:h="16838" w:w="11906" w:orient="portrait"/>
          <w:type w:val="continuous"/>
          <w:cols/>
        </w:sectPr>
      </w:pP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wp:inline distT="0" distB="0" distL="0" distR="0">
            <wp:extent cx="10058400"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71"/>
                    <a:stretch>
                      <a:fillRect/>
                    </a:stretch>
                  </pic:blipFill>
                  <pic:spPr bwMode="auto">
                    <a:xfrm>
                      <a:off x="0" y="0"/>
                      <a:ext cx="139700" cy="76200"/>
                    </a:xfrm>
                    <a:prstGeom prst="rect">
                      <a:avLst/>
                    </a:prstGeom>
                    <a:noFill/>
                  </pic:spPr>
                </pic:pic>
              </a:graphicData>
            </a:graphic>
          </wp:inline>
        </w:drawing>
      </w:r>
    </w:p>
    <w:p>
      <w:pPr>
        <w:numPr>
          <w:ilvl w:val="0"/>
          <w:numId w:val="1001"/>
        </w:num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wp:inline distT="0" distB="0" distL="0" distR="0">
            <wp:extent cx="10058400" cy="54864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72"/>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wp:inline distT="0" distB="0" distL="0" distR="0">
            <wp:extent cx="10058400" cy="5486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73"/>
                    <a:stretch>
                      <a:fillRect/>
                    </a:stretch>
                  </pic:blipFill>
                  <pic:spPr bwMode="auto">
                    <a:xfrm>
                      <a:off x="0" y="0"/>
                      <a:ext cx="139700" cy="76200"/>
                    </a:xfrm>
                    <a:prstGeom prst="rect">
                      <a:avLst/>
                    </a:prstGeom>
                    <a:noFill/>
                  </pic:spPr>
                </pic:pic>
              </a:graphicData>
            </a:graphic>
          </wp:inline>
        </w:drawing>
      </w:r>
    </w:p>
    <w:p>
      <w:pPr>
        <w:numPr>
          <w:ilvl w:val="0"/>
          <w:numId w:val="1002"/>
        </w:num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wp:inline distT="0" distB="0" distL="0" distR="0">
            <wp:extent cx="10058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74"/>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wp:inline distT="0" distB="0" distL="0" distR="0">
            <wp:extent cx="10058400" cy="5486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75"/>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officer="true">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officer="true">
          <w:pgMar w:header="720" w:bottom="1440" w:top="1440" w:right="1440" w:left="1440" w:footer="720" w:gutter="0"/>
          <w:pgSz w:h="16838" w:w="11906" w:orient="portrait"/>
          <w:type w:val="continuous"/>
          <w:cols/>
        </w:sectPr>
      </w:pP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14="http://schemas.microsoft.com/office/word/2010/wordml">
      <w:tblPr>
        <w:tblLayout w:type="fixed"/>
        <w:jc w:val="center"/>
        <w:tblLook w:firstRow="1" w:lastRow="0" w:firstColumn="0" w:lastColumn="0" w:noHBand="0" w:noVBand="1"/>
      </w:tblPr>
      <w:tblGrid>
        <w:gridCol w:w="2520"/>
        <w:gridCol w:w="1440"/>
        <w:gridCol w:w="1440"/>
        <w:gridCol w:w="1440"/>
        <w:gridCol w:w="1440"/>
        <w:gridCol w:w="1440"/>
        <w:gridCol w:w="1454"/>
      </w:tblGrid>
      <w:tr>
        <w:trPr>
          <w:trHeight w:val="612"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Characteristic</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Overall</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9,361</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Treatment</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Included in EHR ancillary study</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p-value</w:t>
            </w:r>
            <w:r>
              <w:rPr>
                <w:rFonts w:ascii="Times New Roman" w:hAnsi="Times New Roman" w:eastAsia="Times New Roman" w:cs="Times New Roman"/>
                <w:i w:val="false"/>
                <w:b w:val="true"/>
                <w:u w:val="none"/>
                <w:vertAlign w:val="superscript"/>
                <w:sz w:val="24"/>
                <w:szCs w:val="24"/>
                <w:color w:val="000000"/>
              </w:rPr>
              <w:t xml:space="preserve">a </w:t>
            </w:r>
            <w:r>
              <w:rPr>
                <w:rFonts w:ascii="Times New Roman" w:hAnsi="Times New Roman" w:eastAsia="Times New Roman" w:cs="Times New Roman"/>
                <w:i w:val="false"/>
                <w:b w:val="true"/>
                <w:u w:val="none"/>
                <w:vertAlign w:val="superscript"/>
                <w:sz w:val="24"/>
                <w:szCs w:val="24"/>
                <w:color w:val="000000"/>
              </w:rPr>
              <w:t xml:space="preserve">b </w:t>
            </w:r>
          </w:p>
        </w:tc>
      </w:tr>
      <w:tr>
        <w:trPr>
          <w:trHeight w:val="612"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4,683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No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6,417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Yes</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2,944</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r>
      <w:tr>
        <w:trPr>
          <w:trHeight w:val="617"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Age, years</w:t>
            </w: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67.7 (9.6)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68.5 (9.1)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614"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Age ≥75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0.011</w:t>
            </w:r>
          </w:p>
        </w:tc>
      </w:tr>
      <w:tr>
        <w:trPr>
          <w:trHeight w:val="617"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Number of blood pressure medications prescribed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1.9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572"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572"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0.085</w:t>
            </w:r>
          </w:p>
        </w:tc>
      </w:tr>
      <w:tr>
        <w:trPr>
          <w:trHeight w:val="617"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Systolic blood pressure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140.6 (15.8)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137.8 (14.9)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572"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Intensive treatment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w:t>
            </w:r>
          </w:p>
        </w:tc>
      </w:tr>
      <w:tr>
        <w:trPr>
          <w:trHeight w:val="614"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Included in EHR ancillary study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Chronic Kidney Disease</w:t>
            </w:r>
            <w:r>
              <w:rPr>
                <w:rFonts w:ascii="Times New Roman" w:hAnsi="Times New Roman" w:eastAsia="Times New Roman" w:cs="Times New Roman"/>
                <w:i w:val="false"/>
                <w:b w:val="false"/>
                <w:u w:val="none"/>
                <w:vertAlign w:val="superscript"/>
                <w:sz w:val="24"/>
                <w:szCs w:val="24"/>
                <w:color w:val="000000"/>
              </w:rPr>
              <w:t xml:space="preserve">c </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0.007</w:t>
            </w:r>
          </w:p>
        </w:tc>
      </w:tr>
      <w:tr>
        <w:trPr>
          <w:trHeight w:val="615"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MoCA ≤10th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w:t>
            </w:r>
          </w:p>
        </w:tc>
      </w:tr>
      <w:tr>
        <w:trPr>
          <w:trHeight w:val="617"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Frailty Status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617"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(0.10&lt;FI≤0.21)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(FI&gt;0.21)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360" w:hRule="auto"/>
        </w:trPr>
        footer 1
        <w:tc>
          <w:tcPr>
            <w:gridSpan w:val="7"/>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sz w:val="24"/>
                <w:szCs w:val="24"/>
                <w:color w:val="000000"/>
              </w:rPr>
              <w:t xml:space="preserve">Table values are mean (standard deviation) or percentage.</w:t>
            </w:r>
          </w:p>
        </w:tc>
      </w:tr>
      <w:tr>
        <w:trPr>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a </w:t>
            </w:r>
            <w:r>
              <w:rPr>
                <w:rFonts w:ascii="Times New Roman" w:hAnsi="Times New Roman" w:eastAsia="Times New Roman" w:cs="Times New Roman"/>
                <w:i w:val="false"/>
                <w:b w:val="false"/>
                <w:u w:val="none"/>
                <w:sz w:val="24"/>
                <w:szCs w:val="24"/>
                <w:color w:val="000000"/>
              </w:rPr>
              <w:t xml:space="preserve">P-values computed using Wilcoxon rank sum test for continuous variables and chi-square test for categorical variables.</w:t>
            </w:r>
          </w:p>
        </w:tc>
      </w:tr>
      <w:tr>
        <w:trPr>
          <w:trHeight w:val="360" w:hRule="auto"/>
        </w:trPr>
        footer 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b </w:t>
            </w:r>
            <w:r>
              <w:rPr>
                <w:rFonts w:ascii="Times New Roman" w:hAnsi="Times New Roman" w:eastAsia="Times New Roman" w:cs="Times New Roman"/>
                <w:i w:val="false"/>
                <w:b w:val="false"/>
                <w:u w:val="none"/>
                <w:sz w:val="24"/>
                <w:szCs w:val="24"/>
                <w:color w:val="000000"/>
              </w:rPr>
              <w:t xml:space="preserve">Hypothesis tests compare the characteristics of participants included versus excluded from the ancillary study of blood pressure levels using data from the electronic health record.</w:t>
            </w:r>
          </w:p>
        </w:tc>
      </w:tr>
      <w:tr>
        <w:trPr>
          <w:trHeight w:val="360" w:hRule="auto"/>
        </w:trPr>
        footer 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c </w:t>
            </w:r>
            <w:r>
              <w:rPr>
                <w:rFonts w:ascii="Times New Roman" w:hAnsi="Times New Roman" w:eastAsia="Times New Roman" w:cs="Times New Roman"/>
                <w:i w:val="false"/>
                <w:b w:val="false"/>
                <w:u w:val="none"/>
                <w:sz w:val="24"/>
                <w:szCs w:val="24"/>
                <w:color w:val="000000"/>
              </w:rPr>
              <w:t xml:space="preserve">Chronic Kidney Disease was defined by an estimated glomerular filtration rate &lt;60 ml/min/1.73 m</w:t>
            </w:r>
            <w:r>
              <w:rPr>
                <w:rFonts w:ascii="Times New Roman" w:hAnsi="Times New Roman" w:eastAsia="Times New Roman" w:cs="Times New Roman"/>
                <w:i w:val="false"/>
                <w:b w:val="false"/>
                <w:u w:val="none"/>
                <w:vertAlign w:val="superscript"/>
                <w:sz w:val="24"/>
                <w:szCs w:val="24"/>
                <w:color w:val="000000"/>
              </w:rPr>
              <w:t xml:space="preserve">2</w:t>
            </w:r>
            <w:r>
              <w:rPr>
                <w:rFonts w:ascii="Times New Roman" w:hAnsi="Times New Roman" w:eastAsia="Times New Roman" w:cs="Times New Roman"/>
                <w:i w:val="false"/>
                <w:b w:val="false"/>
                <w:u w:val="none"/>
                <w:sz w:val="24"/>
                <w:szCs w:val="24"/>
                <w:color w:val="000000"/>
              </w:rPr>
              <w:t xml:space="preserve"> based on the 2021 CKD-EPI creatinine equation.</w:t>
            </w:r>
          </w:p>
        </w:tc>
      </w:tr>
      <w:tr>
        <w:trPr>
          <w:trHeight w:val="360" w:hRule="auto"/>
        </w:trPr>
        footer 5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sz w:val="24"/>
                <w:szCs w:val="24"/>
                <w:color w:val="000000"/>
              </w:rPr>
              <w:t xml:space="preserve">Abbreviations: EHR = electronic health records; FI = frailty index; and MoCA = Montreal cognitive assessment</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14="http://schemas.microsoft.com/office/word/2010/wordml">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trHeight w:val="360"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 </w:t>
            </w:r>
          </w:p>
        </w:tc>
        <w:tc>
          <w:tcPr>
            <w:gridSpan w:val="5"/>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Trial Phase</w:t>
            </w:r>
          </w:p>
        </w:tc>
        <w:tc>
          <w:tcPr>
            <w:gridSpan w:val="5"/>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Observational Phase</w:t>
            </w:r>
          </w:p>
        </w:tc>
      </w:tr>
      <w:tr>
        <w:trPr>
          <w:trHeight w:val="360"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 Events / N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Incidence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r>
              <w:rPr>
                <w:rFonts w:ascii="Times New Roman" w:hAnsi="Times New Roman" w:eastAsia="Times New Roman" w:cs="Times New Roman"/>
                <w:i w:val="false"/>
                <w:b w:val="true"/>
                <w:u w:val="none"/>
                <w:vertAlign w:val="superscript"/>
                <w:sz w:val="24"/>
                <w:szCs w:val="24"/>
                <w:color w:val="000000"/>
              </w:rPr>
              <w:t xml:space="preserve">a</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 Events / N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Incidence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r>
      <w:tr>
        <w:trPr>
          <w:trHeight w:val="360" w:hRule="auto"/>
          <w:tblHeader/>
        </w:trPr>
        header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Overall</w:t>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 / 4,682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241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(13.4, 16.9)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(11.0, 14.2)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(0.68, 1.01)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1,036 / 4,259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1,029 / 4,274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(34.2, 38.6)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(34.0, 38.4)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(0.90, 1.10)</w:t>
            </w:r>
          </w:p>
        </w:tc>
      </w:tr>
      <w:tr>
        <w:trPr>
          <w:trHeight w:val="360" w:hRule="auto"/>
        </w:trPr>
        body 2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Age group</w:t>
            </w:r>
          </w:p>
        </w:tc>
      </w:tr>
      <w:tr>
        <w:trPr>
          <w:trHeight w:val="360"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&lt;75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 / 3,364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 / 3,361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(8.2, 11.5)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(6.8, 9.8)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(0.63, 1.11)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521 / 3,129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472 / 3,123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(21.9, 26.0)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(19.7, 23.6)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(0.78, 1.04)</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153 / 1,318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126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(25.3, 34.8)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(20.3, 28.8)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(0.62, 1.07)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515 / 1,130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557 / 1,151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76.8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(70.3, 83.6)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84.2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(77.4, 91.4)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(0.98, 1.30)</w:t>
            </w:r>
          </w:p>
        </w:tc>
      </w:tr>
      <w:tr>
        <w:trPr>
          <w:trHeight w:val="360" w:hRule="auto"/>
        </w:trPr>
        body 5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Sex</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3,035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(15.0, 19.6)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(11.9, 16.0)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706 / 2,743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711 / 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(35.8, 41.5)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(36.5, 42.3)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(0.91, 1.15)</w:t>
            </w:r>
          </w:p>
        </w:tc>
      </w:tr>
      <w:tr>
        <w:trPr>
          <w:trHeight w:val="360"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78 / 1,647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71 / 1,684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(9.0, 14.1)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(8.0, 12.8)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(0.61, 1.28)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330 / 1,516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318 / 1,529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(28.9, 35.8)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30.6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(27.4, 34.1)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(0.78, 1.12)</w:t>
            </w:r>
          </w:p>
        </w:tc>
      </w:tr>
      <w:tr>
        <w:trPr>
          <w:trHeight w:val="360" w:hRule="auto"/>
        </w:trPr>
        body 8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Race</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Non-Black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209 / 3,189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173 / 3,224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(13.9, 18.3)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(11.2, 15.0)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759 / 2,896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770 / 2,953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(36.7, 42.3)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(36.8, 42.4)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(0.90, 1.13)</w:t>
            </w:r>
          </w:p>
        </w:tc>
      </w:tr>
      <w:tr>
        <w:trPr>
          <w:trHeight w:val="360"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81 / 1,493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 / 1,454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(10.5, 16.3)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(8.9, 14.4)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277 / 1,363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259 / 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(26.5, 33.6)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(25.4, 32.4)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(0.78, 1.15)</w:t>
            </w:r>
          </w:p>
        </w:tc>
      </w:tr>
      <w:tr>
        <w:trPr>
          <w:trHeight w:val="360" w:hRule="auto"/>
        </w:trPr>
        body11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Chronic Kidney Disease</w:t>
            </w:r>
            <w:r>
              <w:rPr>
                <w:rFonts w:ascii="Times New Roman" w:hAnsi="Times New Roman" w:eastAsia="Times New Roman" w:cs="Times New Roman"/>
                <w:i w:val="true"/>
                <w:b w:val="false"/>
                <w:u w:val="none"/>
                <w:vertAlign w:val="superscript"/>
                <w:sz w:val="24"/>
                <w:szCs w:val="24"/>
                <w:color w:val="000000"/>
              </w:rPr>
              <w:t xml:space="preserve">b</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163 / 3,491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126 / 3,485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(9.7, 13.1)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(7.3, 10.4)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641 / 3,232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644 / 3,250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(26.7, 31.2)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(26.8, 31.3)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(0.87, 1.11)</w:t>
            </w:r>
          </w:p>
        </w:tc>
      </w:tr>
      <w:tr>
        <w:trPr>
          <w:trHeight w:val="360"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125 / 1,160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112 / 1,170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(22.1, 31.5)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(19.5, 28.2)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392 / 1,006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381 / 1,012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(57.5, 70.1)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(55.7, 68.1)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(0.82, 1.15)</w:t>
            </w:r>
          </w:p>
        </w:tc>
      </w:tr>
      <w:tr>
        <w:trPr>
          <w:trHeight w:val="360" w:hRule="auto"/>
        </w:trPr>
        body14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Cognitive Function</w:t>
            </w:r>
          </w:p>
        </w:tc>
      </w:tr>
      <w:tr>
        <w:trPr>
          <w:trHeight w:val="360"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&gt;10th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3,396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152 / 3,389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(13.1, 17.2)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(9.1, 12.6)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(0.55, 0.89)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707 / 3,100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740 / 3,125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(31.4, 36.3)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(32.9, 38.0)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(0.93, 1.18)</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77 / 1,253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83 / 1,257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(12.1, 19.0)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(13.2, 20.3)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(0.79, 1.62)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324 / 1,135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283 / 1,131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(39.0, 48.5)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37.9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(33.6, 42.5)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(0.74, 1.08)</w:t>
            </w:r>
          </w:p>
        </w:tc>
      </w:tr>
      <w:tr>
        <w:trPr>
          <w:trHeight w:val="360" w:hRule="auto"/>
        </w:trPr>
        body17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Frailty Status</w:t>
            </w:r>
          </w:p>
        </w:tc>
      </w:tr>
      <w:tr>
        <w:trPr>
          <w:trHeight w:val="360"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 ≤ 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 / 728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 751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(4.4, 10.3)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(3.4, 8.7)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(0.43, 1.87)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92 / 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82 / 715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(15.3, 23.0)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(12.8, 19.8)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(0.61, 1.22)</w:t>
            </w:r>
          </w:p>
        </w:tc>
      </w:tr>
      <w:tr>
        <w:trPr>
          <w:trHeight w:val="360"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 &lt; FI ≤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 / 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93 / 2,359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(8.8, 12.8)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(7.7, 11.6)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501 / 2,244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477 / 2,193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(30.1, 35.9)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(29.3, 35.1)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(0.86, 1.14)</w:t>
            </w:r>
          </w:p>
        </w:tc>
      </w:tr>
      <w:tr>
        <w:trPr>
          <w:trHeight w:val="360"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 &gt;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161 / 1,523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127 / 1,538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(22.5, 30.7)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(17.1, 24.2)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(0.57, 0.98)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439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469 / 1,349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52.7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(47.9, 57.8)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55.9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(51.0, 61.1)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(0.89, 1.20)</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a</w:t>
            </w:r>
            <w:r>
              <w:rPr>
                <w:rFonts w:ascii="Arial" w:hAnsi="Arial" w:eastAsia="Arial" w:cs="Arial"/>
                <w:i w:val="false"/>
                <w:b w:val="false"/>
                <w:u w:val="none"/>
                <w:sz w:val="22"/>
                <w:szCs w:val="22"/>
                <w:color w:val="000000"/>
              </w:rPr>
              <w:t xml:space="preserve">Incidence is presented as the expected rate of events per 1,000 person-years.</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b</w:t>
            </w:r>
            <w:r>
              <w:rPr>
                <w:rFonts w:ascii="Arial" w:hAnsi="Arial" w:eastAsia="Arial" w:cs="Arial"/>
                <w:i w:val="false"/>
                <w:b w:val="false"/>
                <w:u w:val="none"/>
                <w:sz w:val="22"/>
                <w:szCs w:val="22"/>
                <w:color w:val="000000"/>
              </w:rPr>
              <w:t xml:space="preserve">Chronic Kidney Disease was defined by an estimated glomerular filtration rate &lt;60 ml/min/1.73 m</w:t>
            </w:r>
            <w:r>
              <w:rPr>
                <w:rFonts w:ascii="Arial" w:hAnsi="Arial" w:eastAsia="Arial" w:cs="Arial"/>
                <w:i w:val="false"/>
                <w:b w:val="false"/>
                <w:u w:val="none"/>
                <w:vertAlign w:val="superscript"/>
                <w:sz w:val="22"/>
                <w:szCs w:val="22"/>
                <w:color w:val="000000"/>
              </w:rPr>
              <w:t xml:space="preserve">2</w:t>
            </w:r>
            <w:r>
              <w:rPr>
                <w:rFonts w:ascii="Arial" w:hAnsi="Arial" w:eastAsia="Arial" w:cs="Arial"/>
                <w:i w:val="false"/>
                <w:b w:val="false"/>
                <w:u w:val="none"/>
                <w:sz w:val="22"/>
                <w:szCs w:val="22"/>
                <w:color w:val="000000"/>
              </w:rPr>
              <w:t xml:space="preserve"> based on the 2021 CKD-EPI creatinine equation.</w:t>
            </w:r>
          </w:p>
        </w:tc>
      </w:tr>
      <w:tr>
        <w:trPr>
          <w:trHeight w:val="360" w:hRule="auto"/>
        </w:trPr>
        footer 3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
            </w:r>
            <w:r>
              <w:rPr>
                <w:rFonts w:ascii="Arial" w:hAnsi="Arial" w:eastAsia="Arial" w:cs="Arial"/>
                <w:i w:val="false"/>
                <w:b w:val="false"/>
                <w:u w:val="none"/>
                <w:sz w:val="22"/>
                <w:szCs w:val="22"/>
                <w:color w:val="000000"/>
              </w:rPr>
              <w:t xml:space="preserve">Abbreviations: CI = confidence interval; and FI = frailty index</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14="http://schemas.microsoft.com/office/word/2010/wordml">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trHeight w:val="360"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 </w:t>
            </w:r>
          </w:p>
        </w:tc>
        <w:tc>
          <w:tcPr>
            <w:gridSpan w:val="4"/>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Trial Phase</w:t>
            </w:r>
          </w:p>
        </w:tc>
        <w:tc>
          <w:tcPr>
            <w:gridSpan w:val="4"/>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Observational Phase</w:t>
            </w:r>
          </w:p>
        </w:tc>
      </w:tr>
      <w:tr>
        <w:trPr>
          <w:trHeight w:val="360"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CVD / non-CVD /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CVD / non-CVD /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r>
      <w:tr>
        <w:trPr>
          <w:trHeight w:val="360" w:hRule="auto"/>
          <w:tblHeader/>
        </w:trPr>
        header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Non-CVD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Non-CVD</w:t>
            </w:r>
          </w:p>
        </w:tc>
      </w:tr>
      <w:tr>
        <w:trPr>
          <w:trHeight w:val="360"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Overall</w:t>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92 / 198 / 4,682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65 / 176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(0.48, 0.88)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(0.71, 1.10)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401 / 635 / 4,259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349 / 680 / 4,274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(0.99, 1.23)</w:t>
            </w:r>
          </w:p>
        </w:tc>
      </w:tr>
      <w:tr>
        <w:trPr>
          <w:trHeight w:val="360" w:hRule="auto"/>
        </w:trPr>
        body 2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Age group</w:t>
            </w:r>
          </w:p>
        </w:tc>
      </w:tr>
      <w:tr>
        <w:trPr>
          <w:trHeight w:val="360"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&lt;75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45 / 92 / 3,364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 / 88 / 3,361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(0.68, 1.33)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198 / 323 / 3,129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145 / 327 / 3,123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(0.67, 1.02)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(0.88, 1.15)</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 / 106 / 1,318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 / 88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(0.49, 1.26)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(0.60, 1.09)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203 / 312 / 1,130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204 / 353 / 1,151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(1.05, 1.41)</w:t>
            </w:r>
          </w:p>
        </w:tc>
      </w:tr>
      <w:tr>
        <w:trPr>
          <w:trHeight w:val="360" w:hRule="auto"/>
        </w:trPr>
        body 5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Sex</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 / 144 / 3,035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 / 123 / 2,994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(0.42, 0.90)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286 / 420 / 2,743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247 / 464 / 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(1.02, 1.33)</w:t>
            </w:r>
          </w:p>
        </w:tc>
      </w:tr>
      <w:tr>
        <w:trPr>
          <w:trHeight w:val="360"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 / 54 / 1,647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 53 / 1,684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(0.45, 1.26)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 / 215 / 1,516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 / 216 / 1,529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(0.80, 1.24)</w:t>
            </w:r>
          </w:p>
        </w:tc>
      </w:tr>
      <w:tr>
        <w:trPr>
          <w:trHeight w:val="360" w:hRule="auto"/>
        </w:trPr>
        body 8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Race</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Non-Black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 / 142 / 3,189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44 / 129 / 3,224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(0.42, 0.81)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 / 469 / 2,896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266 / 504 / 2,953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(0.82, 1.13)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(0.98, 1.27)</w:t>
            </w:r>
          </w:p>
        </w:tc>
      </w:tr>
      <w:tr>
        <w:trPr>
          <w:trHeight w:val="360"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 / 56 / 1,493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 / 47 / 1,454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(0.46, 1.45)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111 / 166 / 1,363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83 / 176 / 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(0.60, 1.11)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(0.88, 1.29)</w:t>
            </w:r>
          </w:p>
        </w:tc>
      </w:tr>
      <w:tr>
        <w:trPr>
          <w:trHeight w:val="360" w:hRule="auto"/>
        </w:trPr>
        body11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Chronic Kidney Disease</w:t>
            </w:r>
            <w:r>
              <w:rPr>
                <w:rFonts w:ascii="Times New Roman" w:hAnsi="Times New Roman" w:eastAsia="Times New Roman" w:cs="Times New Roman"/>
                <w:i w:val="true"/>
                <w:b w:val="false"/>
                <w:u w:val="none"/>
                <w:vertAlign w:val="superscript"/>
                <w:sz w:val="24"/>
                <w:szCs w:val="24"/>
                <w:color w:val="000000"/>
              </w:rPr>
              <w:t xml:space="preserve">a</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 / 113 / 3,491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 / 97 / 3,485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229 / 412 / 3,232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432 / 3,250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(0.94, 1.22)</w:t>
            </w:r>
          </w:p>
        </w:tc>
      </w:tr>
      <w:tr>
        <w:trPr>
          <w:trHeight w:val="360"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41 / 84 / 1,160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 / 76 / 1,170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(0.50, 1.31)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(0.62, 1.24)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222 / 1,006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136 / 245 / 1,012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(0.69, 1.02)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(0.97, 1.37)</w:t>
            </w:r>
          </w:p>
        </w:tc>
      </w:tr>
      <w:tr>
        <w:trPr>
          <w:trHeight w:val="360" w:hRule="auto"/>
        </w:trPr>
        body14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Cognitive Function</w:t>
            </w:r>
          </w:p>
        </w:tc>
      </w:tr>
      <w:tr>
        <w:trPr>
          <w:trHeight w:val="360"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&gt;10th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62 / 150 / 3,396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40 / 112 / 3,389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(0.57, 0.96)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 / 425 / 3,100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252 / 488 / 3,125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(0.79, 1.07)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(1.04, 1.37)</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 / 48 / 1,253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 / 60 / 1,257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(0.41, 1.43)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(0.83, 1.80)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 / 207 / 1,135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94 / 189 / 1,131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(0.72, 1.17)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(0.78, 1.09)</w:t>
            </w:r>
          </w:p>
        </w:tc>
      </w:tr>
      <w:tr>
        <w:trPr>
          <w:trHeight w:val="360" w:hRule="auto"/>
        </w:trPr>
        body17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Frailty Status</w:t>
            </w:r>
          </w:p>
        </w:tc>
      </w:tr>
      <w:tr>
        <w:trPr>
          <w:trHeight w:val="360"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 ≤ 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 / 14 / 728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 / 17 / 751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0.14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(0.02, 1.12)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 / 61 / 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 / 62 / 715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(0.35, 1.05)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(0.77, 1.54)</w:t>
            </w:r>
          </w:p>
        </w:tc>
      </w:tr>
      <w:tr>
        <w:trPr>
          <w:trHeight w:val="360"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 &lt; FI ≤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34 / 73 / 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 / 70 / 2,359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(0.34, 1.03)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(0.73, 1.37)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185 / 316 / 2,244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159 / 318 / 2,193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(0.75, 1.22)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(0.90, 1.23)</w:t>
            </w:r>
          </w:p>
        </w:tc>
      </w:tr>
      <w:tr>
        <w:trPr>
          <w:trHeight w:val="360"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 &gt;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 / 110 / 1,523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41 / 86 / 1,538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(0.53, 1.13)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(0.55, 1.00)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183 / 256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299 / 1,349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(0.77, 1.15)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(0.98, 1.40)</w:t>
            </w:r>
          </w:p>
        </w:tc>
      </w:tr>
      <w:tr>
        <w:trPr>
          <w:trHeight w:val="360" w:hRule="auto"/>
        </w:trPr>
        footer 1
        <w:tc>
          <w:tcPr>
            <w:gridSpan w:val="9"/>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a</w:t>
            </w:r>
            <w:r>
              <w:rPr>
                <w:rFonts w:ascii="Arial" w:hAnsi="Arial" w:eastAsia="Arial" w:cs="Arial"/>
                <w:i w:val="false"/>
                <w:b w:val="false"/>
                <w:u w:val="none"/>
                <w:sz w:val="22"/>
                <w:szCs w:val="22"/>
                <w:color w:val="000000"/>
              </w:rPr>
              <w:t xml:space="preserve">Chronic Kidney Disease was defined by an estimated glomerular filtration rate &lt;60 ml/min/1.73 m</w:t>
            </w:r>
            <w:r>
              <w:rPr>
                <w:rFonts w:ascii="Arial" w:hAnsi="Arial" w:eastAsia="Arial" w:cs="Arial"/>
                <w:i w:val="false"/>
                <w:b w:val="false"/>
                <w:u w:val="none"/>
                <w:vertAlign w:val="superscript"/>
                <w:sz w:val="22"/>
                <w:szCs w:val="22"/>
                <w:color w:val="000000"/>
              </w:rPr>
              <w:t xml:space="preserve">2</w:t>
            </w:r>
            <w:r>
              <w:rPr>
                <w:rFonts w:ascii="Arial" w:hAnsi="Arial" w:eastAsia="Arial" w:cs="Arial"/>
                <w:i w:val="false"/>
                <w:b w:val="false"/>
                <w:u w:val="none"/>
                <w:sz w:val="22"/>
                <w:szCs w:val="22"/>
                <w:color w:val="000000"/>
              </w:rPr>
              <w:t xml:space="preserve"> based on the 2021 CKD-EPI creatinine equation.</w:t>
            </w:r>
          </w:p>
        </w:tc>
      </w:tr>
      <w:tr>
        <w:trPr>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
            </w:r>
            <w:r>
              <w:rPr>
                <w:rFonts w:ascii="Arial" w:hAnsi="Arial" w:eastAsia="Arial" w:cs="Arial"/>
                <w:i w:val="false"/>
                <w:b w:val="false"/>
                <w:u w:val="none"/>
                <w:sz w:val="22"/>
                <w:szCs w:val="22"/>
                <w:color w:val="000000"/>
              </w:rPr>
              <w:t xml:space="preserve">Abbreviations: CI = confidence interval; CVD = cardiovascular disease; and FI = frailty index</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wp:inline distT="0" distB="0" distL="0" distR="0">
            <wp:extent cx="10058400" cy="5486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76"/>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EHR denotes electronic health record.</w:t>
      </w:r>
    </w:p>
    <w:p>
      <w:pPr>
        <w:sectPr w:officer="true">
          <w:pgMar w:header="720" w:bottom="120" w:top="120" w:right="180" w:left="180" w:footer="720" w:gutter="720"/>
          <w:pgSz w:h="11906" w:w="16838" w:orient="landscape"/>
          <w:type w:val="continuous"/>
          <w:cols/>
        </w:sectPr>
      </w:pPr>
    </w:p>
    <w:bookmarkEnd w:id="75"/>
    <w:sectPr w:rsidR="006A1D06" w:rsidRPr="0023695B" w:rsidSect="00B7119B">
      <w:headerReference r:id="rId10" w:type="even"/>
      <w:headerReference r:id="rId9" w:type="default"/>
      <w:footerReference r:id="rId14" w:type="even"/>
      <w:footerReference r:id="rId13" w:type="default"/>
      <w:headerReference r:id="rId11" w:type="first"/>
      <w:footerReference r:id="rId12" w:type="first"/>
      <w:pgSz w:h="15840" w:w="12240"/>
      <w:pgMar w:bottom="720" w:footer="720" w:gutter="0" w:header="720" w:left="720" w:right="720" w:top="720"/>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ab89eeabc1c1419af3d0ad97316769b2cc0de86.png"/>
<Relationship Id="rId72" Type="http://schemas.openxmlformats.org/officeDocument/2006/relationships/image" Target="media/955613a679800725c5118e8f9ac169fcca6a7480.png"/>
<Relationship Id="rId73" Type="http://schemas.openxmlformats.org/officeDocument/2006/relationships/image" Target="media/1ff15fcf2aab1f55df8203141878a531a01e300b.png"/>
<Relationship Id="rId74" Type="http://schemas.openxmlformats.org/officeDocument/2006/relationships/image" Target="media/74d4241f6826426001e0bf7ac5a803453f7a2ef6.png"/>
<Relationship Id="rId75" Type="http://schemas.openxmlformats.org/officeDocument/2006/relationships/image" Target="media/2c87a8a7656ad76b7bde21a2a15d0000ebf40f29.png"/>
<Relationship Id="rId76" Type="http://schemas.openxmlformats.org/officeDocument/2006/relationships/image" Target="media/5331941337de85f4566c34e6918e9e7189e9f12d.png"/>
</Relationships>

</file>

<file path=word/_rels/footnotes.xml.rels><?xml version="1.0" encoding="UTF-8" standalone="yes"?>

<Relationships  xmlns="http://schemas.openxmlformats.org/package/2006/relationships">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2024-07-04T14:47:51Z</dcterms:created>
  <dcterms:modified xsi:type="dcterms:W3CDTF">2024-07-04T10:47:55Z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