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 TN.</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the risk of cardiovascular and all-cause mortality. However, the legacy effect of intensive treatment on mortality, defined as the persistence of benefit after stopping intensive treatment, is unknown.</w:t>
      </w:r>
    </w:p>
    <w:p>
      <w:pPr>
        <w:pStyle w:val="BodyText"/>
      </w:pPr>
      <w:r>
        <w:rPr>
          <w:bCs/>
          <w:b/>
        </w:rPr>
        <w:t xml:space="preserve">OBJECTIVE</w:t>
      </w:r>
      <w:r>
        <w:t xml:space="preserve">. To evaluate the legacy effect of receiving intensive treatment during the SPRINT trial with all-cause and cardiovascular mortality up to ten years post-randomization.</w:t>
      </w:r>
    </w:p>
    <w:p>
      <w:pPr>
        <w:pStyle w:val="BodyText"/>
      </w:pPr>
      <w:r>
        <w:rPr>
          <w:bCs/>
          <w:b/>
        </w:rPr>
        <w:t xml:space="preserve">DESIGN, SETTING, AND PARTICIPANTS</w:t>
      </w:r>
      <w:r>
        <w:t xml:space="preserve">. Randomized clinical trial of 9361 patients aged 50 years or older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beginning in 2016 through December 31st,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the mean (standard deviation) age was 67.9 (9.4) years and 35.6% were women. Over the median intervention phase of 3.3 years, intensive treatment was beneficial for both cardiovascular mortality (Hazard Ratio [HR] = 0.66, 95% confidence interval [CI] 0.49 to 0.89) and all-cause mortality (HR = 0.83, 95% CI 0.68 to 1.01). However, at the median total follow-up of 8.8 years, there was no longer evidence of benefit for cardiovascular mortality (HR = 1.02, 95% CI 0.84 to 1.24) or all-cause mortality (HR = 1.08, 95% CI 0.94 to 1.23). The estimated mean (95% CI) outpatient SBP among participants randomized to intensive treatment increased from 132.8 (132.0, 133.7) at five years to 140.4 (137.8, 143.0) ten years post-randomization.</w:t>
      </w:r>
    </w:p>
    <w:p>
      <w:pPr>
        <w:pStyle w:val="BodyText"/>
      </w:pPr>
      <w:r>
        <w:rPr>
          <w:bCs/>
          <w:b/>
        </w:rPr>
        <w:t xml:space="preserve">CONCLUSIONS AND RELEVANCE</w:t>
      </w:r>
      <w:r>
        <w:t xml:space="preserve">. The beneficial effect of intensive treatment on cardiovascular and all-cause mortality did not persist after the trial was stopped.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w:t>
      </w:r>
      <w:r>
        <w:rPr>
          <w:vertAlign w:val="superscript"/>
        </w:rPr>
        <w:t xml:space="preserve">2</w:t>
      </w:r>
      <w:r>
        <w:t xml:space="preserve"> Because a clear benefit was evident for intensive treatment after a median follow-up of 3.3 years, SPRINT was stopped early. However, the persistence of benefit after the trial was stopped (i.e.,</w:t>
      </w:r>
      <w:r>
        <w:t xml:space="preserve"> </w:t>
      </w:r>
      <w:r>
        <w:t xml:space="preserve">“</w:t>
      </w:r>
      <w:r>
        <w:t xml:space="preserve">legacy</w:t>
      </w:r>
      <w:r>
        <w:t xml:space="preserve">”</w:t>
      </w:r>
      <w:r>
        <w:t xml:space="preserve"> </w:t>
      </w:r>
      <w:r>
        <w:t xml:space="preserve">effect) of intensive treatment on cardiovascular and all-cause mortality has not been evaluated.</w:t>
      </w:r>
      <w:r>
        <w:rPr>
          <w:vertAlign w:val="superscript"/>
        </w:rPr>
        <w:t xml:space="preserve">3</w:t>
      </w:r>
    </w:p>
    <w:p>
      <w:pPr>
        <w:pStyle w:val="BodyText"/>
      </w:pPr>
      <w:r>
        <w:t xml:space="preserve">The objective of the current study was to evaluate the effect of stopping intensive treatment as specified by the SPRINT trial protocol by analyzing post-trial all-cause and cardiovascular mortality. A secondary objective was to examine SBP following the discontinuation of the trial intervention. To accomplish these objectives, we linked participants to the National Death Index (NDI) from 2016 through 2020 and extracted longitudinal outpatient measurements of SBP from 20xx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In addition to the trial’s intervention phase, which spanned November 8, 2010 through August 20, 2015, when the administrative decision to stop the trial was made, the current study includes as part of the</w:t>
      </w:r>
      <w:r>
        <w:t xml:space="preserve"> </w:t>
      </w:r>
      <w:r>
        <w:t xml:space="preserve">“</w:t>
      </w:r>
      <w:r>
        <w:t xml:space="preserve">trial phase</w:t>
      </w:r>
      <w:r>
        <w:t xml:space="preserve">”</w:t>
      </w:r>
      <w:r>
        <w:t xml:space="preserve"> </w:t>
      </w:r>
      <w:r>
        <w:t xml:space="preserve">the additional period of study-provided antihypertensive medications prior to the final closeout visit on July 1, 2016 (eFigure 1). Observational follow-up continued through December 2020</w:t>
      </w:r>
    </w:p>
    <w:p>
      <w:pPr>
        <w:pStyle w:val="BodyText"/>
      </w:pPr>
      <w:r>
        <w:t xml:space="preserve">As trial follow-up visits and provision of antihypertensive medication continued through July 2016,</w:t>
      </w:r>
      <w:r>
        <w:rPr>
          <w:vertAlign w:val="superscript"/>
        </w:rPr>
        <w:t xml:space="preserve">2</w:t>
      </w:r>
      <w:r>
        <w:t xml:space="preserve"> the current study considers a trial phase spanning from November 8, 2010 through July 2016 and an observational phase spanning from August 2017 through December, 2020 (</w:t>
      </w:r>
      <w:r>
        <w:rPr>
          <w:bCs/>
          <w:b/>
        </w:rPr>
        <w:t xml:space="preserve">eFigure 1</w:t>
      </w:r>
      <w:r>
        <w:t xml:space="preserve">).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2020. As the NDI is continuously updated, the current analysis includes some deaths in 2016 that were not identified at the time of the final SPRINT report.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outpatient and trial BP measurements.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were older, had lower SBP and higher scores on the MoCA, and had a higher prevalence of CKD.</w:t>
      </w:r>
    </w:p>
    <w:p>
      <w:pPr>
        <w:pStyle w:val="BodyText"/>
      </w:pPr>
      <w:r>
        <w:rPr>
          <w:iCs/>
          <w:i/>
          <w:bCs/>
          <w:b/>
        </w:rPr>
        <w:t xml:space="preserve">All-cause Mortality</w:t>
      </w:r>
      <w:r>
        <w:t xml:space="preserve">. In both treatment groups, the total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observational phase. The continuous time-dependent effect of intensive versus standard treatment indicated a benefit for all-cause mortality from 1.03 to 2.8 years from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observational phase. The time-dependent effect of intensive versus standard treatment indicated a benefit for CVD mortality from 2.3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(IQR 10 to 34). The estimated mean (95% CI) SBP among participants randomized to intensive treatment was 132.8 (132.0, 133.7) at 5 years and 140.4 (137.8, 143.0) at 10 years post-randomization (</w:t>
      </w:r>
      <w:r>
        <w:rPr>
          <w:bCs/>
          <w:b/>
        </w:rPr>
        <w:t xml:space="preserve">Figure 5</w:t>
      </w:r>
      <w:r>
        <w:t xml:space="preserve">). For participants randomized to standard treatment, mean (95% CI) SBP was estimated to be 138.8 (137.9, 139.6) at 5 years and 140.2 (137.7, 142.6) post-randomization. The between-group difference in mean SBP levels (intensive minus standard) was 5.9 (5.2, 6.7) mm Hg at 5 years post-randomization and was reduced to 5.9 (5.2, 6.7) at 10 years post-randomization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finding that the benefits associated with intensive treatment quickly attenuated as SBP levels increased after the trial intervention was discontinued.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over time, with no detectable difference in SBP approximately 9 years after randomization. These results in combination with the primary findings of SPRINT indicate that the beneficial effect of intensive treatment among adults with hypertension appears to diminish if BP control is not sustained.</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25</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26</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27</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demonstrate that maintaining more intensive BP targets throughout adulthood will likely be essential for long-term CVD risk management.</w:t>
      </w:r>
    </w:p>
    <w:p>
      <w:r>
        <w:br w:type="page"/>
      </w:r>
    </w:p>
    <w:bookmarkEnd w:id="26"/>
    <w:bookmarkStart w:id="73" w:name="references"/>
    <w:p>
      <w:pPr>
        <w:pStyle w:val="Heading1"/>
      </w:pPr>
      <w:r>
        <w:t xml:space="preserve">REFERENCES</w:t>
      </w:r>
    </w:p>
    <w:bookmarkStart w:id="72"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7" w:name="ref-muntner2020htn"/>
    <w:p>
      <w:pPr>
        <w:pStyle w:val="Bibliography"/>
      </w:pPr>
      <w:r>
        <w:t xml:space="preserve">25.</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7"/>
    <w:bookmarkStart w:id="69" w:name="ref-laffin_rise_2022"/>
    <w:p>
      <w:pPr>
        <w:pStyle w:val="Bibliography"/>
      </w:pPr>
      <w:r>
        <w:t xml:space="preserve">26.</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68">
        <w:r>
          <w:rPr>
            <w:rStyle w:val="Hyperlink"/>
          </w:rPr>
          <w:t xml:space="preserve">10.1161/CIRCULATIONAHA.121.057075</w:t>
        </w:r>
      </w:hyperlink>
    </w:p>
    <w:bookmarkEnd w:id="69"/>
    <w:bookmarkStart w:id="71" w:name="ref-us_surgeon_2020"/>
    <w:p>
      <w:pPr>
        <w:pStyle w:val="Bibliography"/>
      </w:pPr>
      <w:r>
        <w:t xml:space="preserve">27.</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0">
        <w:r>
          <w:rPr>
            <w:rStyle w:val="Hyperlink"/>
          </w:rPr>
          <w:t xml:space="preserve">http://www.ncbi.nlm.nih.gov/books/NBK567645/</w:t>
        </w:r>
      </w:hyperlink>
    </w:p>
    <w:bookmarkEnd w:id="71"/>
    <w:bookmarkEnd w:id="72"/>
    <w:p>
      <w:r>
        <w:br w:type="page"/>
      </w:r>
    </w:p>
    <w:bookmarkEnd w:id="73"/>
    <w:bookmarkStart w:id="74"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4"/>
    <w:bookmarkStart w:id="7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486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139700" cy="76200"/>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486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139700" cy="76200"/>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486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5"/>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p>
      <w:pPr>
        <w:pStyle w:val="BodyText"/>
      </w:pPr>
    </w:p>
    <w:p>
      <w:pPr>
        <w:pStyle w:val="BodyText"/>
      </w:pPr>
      <w:r>
        <w:t xml:space="preserve">Characteristic</w:t>
      </w:r>
    </w:p>
    <w:p>
      <w:pPr>
        <w:pStyle w:val="BodyText"/>
      </w:pPr>
      <w:r>
        <w:t xml:space="preserve">Overall</w:t>
      </w:r>
      <w:r>
        <w:t xml:space="preserve">N = 9,361</w:t>
      </w:r>
    </w:p>
    <w:p>
      <w:pPr>
        <w:pStyle w:val="BodyText"/>
      </w:pPr>
      <w:r>
        <w:t xml:space="preserve">Treatment</w:t>
      </w:r>
    </w:p>
    <w:p>
      <w:pPr>
        <w:pStyle w:val="BodyText"/>
      </w:pPr>
      <w:r>
        <w:t xml:space="preserve">Included in EHR ancillary study</w:t>
      </w:r>
    </w:p>
    <w:p>
      <w:pPr>
        <w:pStyle w:val="BodyText"/>
      </w:pPr>
      <w:r>
        <w:t xml:space="preserve">p-value</w:t>
      </w:r>
      <w:r>
        <w:t xml:space="preserve">a</w:t>
      </w:r>
      <w:r>
        <w:t xml:space="preserve"> </w:t>
      </w:r>
      <w:r>
        <w:t xml:space="preserve">b</w:t>
      </w:r>
      <w:r>
        <w:t xml:space="preserve"> </w:t>
      </w:r>
    </w:p>
    <w:p>
      <w:pPr>
        <w:pStyle w:val="BodyText"/>
      </w:pPr>
      <w:r>
        <w:t xml:space="preserve">Standard</w:t>
      </w:r>
      <w:r>
        <w:t xml:space="preserve">N = 4,683</w:t>
      </w:r>
    </w:p>
    <w:p>
      <w:pPr>
        <w:pStyle w:val="BodyText"/>
      </w:pPr>
      <w:r>
        <w:t xml:space="preserve">Intensive</w:t>
      </w:r>
      <w:r>
        <w:t xml:space="preserve">N = 4,678</w:t>
      </w:r>
    </w:p>
    <w:p>
      <w:pPr>
        <w:pStyle w:val="BodyText"/>
      </w:pPr>
      <w:r>
        <w:t xml:space="preserve">No</w:t>
      </w:r>
      <w:r>
        <w:t xml:space="preserve">N = 6,417</w:t>
      </w:r>
    </w:p>
    <w:p>
      <w:pPr>
        <w:pStyle w:val="BodyText"/>
      </w:pPr>
      <w:r>
        <w:t xml:space="preserve">Yes</w:t>
      </w:r>
      <w:r>
        <w:t xml:space="preserve">N = 2,944</w:t>
      </w:r>
    </w:p>
    <w:p>
      <w:pPr>
        <w:pStyle w:val="BodyText"/>
      </w:pPr>
      <w:r>
        <w:t xml:space="preserve">Age, years</w:t>
      </w:r>
    </w:p>
    <w:p>
      <w:pPr>
        <w:pStyle w:val="BodyText"/>
      </w:pPr>
      <w:r>
        <w:t xml:space="preserve">67.9 (9.4)</w:t>
      </w:r>
    </w:p>
    <w:p>
      <w:pPr>
        <w:pStyle w:val="BodyText"/>
      </w:pPr>
      <w:r>
        <w:t xml:space="preserve">67.9 (9.5)</w:t>
      </w:r>
    </w:p>
    <w:p>
      <w:pPr>
        <w:pStyle w:val="BodyText"/>
      </w:pPr>
      <w:r>
        <w:t xml:space="preserve">67.9 (9.4)</w:t>
      </w:r>
    </w:p>
    <w:p>
      <w:pPr>
        <w:pStyle w:val="BodyText"/>
      </w:pPr>
      <w:r>
        <w:t xml:space="preserve">67.7 (9.6)</w:t>
      </w:r>
    </w:p>
    <w:p>
      <w:pPr>
        <w:pStyle w:val="BodyText"/>
      </w:pPr>
      <w:r>
        <w:t xml:space="preserve">68.5 (9.1)</w:t>
      </w:r>
    </w:p>
    <w:p>
      <w:pPr>
        <w:pStyle w:val="BodyText"/>
      </w:pPr>
      <w:r>
        <w:t xml:space="preserve">&lt;0.001</w:t>
      </w:r>
    </w:p>
    <w:p>
      <w:pPr>
        <w:pStyle w:val="BodyText"/>
      </w:pPr>
      <w:r>
        <w:t xml:space="preserve">Age ≥75 years</w:t>
      </w:r>
    </w:p>
    <w:p>
      <w:pPr>
        <w:pStyle w:val="BodyText"/>
      </w:pPr>
      <w:r>
        <w:t xml:space="preserve">28.2</w:t>
      </w:r>
    </w:p>
    <w:p>
      <w:pPr>
        <w:pStyle w:val="BodyText"/>
      </w:pPr>
      <w:r>
        <w:t xml:space="preserve">28.2</w:t>
      </w:r>
    </w:p>
    <w:p>
      <w:pPr>
        <w:pStyle w:val="BodyText"/>
      </w:pPr>
      <w:r>
        <w:t xml:space="preserve">28.2</w:t>
      </w:r>
    </w:p>
    <w:p>
      <w:pPr>
        <w:pStyle w:val="BodyText"/>
      </w:pPr>
      <w:r>
        <w:t xml:space="preserve">27.4</w:t>
      </w:r>
    </w:p>
    <w:p>
      <w:pPr>
        <w:pStyle w:val="BodyText"/>
      </w:pPr>
      <w:r>
        <w:t xml:space="preserve">29.9</w:t>
      </w:r>
    </w:p>
    <w:p>
      <w:pPr>
        <w:pStyle w:val="BodyText"/>
      </w:pPr>
      <w:r>
        <w:t xml:space="preserve">0.012</w:t>
      </w:r>
    </w:p>
    <w:p>
      <w:pPr>
        <w:pStyle w:val="BodyText"/>
      </w:pPr>
      <w:r>
        <w:t xml:space="preserve">Female</w:t>
      </w:r>
    </w:p>
    <w:p>
      <w:pPr>
        <w:pStyle w:val="BodyText"/>
      </w:pPr>
      <w:r>
        <w:t xml:space="preserve">35.6</w:t>
      </w:r>
    </w:p>
    <w:p>
      <w:pPr>
        <w:pStyle w:val="BodyText"/>
      </w:pPr>
      <w:r>
        <w:t xml:space="preserve">35.2</w:t>
      </w:r>
    </w:p>
    <w:p>
      <w:pPr>
        <w:pStyle w:val="BodyText"/>
      </w:pPr>
      <w:r>
        <w:t xml:space="preserve">36.0</w:t>
      </w:r>
    </w:p>
    <w:p>
      <w:pPr>
        <w:pStyle w:val="BodyText"/>
      </w:pPr>
      <w:r>
        <w:t xml:space="preserve">43.4</w:t>
      </w:r>
    </w:p>
    <w:p>
      <w:pPr>
        <w:pStyle w:val="BodyText"/>
      </w:pPr>
      <w:r>
        <w:t xml:space="preserve">18.5</w:t>
      </w:r>
    </w:p>
    <w:p>
      <w:pPr>
        <w:pStyle w:val="BodyText"/>
      </w:pPr>
      <w:r>
        <w:t xml:space="preserve">&lt;0.001</w:t>
      </w:r>
    </w:p>
    <w:p>
      <w:pPr>
        <w:pStyle w:val="BodyText"/>
      </w:pPr>
      <w:r>
        <w:t xml:space="preserve">Black</w:t>
      </w:r>
    </w:p>
    <w:p>
      <w:pPr>
        <w:pStyle w:val="BodyText"/>
      </w:pPr>
      <w:r>
        <w:t xml:space="preserve">31.5</w:t>
      </w:r>
    </w:p>
    <w:p>
      <w:pPr>
        <w:pStyle w:val="BodyText"/>
      </w:pPr>
      <w:r>
        <w:t xml:space="preserve">31.9</w:t>
      </w:r>
    </w:p>
    <w:p>
      <w:pPr>
        <w:pStyle w:val="BodyText"/>
      </w:pPr>
      <w:r>
        <w:t xml:space="preserve">31.1</w:t>
      </w:r>
    </w:p>
    <w:p>
      <w:pPr>
        <w:pStyle w:val="BodyText"/>
      </w:pPr>
      <w:r>
        <w:t xml:space="preserve">32.0</w:t>
      </w:r>
    </w:p>
    <w:p>
      <w:pPr>
        <w:pStyle w:val="BodyText"/>
      </w:pPr>
      <w:r>
        <w:t xml:space="preserve">30.3</w:t>
      </w:r>
    </w:p>
    <w:p>
      <w:pPr>
        <w:pStyle w:val="BodyText"/>
      </w:pPr>
      <w:r>
        <w:t xml:space="preserve">0.086</w:t>
      </w:r>
    </w:p>
    <w:p>
      <w:pPr>
        <w:pStyle w:val="BodyText"/>
      </w:pPr>
      <w:r>
        <w:t xml:space="preserve">Systolic blood pressure</w:t>
      </w:r>
    </w:p>
    <w:p>
      <w:pPr>
        <w:pStyle w:val="BodyText"/>
      </w:pPr>
      <w:r>
        <w:t xml:space="preserve">139.7 (15.6)</w:t>
      </w:r>
    </w:p>
    <w:p>
      <w:pPr>
        <w:pStyle w:val="BodyText"/>
      </w:pPr>
      <w:r>
        <w:t xml:space="preserve">139.7 (15.4)</w:t>
      </w:r>
    </w:p>
    <w:p>
      <w:pPr>
        <w:pStyle w:val="BodyText"/>
      </w:pPr>
      <w:r>
        <w:t xml:space="preserve">139.7 (15.8)</w:t>
      </w:r>
    </w:p>
    <w:p>
      <w:pPr>
        <w:pStyle w:val="BodyText"/>
      </w:pPr>
      <w:r>
        <w:t xml:space="preserve">140.5 (15.8)</w:t>
      </w:r>
    </w:p>
    <w:p>
      <w:pPr>
        <w:pStyle w:val="BodyText"/>
      </w:pPr>
      <w:r>
        <w:t xml:space="preserve">137.8 (14.9)</w:t>
      </w:r>
    </w:p>
    <w:p>
      <w:pPr>
        <w:pStyle w:val="BodyText"/>
      </w:pPr>
      <w:r>
        <w:t xml:space="preserve">&lt;0.001</w:t>
      </w:r>
    </w:p>
    <w:p>
      <w:pPr>
        <w:pStyle w:val="BodyText"/>
      </w:pPr>
      <w:r>
        <w:t xml:space="preserve">Intensive treatment</w:t>
      </w:r>
    </w:p>
    <w:p>
      <w:pPr>
        <w:pStyle w:val="BodyText"/>
      </w:pPr>
      <w:r>
        <w:t xml:space="preserve">50.0</w:t>
      </w:r>
    </w:p>
    <w:p>
      <w:pPr>
        <w:pStyle w:val="BodyText"/>
      </w:pPr>
    </w:p>
    <w:p>
      <w:pPr>
        <w:pStyle w:val="BodyText"/>
      </w:pPr>
    </w:p>
    <w:p>
      <w:pPr>
        <w:pStyle w:val="BodyText"/>
      </w:pPr>
      <w:r>
        <w:t xml:space="preserve">49.8</w:t>
      </w:r>
    </w:p>
    <w:p>
      <w:pPr>
        <w:pStyle w:val="BodyText"/>
      </w:pPr>
      <w:r>
        <w:t xml:space="preserve">50.3</w:t>
      </w:r>
    </w:p>
    <w:p>
      <w:pPr>
        <w:pStyle w:val="BodyText"/>
      </w:pPr>
      <w:r>
        <w:t xml:space="preserve">0.6</w:t>
      </w:r>
    </w:p>
    <w:p>
      <w:pPr>
        <w:pStyle w:val="BodyText"/>
      </w:pPr>
      <w:r>
        <w:t xml:space="preserve">Included in EHR ancillary study</w:t>
      </w:r>
    </w:p>
    <w:p>
      <w:pPr>
        <w:pStyle w:val="BodyText"/>
      </w:pPr>
      <w:r>
        <w:t xml:space="preserve">31.4</w:t>
      </w:r>
    </w:p>
    <w:p>
      <w:pPr>
        <w:pStyle w:val="BodyText"/>
      </w:pPr>
      <w:r>
        <w:t xml:space="preserve">31.2</w:t>
      </w:r>
    </w:p>
    <w:p>
      <w:pPr>
        <w:pStyle w:val="BodyText"/>
      </w:pPr>
      <w:r>
        <w:t xml:space="preserve">31.7</w:t>
      </w:r>
    </w:p>
    <w:p>
      <w:pPr>
        <w:pStyle w:val="BodyText"/>
      </w:pPr>
    </w:p>
    <w:p>
      <w:pPr>
        <w:pStyle w:val="BodyText"/>
      </w:pPr>
    </w:p>
    <w:p>
      <w:pPr>
        <w:pStyle w:val="BodyText"/>
      </w:pPr>
    </w:p>
    <w:p>
      <w:pPr>
        <w:pStyle w:val="BodyText"/>
      </w:pPr>
      <w:r>
        <w:t xml:space="preserve">Chronic Kidney Disease</w:t>
      </w:r>
      <w:r>
        <w:t xml:space="preserve">c</w:t>
      </w:r>
      <w:r>
        <w:t xml:space="preserve"> </w:t>
      </w:r>
    </w:p>
    <w:p>
      <w:pPr>
        <w:pStyle w:val="BodyText"/>
      </w:pPr>
      <w:r>
        <w:t xml:space="preserve">25.0</w:t>
      </w:r>
    </w:p>
    <w:p>
      <w:pPr>
        <w:pStyle w:val="BodyText"/>
      </w:pPr>
      <w:r>
        <w:t xml:space="preserve">25.0</w:t>
      </w:r>
    </w:p>
    <w:p>
      <w:pPr>
        <w:pStyle w:val="BodyText"/>
      </w:pPr>
      <w:r>
        <w:t xml:space="preserve">25.1</w:t>
      </w:r>
    </w:p>
    <w:p>
      <w:pPr>
        <w:pStyle w:val="BodyText"/>
      </w:pPr>
      <w:r>
        <w:t xml:space="preserve">24.2</w:t>
      </w:r>
    </w:p>
    <w:p>
      <w:pPr>
        <w:pStyle w:val="BodyText"/>
      </w:pPr>
      <w:r>
        <w:t xml:space="preserve">26.8</w:t>
      </w:r>
    </w:p>
    <w:p>
      <w:pPr>
        <w:pStyle w:val="BodyText"/>
      </w:pPr>
      <w:r>
        <w:t xml:space="preserve">0.007</w:t>
      </w:r>
    </w:p>
    <w:p>
      <w:pPr>
        <w:pStyle w:val="BodyText"/>
      </w:pPr>
      <w:r>
        <w:t xml:space="preserve">MoCA ≤10th percentile</w:t>
      </w:r>
    </w:p>
    <w:p>
      <w:pPr>
        <w:pStyle w:val="BodyText"/>
      </w:pPr>
      <w:r>
        <w:t xml:space="preserve">27.0</w:t>
      </w:r>
    </w:p>
    <w:p>
      <w:pPr>
        <w:pStyle w:val="BodyText"/>
      </w:pPr>
      <w:r>
        <w:t xml:space="preserve">26.9</w:t>
      </w:r>
    </w:p>
    <w:p>
      <w:pPr>
        <w:pStyle w:val="BodyText"/>
      </w:pPr>
      <w:r>
        <w:t xml:space="preserve">27.1</w:t>
      </w:r>
    </w:p>
    <w:p>
      <w:pPr>
        <w:pStyle w:val="BodyText"/>
      </w:pPr>
      <w:r>
        <w:t xml:space="preserve">27.2</w:t>
      </w:r>
    </w:p>
    <w:p>
      <w:pPr>
        <w:pStyle w:val="BodyText"/>
      </w:pPr>
      <w:r>
        <w:t xml:space="preserve">26.5</w:t>
      </w:r>
    </w:p>
    <w:p>
      <w:pPr>
        <w:pStyle w:val="BodyText"/>
      </w:pPr>
      <w:r>
        <w:t xml:space="preserve">0.5</w:t>
      </w:r>
    </w:p>
    <w:p>
      <w:pPr>
        <w:pStyle w:val="BodyText"/>
      </w:pPr>
      <w:r>
        <w:t xml:space="preserve">Frailty Status</w:t>
      </w:r>
    </w:p>
    <w:p>
      <w:pPr>
        <w:pStyle w:val="BodyText"/>
      </w:pPr>
    </w:p>
    <w:p>
      <w:pPr>
        <w:pStyle w:val="BodyText"/>
      </w:pPr>
    </w:p>
    <w:p>
      <w:pPr>
        <w:pStyle w:val="BodyText"/>
      </w:pPr>
    </w:p>
    <w:p>
      <w:pPr>
        <w:pStyle w:val="BodyText"/>
      </w:pPr>
    </w:p>
    <w:p>
      <w:pPr>
        <w:pStyle w:val="BodyText"/>
      </w:pPr>
    </w:p>
    <w:p>
      <w:pPr>
        <w:pStyle w:val="BodyText"/>
      </w:pPr>
      <w:r>
        <w:t xml:space="preserve">&lt;0.001</w:t>
      </w:r>
    </w:p>
    <w:p>
      <w:pPr>
        <w:pStyle w:val="BodyText"/>
      </w:pPr>
      <w:r>
        <w:t xml:space="preserve">Fit (FI≤0.10)</w:t>
      </w:r>
    </w:p>
    <w:p>
      <w:pPr>
        <w:pStyle w:val="BodyText"/>
      </w:pPr>
      <w:r>
        <w:t xml:space="preserve">15.9</w:t>
      </w:r>
    </w:p>
    <w:p>
      <w:pPr>
        <w:pStyle w:val="BodyText"/>
      </w:pPr>
      <w:r>
        <w:t xml:space="preserve">15.7</w:t>
      </w:r>
    </w:p>
    <w:p>
      <w:pPr>
        <w:pStyle w:val="BodyText"/>
      </w:pPr>
      <w:r>
        <w:t xml:space="preserve">16.2</w:t>
      </w:r>
    </w:p>
    <w:p>
      <w:pPr>
        <w:pStyle w:val="BodyText"/>
      </w:pPr>
      <w:r>
        <w:t xml:space="preserve">16.9</w:t>
      </w:r>
    </w:p>
    <w:p>
      <w:pPr>
        <w:pStyle w:val="BodyText"/>
      </w:pPr>
      <w:r>
        <w:t xml:space="preserve">13.7</w:t>
      </w:r>
    </w:p>
    <w:p>
      <w:pPr>
        <w:pStyle w:val="BodyText"/>
      </w:pPr>
    </w:p>
    <w:p>
      <w:pPr>
        <w:pStyle w:val="BodyText"/>
      </w:pPr>
      <w:r>
        <w:t xml:space="preserve">Pre-frail (0.10&lt;FI≤0.21)</w:t>
      </w:r>
    </w:p>
    <w:p>
      <w:pPr>
        <w:pStyle w:val="BodyText"/>
      </w:pPr>
      <w:r>
        <w:t xml:space="preserve">51.2</w:t>
      </w:r>
    </w:p>
    <w:p>
      <w:pPr>
        <w:pStyle w:val="BodyText"/>
      </w:pPr>
      <w:r>
        <w:t xml:space="preserve">51.7</w:t>
      </w:r>
    </w:p>
    <w:p>
      <w:pPr>
        <w:pStyle w:val="BodyText"/>
      </w:pPr>
      <w:r>
        <w:t xml:space="preserve">50.8</w:t>
      </w:r>
    </w:p>
    <w:p>
      <w:pPr>
        <w:pStyle w:val="BodyText"/>
      </w:pPr>
      <w:r>
        <w:t xml:space="preserve">51.9</w:t>
      </w:r>
    </w:p>
    <w:p>
      <w:pPr>
        <w:pStyle w:val="BodyText"/>
      </w:pPr>
      <w:r>
        <w:t xml:space="preserve">49.8</w:t>
      </w:r>
    </w:p>
    <w:p>
      <w:pPr>
        <w:pStyle w:val="BodyText"/>
      </w:pPr>
    </w:p>
    <w:p>
      <w:pPr>
        <w:pStyle w:val="BodyText"/>
      </w:pPr>
      <w:r>
        <w:t xml:space="preserve">Frail (FI&gt;0.21)</w:t>
      </w:r>
    </w:p>
    <w:p>
      <w:pPr>
        <w:pStyle w:val="BodyText"/>
      </w:pPr>
      <w:r>
        <w:t xml:space="preserve">32.9</w:t>
      </w:r>
    </w:p>
    <w:p>
      <w:pPr>
        <w:pStyle w:val="BodyText"/>
      </w:pPr>
      <w:r>
        <w:t xml:space="preserve">32.7</w:t>
      </w:r>
    </w:p>
    <w:p>
      <w:pPr>
        <w:pStyle w:val="BodyText"/>
      </w:pPr>
      <w:r>
        <w:t xml:space="preserve">33.1</w:t>
      </w:r>
    </w:p>
    <w:p>
      <w:pPr>
        <w:pStyle w:val="BodyText"/>
      </w:pPr>
      <w:r>
        <w:t xml:space="preserve">31.2</w:t>
      </w:r>
    </w:p>
    <w:p>
      <w:pPr>
        <w:pStyle w:val="BodyText"/>
      </w:pPr>
      <w:r>
        <w:t xml:space="preserve">36.5</w:t>
      </w:r>
    </w:p>
    <w:p>
      <w:pPr>
        <w:pStyle w:val="BodyText"/>
      </w:pPr>
    </w:p>
    <w:p>
      <w:pPr>
        <w:pStyle w:val="BodyText"/>
      </w:pPr>
      <w:r>
        <w:t xml:space="preserve">Table values are mean (standard deviation) or percentage.</w:t>
      </w:r>
    </w:p>
    <w:p>
      <w:pPr>
        <w:pStyle w:val="BodyText"/>
      </w:pPr>
      <w:r>
        <w:t xml:space="preserve">a</w:t>
      </w:r>
      <w:r>
        <w:t xml:space="preserve"> </w:t>
      </w:r>
      <w:r>
        <w:t xml:space="preserve">P-values computed using Wilcoxon rank sum test for continuous variables and chi-square test for categorical variables.</w:t>
      </w:r>
    </w:p>
    <w:p>
      <w:pPr>
        <w:pStyle w:val="BodyText"/>
      </w:pPr>
      <w:r>
        <w:t xml:space="preserve">b</w:t>
      </w:r>
      <w:r>
        <w:t xml:space="preserve"> </w:t>
      </w:r>
      <w:r>
        <w:t xml:space="preserve">Hypothesis tests compare the characteristics of participants included versus excluded from the ancillary study of blood pressure levels using data from the electronic health record.</w:t>
      </w:r>
    </w:p>
    <w:p>
      <w:pPr>
        <w:pStyle w:val="BodyText"/>
      </w:pPr>
      <w:r>
        <w:t xml:space="preserve">c</w:t>
      </w:r>
      <w:r>
        <w:t xml:space="preserve"> </w:t>
      </w:r>
      <w:r>
        <w:t xml:space="preserve">Chronic Kidney Disease was defined by an estimated glomerular filtration rate &lt;60 ml/min/1.73 m</w:t>
      </w:r>
      <w:r>
        <w:t xml:space="preserve">2</w:t>
      </w:r>
      <w:r>
        <w:t xml:space="preserve"> </w:t>
      </w:r>
      <w:r>
        <w:t xml:space="preserve">based on the 2021 CKD-EPI creatinine equation.</w:t>
      </w:r>
    </w:p>
    <w:p>
      <w:pPr>
        <w:pStyle w:val="BodyText"/>
      </w:pPr>
      <w:r>
        <w:t xml:space="preserve">Abbreviations: EHR = electronic health records; FI = frailty index; and MoCA = Montreal cognitive assessment</w:t>
      </w:r>
    </w:p>
    <w:p>
      <w:pPr>
        <w:pStyle w:val="BodyText"/>
      </w:pPr>
    </w:p>
    <w:bookmarkStart w:id="75" w:name="Xde699d91f108be1b52aaa3b8ca8e8b21506038d"/>
    <w:bookmarkEnd w:id="75"/>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p>
      <w:pPr>
        <w:pStyle w:val="BodyText"/>
      </w:pPr>
    </w:p>
    <w:p>
      <w:pPr>
        <w:pStyle w:val="BodyText"/>
      </w:pPr>
      <w:r>
        <w:t xml:space="preserve"> </w:t>
      </w:r>
    </w:p>
    <w:p>
      <w:pPr>
        <w:pStyle w:val="BodyText"/>
      </w:pPr>
      <w:r>
        <w:t xml:space="preserve">Trial Phase</w:t>
      </w:r>
    </w:p>
    <w:p>
      <w:pPr>
        <w:pStyle w:val="BodyText"/>
      </w:pPr>
      <w:r>
        <w:t xml:space="preserve">Observational Phase</w:t>
      </w:r>
    </w:p>
    <w:p>
      <w:pPr>
        <w:pStyle w:val="BodyText"/>
      </w:pPr>
      <w:r>
        <w:t xml:space="preserve">N Events / N Total</w:t>
      </w:r>
    </w:p>
    <w:p>
      <w:pPr>
        <w:pStyle w:val="BodyText"/>
      </w:pPr>
      <w:r>
        <w:t xml:space="preserve">Incidence</w:t>
      </w:r>
      <w:r>
        <w:t xml:space="preserve">(95% CI)</w:t>
      </w:r>
      <w:r>
        <w:t xml:space="preserve">a</w:t>
      </w:r>
    </w:p>
    <w:p>
      <w:pPr>
        <w:pStyle w:val="BodyText"/>
      </w:pPr>
      <w:r>
        <w:t xml:space="preserve">Hazard Ratio</w:t>
      </w:r>
      <w:r>
        <w:t xml:space="preserve">(95% CI)</w:t>
      </w:r>
    </w:p>
    <w:p>
      <w:pPr>
        <w:pStyle w:val="BodyText"/>
      </w:pPr>
      <w:r>
        <w:t xml:space="preserve">N Events / N Total</w:t>
      </w:r>
    </w:p>
    <w:p>
      <w:pPr>
        <w:pStyle w:val="BodyText"/>
      </w:pPr>
      <w:r>
        <w:t xml:space="preserve">Incidence</w:t>
      </w:r>
      <w:r>
        <w:t xml:space="preserve">(95% CI)</w:t>
      </w:r>
    </w:p>
    <w:p>
      <w:pPr>
        <w:pStyle w:val="BodyText"/>
      </w:pPr>
      <w:r>
        <w:t xml:space="preserve">Hazard Ratio</w:t>
      </w:r>
      <w:r>
        <w:t xml:space="preserve">(95% CI)</w:t>
      </w:r>
    </w:p>
    <w:p>
      <w:pPr>
        <w:pStyle w:val="BodyText"/>
      </w:pPr>
      <w:r>
        <w:t xml:space="preserve">Standard</w:t>
      </w:r>
    </w:p>
    <w:p>
      <w:pPr>
        <w:pStyle w:val="BodyText"/>
      </w:pPr>
      <w:r>
        <w:t xml:space="preserve">Intensive</w:t>
      </w:r>
    </w:p>
    <w:p>
      <w:pPr>
        <w:pStyle w:val="BodyText"/>
      </w:pPr>
      <w:r>
        <w:t xml:space="preserve">Standard</w:t>
      </w:r>
    </w:p>
    <w:p>
      <w:pPr>
        <w:pStyle w:val="BodyText"/>
      </w:pPr>
      <w:r>
        <w:t xml:space="preserve">Intensive</w:t>
      </w:r>
    </w:p>
    <w:p>
      <w:pPr>
        <w:pStyle w:val="BodyText"/>
      </w:pPr>
      <w:r>
        <w:t xml:space="preserve">Standard</w:t>
      </w:r>
    </w:p>
    <w:p>
      <w:pPr>
        <w:pStyle w:val="BodyText"/>
      </w:pPr>
      <w:r>
        <w:t xml:space="preserve">Intensive</w:t>
      </w:r>
    </w:p>
    <w:p>
      <w:pPr>
        <w:pStyle w:val="BodyText"/>
      </w:pPr>
      <w:r>
        <w:t xml:space="preserve">Standard</w:t>
      </w:r>
    </w:p>
    <w:p>
      <w:pPr>
        <w:pStyle w:val="BodyText"/>
      </w:pPr>
      <w:r>
        <w:t xml:space="preserve">Intensive</w:t>
      </w:r>
    </w:p>
    <w:p>
      <w:pPr>
        <w:pStyle w:val="BodyText"/>
      </w:pPr>
      <w:r>
        <w:t xml:space="preserve">Overall</w:t>
      </w:r>
    </w:p>
    <w:p>
      <w:pPr>
        <w:pStyle w:val="BodyText"/>
      </w:pPr>
      <w:r>
        <w:t xml:space="preserve">290 / 4,683</w:t>
      </w:r>
    </w:p>
    <w:p>
      <w:pPr>
        <w:pStyle w:val="BodyText"/>
      </w:pPr>
      <w:r>
        <w:t xml:space="preserve">241 / 4,678</w:t>
      </w:r>
    </w:p>
    <w:p>
      <w:pPr>
        <w:pStyle w:val="BodyText"/>
      </w:pPr>
      <w:r>
        <w:t xml:space="preserve">15.1</w:t>
      </w:r>
      <w:r>
        <w:t xml:space="preserve">(13.4, 16.9)</w:t>
      </w:r>
    </w:p>
    <w:p>
      <w:pPr>
        <w:pStyle w:val="BodyText"/>
      </w:pPr>
      <w:r>
        <w:t xml:space="preserve">12.5</w:t>
      </w:r>
      <w:r>
        <w:t xml:space="preserve">(11.0, 14.2)</w:t>
      </w:r>
    </w:p>
    <w:p>
      <w:pPr>
        <w:pStyle w:val="BodyText"/>
      </w:pPr>
      <w:r>
        <w:t xml:space="preserve">0.83</w:t>
      </w:r>
      <w:r>
        <w:t xml:space="preserve">(0.68, 1.01)</w:t>
      </w:r>
    </w:p>
    <w:p>
      <w:pPr>
        <w:pStyle w:val="BodyText"/>
      </w:pPr>
      <w:r>
        <w:t xml:space="preserve">536 / 4,260</w:t>
      </w:r>
    </w:p>
    <w:p>
      <w:pPr>
        <w:pStyle w:val="BodyText"/>
      </w:pPr>
      <w:r>
        <w:t xml:space="preserve">577 / 4,274</w:t>
      </w:r>
    </w:p>
    <w:p>
      <w:pPr>
        <w:pStyle w:val="BodyText"/>
      </w:pPr>
      <w:r>
        <w:t xml:space="preserve">29.6</w:t>
      </w:r>
      <w:r>
        <w:t xml:space="preserve">(27.1, 32.1)</w:t>
      </w:r>
    </w:p>
    <w:p>
      <w:pPr>
        <w:pStyle w:val="BodyText"/>
      </w:pPr>
      <w:r>
        <w:t xml:space="preserve">31.9</w:t>
      </w:r>
      <w:r>
        <w:t xml:space="preserve">(29.3, 34.5)</w:t>
      </w:r>
    </w:p>
    <w:p>
      <w:pPr>
        <w:pStyle w:val="BodyText"/>
      </w:pPr>
      <w:r>
        <w:t xml:space="preserve">1.08</w:t>
      </w:r>
      <w:r>
        <w:t xml:space="preserve">(0.94, 1.23)</w:t>
      </w:r>
    </w:p>
    <w:p>
      <w:pPr>
        <w:pStyle w:val="BodyText"/>
      </w:pPr>
      <w:r>
        <w:t xml:space="preserve">Age group</w:t>
      </w:r>
    </w:p>
    <w:p>
      <w:pPr>
        <w:pStyle w:val="BodyText"/>
      </w:pPr>
      <w:r>
        <w:t xml:space="preserve">&lt;75 years</w:t>
      </w:r>
    </w:p>
    <w:p>
      <w:pPr>
        <w:pStyle w:val="BodyText"/>
      </w:pPr>
      <w:r>
        <w:t xml:space="preserve">137 / 3,364</w:t>
      </w:r>
    </w:p>
    <w:p>
      <w:pPr>
        <w:pStyle w:val="BodyText"/>
      </w:pPr>
      <w:r>
        <w:t xml:space="preserve">115 / 3,361</w:t>
      </w:r>
    </w:p>
    <w:p>
      <w:pPr>
        <w:pStyle w:val="BodyText"/>
      </w:pPr>
      <w:r>
        <w:t xml:space="preserve">9.7</w:t>
      </w:r>
      <w:r>
        <w:t xml:space="preserve">(8.2, 11.5)</w:t>
      </w:r>
    </w:p>
    <w:p>
      <w:pPr>
        <w:pStyle w:val="BodyText"/>
      </w:pPr>
      <w:r>
        <w:t xml:space="preserve">8.2</w:t>
      </w:r>
      <w:r>
        <w:t xml:space="preserve">(6.8, 9.8)</w:t>
      </w:r>
    </w:p>
    <w:p>
      <w:pPr>
        <w:pStyle w:val="BodyText"/>
      </w:pPr>
      <w:r>
        <w:t xml:space="preserve">0.84</w:t>
      </w:r>
      <w:r>
        <w:t xml:space="preserve">(0.63, 1.11)</w:t>
      </w:r>
    </w:p>
    <w:p>
      <w:pPr>
        <w:pStyle w:val="BodyText"/>
      </w:pPr>
      <w:r>
        <w:t xml:space="preserve">257 / 3,129</w:t>
      </w:r>
    </w:p>
    <w:p>
      <w:pPr>
        <w:pStyle w:val="BodyText"/>
      </w:pPr>
      <w:r>
        <w:t xml:space="preserve">246 / 3,123</w:t>
      </w:r>
    </w:p>
    <w:p>
      <w:pPr>
        <w:pStyle w:val="BodyText"/>
      </w:pPr>
      <w:r>
        <w:t xml:space="preserve">18.9</w:t>
      </w:r>
      <w:r>
        <w:t xml:space="preserve">(16.7, 21.3)</w:t>
      </w:r>
    </w:p>
    <w:p>
      <w:pPr>
        <w:pStyle w:val="BodyText"/>
      </w:pPr>
      <w:r>
        <w:t xml:space="preserve">18.1</w:t>
      </w:r>
      <w:r>
        <w:t xml:space="preserve">(15.9, 20.5)</w:t>
      </w:r>
    </w:p>
    <w:p>
      <w:pPr>
        <w:pStyle w:val="BodyText"/>
      </w:pPr>
      <w:r>
        <w:t xml:space="preserve">0.96</w:t>
      </w:r>
      <w:r>
        <w:t xml:space="preserve">(0.78, 1.17)</w:t>
      </w:r>
    </w:p>
    <w:p>
      <w:pPr>
        <w:pStyle w:val="BodyText"/>
      </w:pPr>
      <w:r>
        <w:t xml:space="preserve">≥75 years</w:t>
      </w:r>
    </w:p>
    <w:p>
      <w:pPr>
        <w:pStyle w:val="BodyText"/>
      </w:pPr>
      <w:r>
        <w:t xml:space="preserve">153 / 1,319</w:t>
      </w:r>
    </w:p>
    <w:p>
      <w:pPr>
        <w:pStyle w:val="BodyText"/>
      </w:pPr>
      <w:r>
        <w:t xml:space="preserve">126 / 1,317</w:t>
      </w:r>
    </w:p>
    <w:p>
      <w:pPr>
        <w:pStyle w:val="BodyText"/>
      </w:pPr>
      <w:r>
        <w:t xml:space="preserve">29.8</w:t>
      </w:r>
      <w:r>
        <w:t xml:space="preserve">(25.3, 34.7)</w:t>
      </w:r>
    </w:p>
    <w:p>
      <w:pPr>
        <w:pStyle w:val="BodyText"/>
      </w:pPr>
      <w:r>
        <w:t xml:space="preserve">24.3</w:t>
      </w:r>
      <w:r>
        <w:t xml:space="preserve">(20.3, 28.8)</w:t>
      </w:r>
    </w:p>
    <w:p>
      <w:pPr>
        <w:pStyle w:val="BodyText"/>
      </w:pPr>
      <w:r>
        <w:t xml:space="preserve">0.82</w:t>
      </w:r>
      <w:r>
        <w:t xml:space="preserve">(0.62, 1.07)</w:t>
      </w:r>
    </w:p>
    <w:p>
      <w:pPr>
        <w:pStyle w:val="BodyText"/>
      </w:pPr>
      <w:r>
        <w:t xml:space="preserve">279 / 1,131</w:t>
      </w:r>
    </w:p>
    <w:p>
      <w:pPr>
        <w:pStyle w:val="BodyText"/>
      </w:pPr>
      <w:r>
        <w:t xml:space="preserve">331 / 1,151</w:t>
      </w:r>
    </w:p>
    <w:p>
      <w:pPr>
        <w:pStyle w:val="BodyText"/>
      </w:pPr>
      <w:r>
        <w:t xml:space="preserve">61.6</w:t>
      </w:r>
      <w:r>
        <w:t xml:space="preserve">(54.7, 69.1)</w:t>
      </w:r>
    </w:p>
    <w:p>
      <w:pPr>
        <w:pStyle w:val="BodyText"/>
      </w:pPr>
      <w:r>
        <w:t xml:space="preserve">73.3</w:t>
      </w:r>
      <w:r>
        <w:t xml:space="preserve">(65.7, 81.5)</w:t>
      </w:r>
    </w:p>
    <w:p>
      <w:pPr>
        <w:pStyle w:val="BodyText"/>
      </w:pPr>
      <w:r>
        <w:t xml:space="preserve">1.21</w:t>
      </w:r>
      <w:r>
        <w:t xml:space="preserve">(1.00, 1.46)</w:t>
      </w:r>
    </w:p>
    <w:p>
      <w:pPr>
        <w:pStyle w:val="BodyText"/>
      </w:pPr>
      <w:r>
        <w:t xml:space="preserve">Sex</w:t>
      </w:r>
    </w:p>
    <w:p>
      <w:pPr>
        <w:pStyle w:val="BodyText"/>
      </w:pPr>
      <w:r>
        <w:t xml:space="preserve">Male</w:t>
      </w:r>
    </w:p>
    <w:p>
      <w:pPr>
        <w:pStyle w:val="BodyText"/>
      </w:pPr>
      <w:r>
        <w:t xml:space="preserve">212 / 3,035</w:t>
      </w:r>
    </w:p>
    <w:p>
      <w:pPr>
        <w:pStyle w:val="BodyText"/>
      </w:pPr>
      <w:r>
        <w:t xml:space="preserve">170 / 2,994</w:t>
      </w:r>
    </w:p>
    <w:p>
      <w:pPr>
        <w:pStyle w:val="BodyText"/>
      </w:pPr>
      <w:r>
        <w:t xml:space="preserve">17.2</w:t>
      </w:r>
      <w:r>
        <w:t xml:space="preserve">(15.0, 19.6)</w:t>
      </w:r>
    </w:p>
    <w:p>
      <w:pPr>
        <w:pStyle w:val="BodyText"/>
      </w:pPr>
      <w:r>
        <w:t xml:space="preserve">13.8</w:t>
      </w:r>
      <w:r>
        <w:t xml:space="preserve">(11.9, 16.0)</w:t>
      </w:r>
    </w:p>
    <w:p>
      <w:pPr>
        <w:pStyle w:val="BodyText"/>
      </w:pPr>
      <w:r>
        <w:t xml:space="preserve">0.80</w:t>
      </w:r>
      <w:r>
        <w:t xml:space="preserve">(0.64, 1.01)</w:t>
      </w:r>
    </w:p>
    <w:p>
      <w:pPr>
        <w:pStyle w:val="BodyText"/>
      </w:pPr>
      <w:r>
        <w:t xml:space="preserve">353 / 2,743</w:t>
      </w:r>
    </w:p>
    <w:p>
      <w:pPr>
        <w:pStyle w:val="BodyText"/>
      </w:pPr>
      <w:r>
        <w:t xml:space="preserve">400 / 2,745</w:t>
      </w:r>
    </w:p>
    <w:p>
      <w:pPr>
        <w:pStyle w:val="BodyText"/>
      </w:pPr>
      <w:r>
        <w:t xml:space="preserve">30.3</w:t>
      </w:r>
      <w:r>
        <w:t xml:space="preserve">(27.3, 33.6)</w:t>
      </w:r>
    </w:p>
    <w:p>
      <w:pPr>
        <w:pStyle w:val="BodyText"/>
      </w:pPr>
      <w:r>
        <w:t xml:space="preserve">34.6</w:t>
      </w:r>
      <w:r>
        <w:t xml:space="preserve">(31.3, 38.1)</w:t>
      </w:r>
    </w:p>
    <w:p>
      <w:pPr>
        <w:pStyle w:val="BodyText"/>
      </w:pPr>
      <w:r>
        <w:t xml:space="preserve">1.14</w:t>
      </w:r>
      <w:r>
        <w:t xml:space="preserve">(0.97, 1.34)</w:t>
      </w:r>
    </w:p>
    <w:p>
      <w:pPr>
        <w:pStyle w:val="BodyText"/>
      </w:pPr>
      <w:r>
        <w:t xml:space="preserve">Female</w:t>
      </w:r>
    </w:p>
    <w:p>
      <w:pPr>
        <w:pStyle w:val="BodyText"/>
      </w:pPr>
      <w:r>
        <w:t xml:space="preserve">78 / 1,648</w:t>
      </w:r>
    </w:p>
    <w:p>
      <w:pPr>
        <w:pStyle w:val="BodyText"/>
      </w:pPr>
      <w:r>
        <w:t xml:space="preserve">71 / 1,684</w:t>
      </w:r>
    </w:p>
    <w:p>
      <w:pPr>
        <w:pStyle w:val="BodyText"/>
      </w:pPr>
      <w:r>
        <w:t xml:space="preserve">11.4</w:t>
      </w:r>
      <w:r>
        <w:t xml:space="preserve">(9.0, 14.1)</w:t>
      </w:r>
    </w:p>
    <w:p>
      <w:pPr>
        <w:pStyle w:val="BodyText"/>
      </w:pPr>
      <w:r>
        <w:t xml:space="preserve">10.2</w:t>
      </w:r>
      <w:r>
        <w:t xml:space="preserve">(8.0, 12.8)</w:t>
      </w:r>
    </w:p>
    <w:p>
      <w:pPr>
        <w:pStyle w:val="BodyText"/>
      </w:pPr>
      <w:r>
        <w:t xml:space="preserve">0.89</w:t>
      </w:r>
      <w:r>
        <w:t xml:space="preserve">(0.61, 1.28)</w:t>
      </w:r>
    </w:p>
    <w:p>
      <w:pPr>
        <w:pStyle w:val="BodyText"/>
      </w:pPr>
      <w:r>
        <w:t xml:space="preserve">183 / 1,517</w:t>
      </w:r>
    </w:p>
    <w:p>
      <w:pPr>
        <w:pStyle w:val="BodyText"/>
      </w:pPr>
      <w:r>
        <w:t xml:space="preserve">177 / 1,529</w:t>
      </w:r>
    </w:p>
    <w:p>
      <w:pPr>
        <w:pStyle w:val="BodyText"/>
      </w:pPr>
      <w:r>
        <w:t xml:space="preserve">28.2</w:t>
      </w:r>
      <w:r>
        <w:t xml:space="preserve">(24.3, 32.5)</w:t>
      </w:r>
    </w:p>
    <w:p>
      <w:pPr>
        <w:pStyle w:val="BodyText"/>
      </w:pPr>
      <w:r>
        <w:t xml:space="preserve">27.0</w:t>
      </w:r>
      <w:r>
        <w:t xml:space="preserve">(23.2, 31.2)</w:t>
      </w:r>
    </w:p>
    <w:p>
      <w:pPr>
        <w:pStyle w:val="BodyText"/>
      </w:pPr>
      <w:r>
        <w:t xml:space="preserve">0.94</w:t>
      </w:r>
      <w:r>
        <w:t xml:space="preserve">(0.74, 1.20)</w:t>
      </w:r>
    </w:p>
    <w:p>
      <w:pPr>
        <w:pStyle w:val="BodyText"/>
      </w:pPr>
      <w:r>
        <w:t xml:space="preserve">Race</w:t>
      </w:r>
    </w:p>
    <w:p>
      <w:pPr>
        <w:pStyle w:val="BodyText"/>
      </w:pPr>
      <w:r>
        <w:t xml:space="preserve">Non-Black</w:t>
      </w:r>
    </w:p>
    <w:p>
      <w:pPr>
        <w:pStyle w:val="BodyText"/>
      </w:pPr>
      <w:r>
        <w:t xml:space="preserve">209 / 3,190</w:t>
      </w:r>
    </w:p>
    <w:p>
      <w:pPr>
        <w:pStyle w:val="BodyText"/>
      </w:pPr>
      <w:r>
        <w:t xml:space="preserve">173 / 3,224</w:t>
      </w:r>
    </w:p>
    <w:p>
      <w:pPr>
        <w:pStyle w:val="BodyText"/>
      </w:pPr>
      <w:r>
        <w:t xml:space="preserve">16.0</w:t>
      </w:r>
      <w:r>
        <w:t xml:space="preserve">(13.9, 18.2)</w:t>
      </w:r>
    </w:p>
    <w:p>
      <w:pPr>
        <w:pStyle w:val="BodyText"/>
      </w:pPr>
      <w:r>
        <w:t xml:space="preserve">13.0</w:t>
      </w:r>
      <w:r>
        <w:t xml:space="preserve">(11.2, 15.0)</w:t>
      </w:r>
    </w:p>
    <w:p>
      <w:pPr>
        <w:pStyle w:val="BodyText"/>
      </w:pPr>
      <w:r>
        <w:t xml:space="preserve">0.80</w:t>
      </w:r>
      <w:r>
        <w:t xml:space="preserve">(0.64, 1.01)</w:t>
      </w:r>
    </w:p>
    <w:p>
      <w:pPr>
        <w:pStyle w:val="BodyText"/>
      </w:pPr>
      <w:r>
        <w:t xml:space="preserve">386 / 2,897</w:t>
      </w:r>
    </w:p>
    <w:p>
      <w:pPr>
        <w:pStyle w:val="BodyText"/>
      </w:pPr>
      <w:r>
        <w:t xml:space="preserve">426 / 2,953</w:t>
      </w:r>
    </w:p>
    <w:p>
      <w:pPr>
        <w:pStyle w:val="BodyText"/>
      </w:pPr>
      <w:r>
        <w:t xml:space="preserve">31.4</w:t>
      </w:r>
      <w:r>
        <w:t xml:space="preserve">(28.4, 34.6)</w:t>
      </w:r>
    </w:p>
    <w:p>
      <w:pPr>
        <w:pStyle w:val="BodyText"/>
      </w:pPr>
      <w:r>
        <w:t xml:space="preserve">34.2</w:t>
      </w:r>
      <w:r>
        <w:t xml:space="preserve">(31.1, 37.6)</w:t>
      </w:r>
    </w:p>
    <w:p>
      <w:pPr>
        <w:pStyle w:val="BodyText"/>
      </w:pPr>
      <w:r>
        <w:t xml:space="preserve">1.10</w:t>
      </w:r>
      <w:r>
        <w:t xml:space="preserve">(0.94, 1.28)</w:t>
      </w:r>
    </w:p>
    <w:p>
      <w:pPr>
        <w:pStyle w:val="BodyText"/>
      </w:pPr>
      <w:r>
        <w:t xml:space="preserve">Black</w:t>
      </w:r>
    </w:p>
    <w:p>
      <w:pPr>
        <w:pStyle w:val="BodyText"/>
      </w:pPr>
      <w:r>
        <w:t xml:space="preserve">81 / 1,493</w:t>
      </w:r>
    </w:p>
    <w:p>
      <w:pPr>
        <w:pStyle w:val="BodyText"/>
      </w:pPr>
      <w:r>
        <w:t xml:space="preserve">68 / 1,454</w:t>
      </w:r>
    </w:p>
    <w:p>
      <w:pPr>
        <w:pStyle w:val="BodyText"/>
      </w:pPr>
      <w:r>
        <w:t xml:space="preserve">13.2</w:t>
      </w:r>
      <w:r>
        <w:t xml:space="preserve">(10.5, 16.3)</w:t>
      </w:r>
    </w:p>
    <w:p>
      <w:pPr>
        <w:pStyle w:val="BodyText"/>
      </w:pPr>
      <w:r>
        <w:t xml:space="preserve">11.5</w:t>
      </w:r>
      <w:r>
        <w:t xml:space="preserve">(8.9, 14.4)</w:t>
      </w:r>
    </w:p>
    <w:p>
      <w:pPr>
        <w:pStyle w:val="BodyText"/>
      </w:pPr>
      <w:r>
        <w:t xml:space="preserve">0.85</w:t>
      </w:r>
      <w:r>
        <w:t xml:space="preserve">(0.59, 1.24)</w:t>
      </w:r>
    </w:p>
    <w:p>
      <w:pPr>
        <w:pStyle w:val="BodyText"/>
      </w:pPr>
      <w:r>
        <w:t xml:space="preserve">150 / 1,363</w:t>
      </w:r>
    </w:p>
    <w:p>
      <w:pPr>
        <w:pStyle w:val="BodyText"/>
      </w:pPr>
      <w:r>
        <w:t xml:space="preserve">151 / 1,321</w:t>
      </w:r>
    </w:p>
    <w:p>
      <w:pPr>
        <w:pStyle w:val="BodyText"/>
      </w:pPr>
      <w:r>
        <w:t xml:space="preserve">25.7</w:t>
      </w:r>
      <w:r>
        <w:t xml:space="preserve">(21.8, 30.0)</w:t>
      </w:r>
    </w:p>
    <w:p>
      <w:pPr>
        <w:pStyle w:val="BodyText"/>
      </w:pPr>
      <w:r>
        <w:t xml:space="preserve">26.7</w:t>
      </w:r>
      <w:r>
        <w:t xml:space="preserve">(22.6, 31.1)</w:t>
      </w:r>
    </w:p>
    <w:p>
      <w:pPr>
        <w:pStyle w:val="BodyText"/>
      </w:pPr>
      <w:r>
        <w:t xml:space="preserve">1.02</w:t>
      </w:r>
      <w:r>
        <w:t xml:space="preserve">(0.78, 1.32)</w:t>
      </w:r>
    </w:p>
    <w:p>
      <w:pPr>
        <w:pStyle w:val="BodyText"/>
      </w:pPr>
      <w:r>
        <w:t xml:space="preserve">Chronic Kidney Disease</w:t>
      </w:r>
      <w:r>
        <w:t xml:space="preserve">b</w:t>
      </w:r>
    </w:p>
    <w:p>
      <w:pPr>
        <w:pStyle w:val="BodyText"/>
      </w:pPr>
      <w:r>
        <w:t xml:space="preserve">No</w:t>
      </w:r>
    </w:p>
    <w:p>
      <w:pPr>
        <w:pStyle w:val="BodyText"/>
      </w:pPr>
      <w:r>
        <w:t xml:space="preserve">163 / 3,491</w:t>
      </w:r>
    </w:p>
    <w:p>
      <w:pPr>
        <w:pStyle w:val="BodyText"/>
      </w:pPr>
      <w:r>
        <w:t xml:space="preserve">126 / 3,485</w:t>
      </w:r>
    </w:p>
    <w:p>
      <w:pPr>
        <w:pStyle w:val="BodyText"/>
      </w:pPr>
      <w:r>
        <w:t xml:space="preserve">11.3</w:t>
      </w:r>
      <w:r>
        <w:t xml:space="preserve">(9.7, 13.1)</w:t>
      </w:r>
    </w:p>
    <w:p>
      <w:pPr>
        <w:pStyle w:val="BodyText"/>
      </w:pPr>
      <w:r>
        <w:t xml:space="preserve">8.7</w:t>
      </w:r>
      <w:r>
        <w:t xml:space="preserve">(7.3, 10.4)</w:t>
      </w:r>
    </w:p>
    <w:p>
      <w:pPr>
        <w:pStyle w:val="BodyText"/>
      </w:pPr>
      <w:r>
        <w:t xml:space="preserve">0.77</w:t>
      </w:r>
      <w:r>
        <w:t xml:space="preserve">(0.59, 1.01)</w:t>
      </w:r>
    </w:p>
    <w:p>
      <w:pPr>
        <w:pStyle w:val="BodyText"/>
      </w:pPr>
      <w:r>
        <w:t xml:space="preserve">316 / 3,232</w:t>
      </w:r>
    </w:p>
    <w:p>
      <w:pPr>
        <w:pStyle w:val="BodyText"/>
      </w:pPr>
      <w:r>
        <w:t xml:space="preserve">349 / 3,250</w:t>
      </w:r>
    </w:p>
    <w:p>
      <w:pPr>
        <w:pStyle w:val="BodyText"/>
      </w:pPr>
      <w:r>
        <w:t xml:space="preserve">22.7</w:t>
      </w:r>
      <w:r>
        <w:t xml:space="preserve">(20.3, 25.2)</w:t>
      </w:r>
    </w:p>
    <w:p>
      <w:pPr>
        <w:pStyle w:val="BodyText"/>
      </w:pPr>
      <w:r>
        <w:t xml:space="preserve">25.0</w:t>
      </w:r>
      <w:r>
        <w:t xml:space="preserve">(22.5, 27.7)</w:t>
      </w:r>
    </w:p>
    <w:p>
      <w:pPr>
        <w:pStyle w:val="BodyText"/>
      </w:pPr>
      <w:r>
        <w:t xml:space="preserve">1.08</w:t>
      </w:r>
      <w:r>
        <w:t xml:space="preserve">(0.91, 1.29)</w:t>
      </w:r>
    </w:p>
    <w:p>
      <w:pPr>
        <w:pStyle w:val="BodyText"/>
      </w:pPr>
      <w:r>
        <w:t xml:space="preserve">Yes</w:t>
      </w:r>
    </w:p>
    <w:p>
      <w:pPr>
        <w:pStyle w:val="BodyText"/>
      </w:pPr>
      <w:r>
        <w:t xml:space="preserve">125 / 1,161</w:t>
      </w:r>
    </w:p>
    <w:p>
      <w:pPr>
        <w:pStyle w:val="BodyText"/>
      </w:pPr>
      <w:r>
        <w:t xml:space="preserve">112 / 1,170</w:t>
      </w:r>
    </w:p>
    <w:p>
      <w:pPr>
        <w:pStyle w:val="BodyText"/>
      </w:pPr>
      <w:r>
        <w:t xml:space="preserve">26.5</w:t>
      </w:r>
      <w:r>
        <w:t xml:space="preserve">(22.1, 31.4)</w:t>
      </w:r>
    </w:p>
    <w:p>
      <w:pPr>
        <w:pStyle w:val="BodyText"/>
      </w:pPr>
      <w:r>
        <w:t xml:space="preserve">23.6</w:t>
      </w:r>
      <w:r>
        <w:t xml:space="preserve">(19.5, 28.2)</w:t>
      </w:r>
    </w:p>
    <w:p>
      <w:pPr>
        <w:pStyle w:val="BodyText"/>
      </w:pPr>
      <w:r>
        <w:t xml:space="preserve">0.89</w:t>
      </w:r>
      <w:r>
        <w:t xml:space="preserve">(0.66, 1.19)</w:t>
      </w:r>
    </w:p>
    <w:p>
      <w:pPr>
        <w:pStyle w:val="BodyText"/>
      </w:pPr>
      <w:r>
        <w:t xml:space="preserve">220 / 1,007</w:t>
      </w:r>
    </w:p>
    <w:p>
      <w:pPr>
        <w:pStyle w:val="BodyText"/>
      </w:pPr>
      <w:r>
        <w:t xml:space="preserve">227 / 1,012</w:t>
      </w:r>
    </w:p>
    <w:p>
      <w:pPr>
        <w:pStyle w:val="BodyText"/>
      </w:pPr>
      <w:r>
        <w:t xml:space="preserve">53.8</w:t>
      </w:r>
      <w:r>
        <w:t xml:space="preserve">(47.0, 61.2)</w:t>
      </w:r>
    </w:p>
    <w:p>
      <w:pPr>
        <w:pStyle w:val="BodyText"/>
      </w:pPr>
      <w:r>
        <w:t xml:space="preserve">55.5</w:t>
      </w:r>
      <w:r>
        <w:t xml:space="preserve">(48.6, 63.1)</w:t>
      </w:r>
    </w:p>
    <w:p>
      <w:pPr>
        <w:pStyle w:val="BodyText"/>
      </w:pPr>
      <w:r>
        <w:t xml:space="preserve">1.02</w:t>
      </w:r>
      <w:r>
        <w:t xml:space="preserve">(0.82, 1.26)</w:t>
      </w:r>
    </w:p>
    <w:p>
      <w:pPr>
        <w:pStyle w:val="BodyText"/>
      </w:pPr>
      <w:r>
        <w:t xml:space="preserve">Cognitive Function</w:t>
      </w:r>
    </w:p>
    <w:p>
      <w:pPr>
        <w:pStyle w:val="BodyText"/>
      </w:pPr>
      <w:r>
        <w:t xml:space="preserve">&gt;10th percentile</w:t>
      </w:r>
    </w:p>
    <w:p>
      <w:pPr>
        <w:pStyle w:val="BodyText"/>
      </w:pPr>
      <w:r>
        <w:t xml:space="preserve">212 / 3,397</w:t>
      </w:r>
    </w:p>
    <w:p>
      <w:pPr>
        <w:pStyle w:val="BodyText"/>
      </w:pPr>
      <w:r>
        <w:t xml:space="preserve">152 / 3,389</w:t>
      </w:r>
    </w:p>
    <w:p>
      <w:pPr>
        <w:pStyle w:val="BodyText"/>
      </w:pPr>
      <w:r>
        <w:t xml:space="preserve">15.1</w:t>
      </w:r>
      <w:r>
        <w:t xml:space="preserve">(13.1, 17.2)</w:t>
      </w:r>
    </w:p>
    <w:p>
      <w:pPr>
        <w:pStyle w:val="BodyText"/>
      </w:pPr>
      <w:r>
        <w:t xml:space="preserve">10.8</w:t>
      </w:r>
      <w:r>
        <w:t xml:space="preserve">(9.1, 12.6)</w:t>
      </w:r>
    </w:p>
    <w:p>
      <w:pPr>
        <w:pStyle w:val="BodyText"/>
      </w:pPr>
      <w:r>
        <w:t xml:space="preserve">0.70</w:t>
      </w:r>
      <w:r>
        <w:t xml:space="preserve">(0.55, 0.89)</w:t>
      </w:r>
    </w:p>
    <w:p>
      <w:pPr>
        <w:pStyle w:val="BodyText"/>
      </w:pPr>
      <w:r>
        <w:t xml:space="preserve">357 / 3,101</w:t>
      </w:r>
    </w:p>
    <w:p>
      <w:pPr>
        <w:pStyle w:val="BodyText"/>
      </w:pPr>
      <w:r>
        <w:t xml:space="preserve">408 / 3,125</w:t>
      </w:r>
    </w:p>
    <w:p>
      <w:pPr>
        <w:pStyle w:val="BodyText"/>
      </w:pPr>
      <w:r>
        <w:t xml:space="preserve">26.9</w:t>
      </w:r>
      <w:r>
        <w:t xml:space="preserve">(24.2, 29.8)</w:t>
      </w:r>
    </w:p>
    <w:p>
      <w:pPr>
        <w:pStyle w:val="BodyText"/>
      </w:pPr>
      <w:r>
        <w:t xml:space="preserve">30.7</w:t>
      </w:r>
      <w:r>
        <w:t xml:space="preserve">(27.8, 33.8)</w:t>
      </w:r>
    </w:p>
    <w:p>
      <w:pPr>
        <w:pStyle w:val="BodyText"/>
      </w:pPr>
      <w:r>
        <w:t xml:space="preserve">1.13</w:t>
      </w:r>
      <w:r>
        <w:t xml:space="preserve">(0.96, 1.33)</w:t>
      </w:r>
    </w:p>
    <w:p>
      <w:pPr>
        <w:pStyle w:val="BodyText"/>
      </w:pPr>
      <w:r>
        <w:t xml:space="preserve">≤10th percentile</w:t>
      </w:r>
    </w:p>
    <w:p>
      <w:pPr>
        <w:pStyle w:val="BodyText"/>
      </w:pPr>
      <w:r>
        <w:t xml:space="preserve">77 / 1,253</w:t>
      </w:r>
    </w:p>
    <w:p>
      <w:pPr>
        <w:pStyle w:val="BodyText"/>
      </w:pPr>
      <w:r>
        <w:t xml:space="preserve">83 / 1,257</w:t>
      </w:r>
    </w:p>
    <w:p>
      <w:pPr>
        <w:pStyle w:val="BodyText"/>
      </w:pPr>
      <w:r>
        <w:t xml:space="preserve">15.3</w:t>
      </w:r>
      <w:r>
        <w:t xml:space="preserve">(12.1, 19.0)</w:t>
      </w:r>
    </w:p>
    <w:p>
      <w:pPr>
        <w:pStyle w:val="BodyText"/>
      </w:pPr>
      <w:r>
        <w:t xml:space="preserve">16.5</w:t>
      </w:r>
      <w:r>
        <w:t xml:space="preserve">(13.2, 20.3)</w:t>
      </w:r>
    </w:p>
    <w:p>
      <w:pPr>
        <w:pStyle w:val="BodyText"/>
      </w:pPr>
      <w:r>
        <w:t xml:space="preserve">1.13</w:t>
      </w:r>
      <w:r>
        <w:t xml:space="preserve">(0.79, 1.62)</w:t>
      </w:r>
    </w:p>
    <w:p>
      <w:pPr>
        <w:pStyle w:val="BodyText"/>
      </w:pPr>
      <w:r>
        <w:t xml:space="preserve">176 / 1,135</w:t>
      </w:r>
    </w:p>
    <w:p>
      <w:pPr>
        <w:pStyle w:val="BodyText"/>
      </w:pPr>
      <w:r>
        <w:t xml:space="preserve">165 / 1,131</w:t>
      </w:r>
    </w:p>
    <w:p>
      <w:pPr>
        <w:pStyle w:val="BodyText"/>
      </w:pPr>
      <w:r>
        <w:t xml:space="preserve">36.8</w:t>
      </w:r>
      <w:r>
        <w:t xml:space="preserve">(31.7, 42.6)</w:t>
      </w:r>
    </w:p>
    <w:p>
      <w:pPr>
        <w:pStyle w:val="BodyText"/>
      </w:pPr>
      <w:r>
        <w:t xml:space="preserve">34.7</w:t>
      </w:r>
      <w:r>
        <w:t xml:space="preserve">(29.6, 40.2)</w:t>
      </w:r>
    </w:p>
    <w:p>
      <w:pPr>
        <w:pStyle w:val="BodyText"/>
      </w:pPr>
      <w:r>
        <w:t xml:space="preserve">0.98</w:t>
      </w:r>
      <w:r>
        <w:t xml:space="preserve">(0.76, 1.26)</w:t>
      </w:r>
    </w:p>
    <w:p>
      <w:pPr>
        <w:pStyle w:val="BodyText"/>
      </w:pPr>
      <w:r>
        <w:t xml:space="preserve">Frailty Status</w:t>
      </w:r>
    </w:p>
    <w:p>
      <w:pPr>
        <w:pStyle w:val="BodyText"/>
      </w:pPr>
      <w:r>
        <w:t xml:space="preserve">Fit (FI ≤ 0.10)</w:t>
      </w:r>
    </w:p>
    <w:p>
      <w:pPr>
        <w:pStyle w:val="BodyText"/>
      </w:pPr>
      <w:r>
        <w:t xml:space="preserve">21 / 729</w:t>
      </w:r>
    </w:p>
    <w:p>
      <w:pPr>
        <w:pStyle w:val="BodyText"/>
      </w:pPr>
      <w:r>
        <w:t xml:space="preserve">18 / 751</w:t>
      </w:r>
    </w:p>
    <w:p>
      <w:pPr>
        <w:pStyle w:val="BodyText"/>
      </w:pPr>
      <w:r>
        <w:t xml:space="preserve">6.9</w:t>
      </w:r>
      <w:r>
        <w:t xml:space="preserve">(4.4, 10.3)</w:t>
      </w:r>
    </w:p>
    <w:p>
      <w:pPr>
        <w:pStyle w:val="BodyText"/>
      </w:pPr>
      <w:r>
        <w:t xml:space="preserve">5.7</w:t>
      </w:r>
      <w:r>
        <w:t xml:space="preserve">(3.4, 8.7)</w:t>
      </w:r>
    </w:p>
    <w:p>
      <w:pPr>
        <w:pStyle w:val="BodyText"/>
      </w:pPr>
      <w:r>
        <w:t xml:space="preserve">0.90</w:t>
      </w:r>
      <w:r>
        <w:t xml:space="preserve">(0.43, 1.87)</w:t>
      </w:r>
    </w:p>
    <w:p>
      <w:pPr>
        <w:pStyle w:val="BodyText"/>
      </w:pPr>
      <w:r>
        <w:t xml:space="preserve">34 / 685</w:t>
      </w:r>
    </w:p>
    <w:p>
      <w:pPr>
        <w:pStyle w:val="BodyText"/>
      </w:pPr>
      <w:r>
        <w:t xml:space="preserve">42 / 715</w:t>
      </w:r>
    </w:p>
    <w:p>
      <w:pPr>
        <w:pStyle w:val="BodyText"/>
      </w:pPr>
      <w:r>
        <w:t xml:space="preserve">11.3</w:t>
      </w:r>
      <w:r>
        <w:t xml:space="preserve">(7.9, 15.5)</w:t>
      </w:r>
    </w:p>
    <w:p>
      <w:pPr>
        <w:pStyle w:val="BodyText"/>
      </w:pPr>
      <w:r>
        <w:t xml:space="preserve">13.4</w:t>
      </w:r>
      <w:r>
        <w:t xml:space="preserve">(9.7, 17.8)</w:t>
      </w:r>
    </w:p>
    <w:p>
      <w:pPr>
        <w:pStyle w:val="BodyText"/>
      </w:pPr>
      <w:r>
        <w:t xml:space="preserve">1.26</w:t>
      </w:r>
      <w:r>
        <w:t xml:space="preserve">(0.72, 2.2)</w:t>
      </w:r>
    </w:p>
    <w:p>
      <w:pPr>
        <w:pStyle w:val="BodyText"/>
      </w:pPr>
      <w:r>
        <w:t xml:space="preserve">Pre-frail (0.10 &lt; FI ≤ 0.21)</w:t>
      </w:r>
    </w:p>
    <w:p>
      <w:pPr>
        <w:pStyle w:val="BodyText"/>
      </w:pPr>
      <w:r>
        <w:t xml:space="preserve">107 / 2,406</w:t>
      </w:r>
    </w:p>
    <w:p>
      <w:pPr>
        <w:pStyle w:val="BodyText"/>
      </w:pPr>
      <w:r>
        <w:t xml:space="preserve">93 / 2,359</w:t>
      </w:r>
    </w:p>
    <w:p>
      <w:pPr>
        <w:pStyle w:val="BodyText"/>
      </w:pPr>
      <w:r>
        <w:t xml:space="preserve">10.7</w:t>
      </w:r>
      <w:r>
        <w:t xml:space="preserve">(8.8, 12.8)</w:t>
      </w:r>
    </w:p>
    <w:p>
      <w:pPr>
        <w:pStyle w:val="BodyText"/>
      </w:pPr>
      <w:r>
        <w:t xml:space="preserve">9.5</w:t>
      </w:r>
      <w:r>
        <w:t xml:space="preserve">(7.7, 11.6)</w:t>
      </w:r>
    </w:p>
    <w:p>
      <w:pPr>
        <w:pStyle w:val="BodyText"/>
      </w:pPr>
      <w:r>
        <w:t xml:space="preserve">0.90</w:t>
      </w:r>
      <w:r>
        <w:t xml:space="preserve">(0.66, 1.24)</w:t>
      </w:r>
    </w:p>
    <w:p>
      <w:pPr>
        <w:pStyle w:val="BodyText"/>
      </w:pPr>
      <w:r>
        <w:t xml:space="preserve">251 / 2,244</w:t>
      </w:r>
    </w:p>
    <w:p>
      <w:pPr>
        <w:pStyle w:val="BodyText"/>
      </w:pPr>
      <w:r>
        <w:t xml:space="preserve">261 / 2,193</w:t>
      </w:r>
    </w:p>
    <w:p>
      <w:pPr>
        <w:pStyle w:val="BodyText"/>
      </w:pPr>
      <w:r>
        <w:t xml:space="preserve">26.1</w:t>
      </w:r>
      <w:r>
        <w:t xml:space="preserve">(23.0, 29.5)</w:t>
      </w:r>
    </w:p>
    <w:p>
      <w:pPr>
        <w:pStyle w:val="BodyText"/>
      </w:pPr>
      <w:r>
        <w:t xml:space="preserve">27.8</w:t>
      </w:r>
      <w:r>
        <w:t xml:space="preserve">(24.5, 31.3)</w:t>
      </w:r>
    </w:p>
    <w:p>
      <w:pPr>
        <w:pStyle w:val="BodyText"/>
      </w:pPr>
      <w:r>
        <w:t xml:space="preserve">1.07</w:t>
      </w:r>
      <w:r>
        <w:t xml:space="preserve">(0.87, 1.30)</w:t>
      </w:r>
    </w:p>
    <w:p>
      <w:pPr>
        <w:pStyle w:val="BodyText"/>
      </w:pPr>
      <w:r>
        <w:t xml:space="preserve">Frail (FI &gt; 0.21)</w:t>
      </w:r>
    </w:p>
    <w:p>
      <w:pPr>
        <w:pStyle w:val="BodyText"/>
      </w:pPr>
      <w:r>
        <w:t xml:space="preserve">161 / 1,523</w:t>
      </w:r>
    </w:p>
    <w:p>
      <w:pPr>
        <w:pStyle w:val="BodyText"/>
      </w:pPr>
      <w:r>
        <w:t xml:space="preserve">127 / 1,538</w:t>
      </w:r>
    </w:p>
    <w:p>
      <w:pPr>
        <w:pStyle w:val="BodyText"/>
      </w:pPr>
      <w:r>
        <w:t xml:space="preserve">26.4</w:t>
      </w:r>
      <w:r>
        <w:t xml:space="preserve">(22.5, 30.7)</w:t>
      </w:r>
    </w:p>
    <w:p>
      <w:pPr>
        <w:pStyle w:val="BodyText"/>
      </w:pPr>
      <w:r>
        <w:t xml:space="preserve">20.4</w:t>
      </w:r>
      <w:r>
        <w:t xml:space="preserve">(17.1, 24.2)</w:t>
      </w:r>
    </w:p>
    <w:p>
      <w:pPr>
        <w:pStyle w:val="BodyText"/>
      </w:pPr>
      <w:r>
        <w:t xml:space="preserve">0.75</w:t>
      </w:r>
      <w:r>
        <w:t xml:space="preserve">(0.57, 0.98)</w:t>
      </w:r>
    </w:p>
    <w:p>
      <w:pPr>
        <w:pStyle w:val="BodyText"/>
      </w:pPr>
      <w:r>
        <w:t xml:space="preserve">251 / 1,317</w:t>
      </w:r>
    </w:p>
    <w:p>
      <w:pPr>
        <w:pStyle w:val="BodyText"/>
      </w:pPr>
      <w:r>
        <w:t xml:space="preserve">274 / 1,349</w:t>
      </w:r>
    </w:p>
    <w:p>
      <w:pPr>
        <w:pStyle w:val="BodyText"/>
      </w:pPr>
      <w:r>
        <w:t xml:space="preserve">46.2</w:t>
      </w:r>
      <w:r>
        <w:t xml:space="preserve">(40.7, 52.2)</w:t>
      </w:r>
    </w:p>
    <w:p>
      <w:pPr>
        <w:pStyle w:val="BodyText"/>
      </w:pPr>
      <w:r>
        <w:t xml:space="preserve">49.9</w:t>
      </w:r>
      <w:r>
        <w:t xml:space="preserve">(44.2, 56.0)</w:t>
      </w:r>
    </w:p>
    <w:p>
      <w:pPr>
        <w:pStyle w:val="BodyText"/>
      </w:pPr>
      <w:r>
        <w:t xml:space="preserve">1.07</w:t>
      </w:r>
      <w:r>
        <w:t xml:space="preserve">(0.87, 1.30)</w:t>
      </w:r>
    </w:p>
    <w:p>
      <w:pPr>
        <w:pStyle w:val="BodyText"/>
      </w:pPr>
      <w:r>
        <w:t xml:space="preserve">a</w:t>
      </w:r>
      <w:r>
        <w:t xml:space="preserve">Incidence is presented as the expected rate of events per 1,000 person-years.</w:t>
      </w:r>
    </w:p>
    <w:p>
      <w:pPr>
        <w:pStyle w:val="BodyText"/>
      </w:pPr>
      <w:r>
        <w:t xml:space="preserve">b</w:t>
      </w:r>
      <w:r>
        <w:t xml:space="preserve">Chronic Kidney Disease was defined by an estimated glomerular filtration rate &lt;60 ml/min/1.73 m</w:t>
      </w:r>
      <w:r>
        <w:t xml:space="preserve">2</w:t>
      </w:r>
      <w:r>
        <w:t xml:space="preserve"> </w:t>
      </w:r>
      <w:r>
        <w:t xml:space="preserve">based on the 2021 CKD-EPI creatinine equation.</w:t>
      </w:r>
    </w:p>
    <w:p>
      <w:pPr>
        <w:pStyle w:val="BodyText"/>
      </w:pPr>
      <w:r>
        <w:t xml:space="preserve">Abbreviations: CI = confidence interval; and FI = frailty index</w:t>
      </w:r>
    </w:p>
    <w:p>
      <w:pPr>
        <w:pStyle w:val="BodyText"/>
      </w:pPr>
    </w:p>
    <w:bookmarkStart w:id="76" w:name="X60d33e1c5bc7a738b90a6155167ed9d6534dcfa"/>
    <w:bookmarkEnd w:id="76"/>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p>
      <w:pPr>
        <w:pStyle w:val="BodyText"/>
      </w:pPr>
    </w:p>
    <w:p>
      <w:pPr>
        <w:pStyle w:val="BodyText"/>
      </w:pPr>
      <w:r>
        <w:t xml:space="preserve"> </w:t>
      </w:r>
    </w:p>
    <w:p>
      <w:pPr>
        <w:pStyle w:val="BodyText"/>
      </w:pPr>
      <w:r>
        <w:t xml:space="preserve">Trial Phase</w:t>
      </w:r>
    </w:p>
    <w:p>
      <w:pPr>
        <w:pStyle w:val="BodyText"/>
      </w:pPr>
      <w:r>
        <w:t xml:space="preserve">Observational Phase</w:t>
      </w:r>
    </w:p>
    <w:p>
      <w:pPr>
        <w:pStyle w:val="BodyText"/>
      </w:pPr>
      <w:r>
        <w:t xml:space="preserve">N</w:t>
      </w:r>
      <w:r>
        <w:t xml:space="preserve">CVD / non-CVD / Total</w:t>
      </w:r>
    </w:p>
    <w:p>
      <w:pPr>
        <w:pStyle w:val="BodyText"/>
      </w:pPr>
      <w:r>
        <w:t xml:space="preserve">Hazard Ratio</w:t>
      </w:r>
      <w:r>
        <w:t xml:space="preserve">(95% CI)</w:t>
      </w:r>
    </w:p>
    <w:p>
      <w:pPr>
        <w:pStyle w:val="BodyText"/>
      </w:pPr>
      <w:r>
        <w:t xml:space="preserve">N</w:t>
      </w:r>
      <w:r>
        <w:t xml:space="preserve">CVD / non-CVD / Total</w:t>
      </w:r>
    </w:p>
    <w:p>
      <w:pPr>
        <w:pStyle w:val="BodyText"/>
      </w:pPr>
      <w:r>
        <w:t xml:space="preserve">Hazard Ratio</w:t>
      </w:r>
      <w:r>
        <w:t xml:space="preserve">(95% CI)</w:t>
      </w:r>
    </w:p>
    <w:p>
      <w:pPr>
        <w:pStyle w:val="BodyText"/>
      </w:pPr>
      <w:r>
        <w:t xml:space="preserve">Standard</w:t>
      </w:r>
    </w:p>
    <w:p>
      <w:pPr>
        <w:pStyle w:val="BodyText"/>
      </w:pPr>
      <w:r>
        <w:t xml:space="preserve">Intensive</w:t>
      </w:r>
    </w:p>
    <w:p>
      <w:pPr>
        <w:pStyle w:val="BodyText"/>
      </w:pPr>
      <w:r>
        <w:t xml:space="preserve">CVD</w:t>
      </w:r>
    </w:p>
    <w:p>
      <w:pPr>
        <w:pStyle w:val="BodyText"/>
      </w:pPr>
      <w:r>
        <w:t xml:space="preserve">Non-CVD</w:t>
      </w:r>
    </w:p>
    <w:p>
      <w:pPr>
        <w:pStyle w:val="BodyText"/>
      </w:pPr>
      <w:r>
        <w:t xml:space="preserve">Standard</w:t>
      </w:r>
    </w:p>
    <w:p>
      <w:pPr>
        <w:pStyle w:val="BodyText"/>
      </w:pPr>
      <w:r>
        <w:t xml:space="preserve">Intensive</w:t>
      </w:r>
    </w:p>
    <w:p>
      <w:pPr>
        <w:pStyle w:val="BodyText"/>
      </w:pPr>
      <w:r>
        <w:t xml:space="preserve">CVD</w:t>
      </w:r>
    </w:p>
    <w:p>
      <w:pPr>
        <w:pStyle w:val="BodyText"/>
      </w:pPr>
      <w:r>
        <w:t xml:space="preserve">Non-CVD</w:t>
      </w:r>
    </w:p>
    <w:p>
      <w:pPr>
        <w:pStyle w:val="BodyText"/>
      </w:pPr>
      <w:r>
        <w:t xml:space="preserve">Overall</w:t>
      </w:r>
    </w:p>
    <w:p>
      <w:pPr>
        <w:pStyle w:val="BodyText"/>
      </w:pPr>
      <w:r>
        <w:t xml:space="preserve">92 / 198 / 4,683</w:t>
      </w:r>
    </w:p>
    <w:p>
      <w:pPr>
        <w:pStyle w:val="BodyText"/>
      </w:pPr>
      <w:r>
        <w:t xml:space="preserve">65 / 176 / 4,678</w:t>
      </w:r>
    </w:p>
    <w:p>
      <w:pPr>
        <w:pStyle w:val="BodyText"/>
      </w:pPr>
      <w:r>
        <w:t xml:space="preserve">0.66</w:t>
      </w:r>
      <w:r>
        <w:t xml:space="preserve">(0.49, 0.89)</w:t>
      </w:r>
    </w:p>
    <w:p>
      <w:pPr>
        <w:pStyle w:val="BodyText"/>
      </w:pPr>
      <w:r>
        <w:t xml:space="preserve">0.89</w:t>
      </w:r>
      <w:r>
        <w:t xml:space="preserve">(0.71, 1.10)</w:t>
      </w:r>
    </w:p>
    <w:p>
      <w:pPr>
        <w:pStyle w:val="BodyText"/>
      </w:pPr>
      <w:r>
        <w:t xml:space="preserve">181 / 355 / 4,260</w:t>
      </w:r>
    </w:p>
    <w:p>
      <w:pPr>
        <w:pStyle w:val="BodyText"/>
      </w:pPr>
      <w:r>
        <w:t xml:space="preserve">183 / 394 / 4,274</w:t>
      </w:r>
    </w:p>
    <w:p>
      <w:pPr>
        <w:pStyle w:val="BodyText"/>
      </w:pPr>
      <w:r>
        <w:t xml:space="preserve">1.02</w:t>
      </w:r>
      <w:r>
        <w:t xml:space="preserve">(0.84, 1.24)</w:t>
      </w:r>
    </w:p>
    <w:p>
      <w:pPr>
        <w:pStyle w:val="BodyText"/>
      </w:pPr>
      <w:r>
        <w:t xml:space="preserve">1.13</w:t>
      </w:r>
      <w:r>
        <w:t xml:space="preserve">(0.97, 1.31)</w:t>
      </w:r>
    </w:p>
    <w:p>
      <w:pPr>
        <w:pStyle w:val="BodyText"/>
      </w:pPr>
      <w:r>
        <w:t xml:space="preserve">Age group</w:t>
      </w:r>
    </w:p>
    <w:p>
      <w:pPr>
        <w:pStyle w:val="BodyText"/>
      </w:pPr>
      <w:r>
        <w:t xml:space="preserve">&lt;75 years</w:t>
      </w:r>
    </w:p>
    <w:p>
      <w:pPr>
        <w:pStyle w:val="BodyText"/>
      </w:pPr>
      <w:r>
        <w:t xml:space="preserve">45 / 92 / 3,364</w:t>
      </w:r>
    </w:p>
    <w:p>
      <w:pPr>
        <w:pStyle w:val="BodyText"/>
      </w:pPr>
      <w:r>
        <w:t xml:space="preserve">27 / 88 / 3,361</w:t>
      </w:r>
    </w:p>
    <w:p>
      <w:pPr>
        <w:pStyle w:val="BodyText"/>
      </w:pPr>
      <w:r>
        <w:t xml:space="preserve">0.53</w:t>
      </w:r>
      <w:r>
        <w:t xml:space="preserve">(0.36, 0.79)</w:t>
      </w:r>
    </w:p>
    <w:p>
      <w:pPr>
        <w:pStyle w:val="BodyText"/>
      </w:pPr>
      <w:r>
        <w:t xml:space="preserve">0.95</w:t>
      </w:r>
      <w:r>
        <w:t xml:space="preserve">(0.68, 1.32)</w:t>
      </w:r>
    </w:p>
    <w:p>
      <w:pPr>
        <w:pStyle w:val="BodyText"/>
      </w:pPr>
      <w:r>
        <w:t xml:space="preserve">81 / 176 / 3,129</w:t>
      </w:r>
    </w:p>
    <w:p>
      <w:pPr>
        <w:pStyle w:val="BodyText"/>
      </w:pPr>
      <w:r>
        <w:t xml:space="preserve">73 / 173 / 3,123</w:t>
      </w:r>
    </w:p>
    <w:p>
      <w:pPr>
        <w:pStyle w:val="BodyText"/>
      </w:pPr>
      <w:r>
        <w:t xml:space="preserve">0.92</w:t>
      </w:r>
      <w:r>
        <w:t xml:space="preserve">(0.66, 1.28)</w:t>
      </w:r>
    </w:p>
    <w:p>
      <w:pPr>
        <w:pStyle w:val="BodyText"/>
      </w:pPr>
      <w:r>
        <w:t xml:space="preserve">1.01</w:t>
      </w:r>
      <w:r>
        <w:t xml:space="preserve">(0.84, 1.22)</w:t>
      </w:r>
    </w:p>
    <w:p>
      <w:pPr>
        <w:pStyle w:val="BodyText"/>
      </w:pPr>
      <w:r>
        <w:t xml:space="preserve">≥75 years</w:t>
      </w:r>
    </w:p>
    <w:p>
      <w:pPr>
        <w:pStyle w:val="BodyText"/>
      </w:pPr>
      <w:r>
        <w:t xml:space="preserve">47 / 106 / 1,319</w:t>
      </w:r>
    </w:p>
    <w:p>
      <w:pPr>
        <w:pStyle w:val="BodyText"/>
      </w:pPr>
      <w:r>
        <w:t xml:space="preserve">38 / 88 / 1,317</w:t>
      </w:r>
    </w:p>
    <w:p>
      <w:pPr>
        <w:pStyle w:val="BodyText"/>
      </w:pPr>
      <w:r>
        <w:t xml:space="preserve">0.78</w:t>
      </w:r>
      <w:r>
        <w:t xml:space="preserve">(0.49, 1.26)</w:t>
      </w:r>
    </w:p>
    <w:p>
      <w:pPr>
        <w:pStyle w:val="BodyText"/>
      </w:pPr>
      <w:r>
        <w:t xml:space="preserve">0.81</w:t>
      </w:r>
      <w:r>
        <w:t xml:space="preserve">(0.61, 1.09)</w:t>
      </w:r>
    </w:p>
    <w:p>
      <w:pPr>
        <w:pStyle w:val="BodyText"/>
      </w:pPr>
      <w:r>
        <w:t xml:space="preserve">100 / 179 / 1,131</w:t>
      </w:r>
    </w:p>
    <w:p>
      <w:pPr>
        <w:pStyle w:val="BodyText"/>
      </w:pPr>
      <w:r>
        <w:t xml:space="preserve">110 / 221 / 1,151</w:t>
      </w:r>
    </w:p>
    <w:p>
      <w:pPr>
        <w:pStyle w:val="BodyText"/>
      </w:pPr>
      <w:r>
        <w:t xml:space="preserve">1.07</w:t>
      </w:r>
      <w:r>
        <w:t xml:space="preserve">(0.81, 1.42)</w:t>
      </w:r>
    </w:p>
    <w:p>
      <w:pPr>
        <w:pStyle w:val="BodyText"/>
      </w:pPr>
      <w:r>
        <w:t xml:space="preserve">1.23</w:t>
      </w:r>
      <w:r>
        <w:t xml:space="preserve">(0.99, 1.53)</w:t>
      </w:r>
    </w:p>
    <w:p>
      <w:pPr>
        <w:pStyle w:val="BodyText"/>
      </w:pPr>
      <w:r>
        <w:t xml:space="preserve">Sex</w:t>
      </w:r>
    </w:p>
    <w:p>
      <w:pPr>
        <w:pStyle w:val="BodyText"/>
      </w:pPr>
      <w:r>
        <w:t xml:space="preserve">Male</w:t>
      </w:r>
    </w:p>
    <w:p>
      <w:pPr>
        <w:pStyle w:val="BodyText"/>
      </w:pPr>
      <w:r>
        <w:t xml:space="preserve">68 / 144 / 3,035</w:t>
      </w:r>
    </w:p>
    <w:p>
      <w:pPr>
        <w:pStyle w:val="BodyText"/>
      </w:pPr>
      <w:r>
        <w:t xml:space="preserve">47 / 123 / 2,994</w:t>
      </w:r>
    </w:p>
    <w:p>
      <w:pPr>
        <w:pStyle w:val="BodyText"/>
      </w:pPr>
      <w:r>
        <w:t xml:space="preserve">0.62</w:t>
      </w:r>
      <w:r>
        <w:t xml:space="preserve">(0.42, 0.90)</w:t>
      </w:r>
    </w:p>
    <w:p>
      <w:pPr>
        <w:pStyle w:val="BodyText"/>
      </w:pPr>
      <w:r>
        <w:t xml:space="preserve">0.85</w:t>
      </w:r>
      <w:r>
        <w:t xml:space="preserve">(0.67, 1.08)</w:t>
      </w:r>
    </w:p>
    <w:p>
      <w:pPr>
        <w:pStyle w:val="BodyText"/>
      </w:pPr>
      <w:r>
        <w:t xml:space="preserve">119 / 234 / 2,743</w:t>
      </w:r>
    </w:p>
    <w:p>
      <w:pPr>
        <w:pStyle w:val="BodyText"/>
      </w:pPr>
      <w:r>
        <w:t xml:space="preserve">125 / 275 / 2,745</w:t>
      </w:r>
    </w:p>
    <w:p>
      <w:pPr>
        <w:pStyle w:val="BodyText"/>
      </w:pPr>
      <w:r>
        <w:t xml:space="preserve">1.09</w:t>
      </w:r>
      <w:r>
        <w:t xml:space="preserve">(0.85, 1.38)</w:t>
      </w:r>
    </w:p>
    <w:p>
      <w:pPr>
        <w:pStyle w:val="BodyText"/>
      </w:pPr>
      <w:r>
        <w:t xml:space="preserve">1.20</w:t>
      </w:r>
      <w:r>
        <w:t xml:space="preserve">(1.00, 1.44)</w:t>
      </w:r>
    </w:p>
    <w:p>
      <w:pPr>
        <w:pStyle w:val="BodyText"/>
      </w:pPr>
      <w:r>
        <w:t xml:space="preserve">Female</w:t>
      </w:r>
    </w:p>
    <w:p>
      <w:pPr>
        <w:pStyle w:val="BodyText"/>
      </w:pPr>
      <w:r>
        <w:t xml:space="preserve">24 / 54 / 1,648</w:t>
      </w:r>
    </w:p>
    <w:p>
      <w:pPr>
        <w:pStyle w:val="BodyText"/>
      </w:pPr>
      <w:r>
        <w:t xml:space="preserve">18 / 53 / 1,684</w:t>
      </w:r>
    </w:p>
    <w:p>
      <w:pPr>
        <w:pStyle w:val="BodyText"/>
      </w:pPr>
      <w:r>
        <w:t xml:space="preserve">0.75</w:t>
      </w:r>
      <w:r>
        <w:t xml:space="preserve">(0.45, 1.27)</w:t>
      </w:r>
    </w:p>
    <w:p>
      <w:pPr>
        <w:pStyle w:val="BodyText"/>
      </w:pPr>
      <w:r>
        <w:t xml:space="preserve">0.97</w:t>
      </w:r>
      <w:r>
        <w:t xml:space="preserve">(0.64, 1.48)</w:t>
      </w:r>
    </w:p>
    <w:p>
      <w:pPr>
        <w:pStyle w:val="BodyText"/>
      </w:pPr>
      <w:r>
        <w:t xml:space="preserve">62 / 121 / 1,517</w:t>
      </w:r>
    </w:p>
    <w:p>
      <w:pPr>
        <w:pStyle w:val="BodyText"/>
      </w:pPr>
      <w:r>
        <w:t xml:space="preserve">58 / 119 / 1,529</w:t>
      </w:r>
    </w:p>
    <w:p>
      <w:pPr>
        <w:pStyle w:val="BodyText"/>
      </w:pPr>
      <w:r>
        <w:t xml:space="preserve">0.89</w:t>
      </w:r>
      <w:r>
        <w:t xml:space="preserve">(0.63, 1.28)</w:t>
      </w:r>
    </w:p>
    <w:p>
      <w:pPr>
        <w:pStyle w:val="BodyText"/>
      </w:pPr>
      <w:r>
        <w:t xml:space="preserve">0.98</w:t>
      </w:r>
      <w:r>
        <w:t xml:space="preserve">(0.71, 1.34)</w:t>
      </w:r>
    </w:p>
    <w:p>
      <w:pPr>
        <w:pStyle w:val="BodyText"/>
      </w:pPr>
      <w:r>
        <w:t xml:space="preserve">Race</w:t>
      </w:r>
    </w:p>
    <w:p>
      <w:pPr>
        <w:pStyle w:val="BodyText"/>
      </w:pPr>
      <w:r>
        <w:t xml:space="preserve">Non-Black</w:t>
      </w:r>
    </w:p>
    <w:p>
      <w:pPr>
        <w:pStyle w:val="BodyText"/>
      </w:pPr>
      <w:r>
        <w:t xml:space="preserve">67 / 142 / 3,190</w:t>
      </w:r>
    </w:p>
    <w:p>
      <w:pPr>
        <w:pStyle w:val="BodyText"/>
      </w:pPr>
      <w:r>
        <w:t xml:space="preserve">44 / 129 / 3,224</w:t>
      </w:r>
    </w:p>
    <w:p>
      <w:pPr>
        <w:pStyle w:val="BodyText"/>
      </w:pPr>
      <w:r>
        <w:t xml:space="preserve">0.58</w:t>
      </w:r>
      <w:r>
        <w:t xml:space="preserve">(0.42, 0.81)</w:t>
      </w:r>
    </w:p>
    <w:p>
      <w:pPr>
        <w:pStyle w:val="BodyText"/>
      </w:pPr>
      <w:r>
        <w:t xml:space="preserve">0.87</w:t>
      </w:r>
      <w:r>
        <w:t xml:space="preserve">(0.68, 1.12)</w:t>
      </w:r>
    </w:p>
    <w:p>
      <w:pPr>
        <w:pStyle w:val="BodyText"/>
      </w:pPr>
      <w:r>
        <w:t xml:space="preserve">126 / 260 / 2,897</w:t>
      </w:r>
    </w:p>
    <w:p>
      <w:pPr>
        <w:pStyle w:val="BodyText"/>
      </w:pPr>
      <w:r>
        <w:t xml:space="preserve">135 / 291 / 2,953</w:t>
      </w:r>
    </w:p>
    <w:p>
      <w:pPr>
        <w:pStyle w:val="BodyText"/>
      </w:pPr>
      <w:r>
        <w:t xml:space="preserve">1.10</w:t>
      </w:r>
      <w:r>
        <w:t xml:space="preserve">(0.89, 1.37)</w:t>
      </w:r>
    </w:p>
    <w:p>
      <w:pPr>
        <w:pStyle w:val="BodyText"/>
      </w:pPr>
      <w:r>
        <w:t xml:space="preserve">1.13</w:t>
      </w:r>
      <w:r>
        <w:t xml:space="preserve">(0.94, 1.36)</w:t>
      </w:r>
    </w:p>
    <w:p>
      <w:pPr>
        <w:pStyle w:val="BodyText"/>
      </w:pPr>
      <w:r>
        <w:t xml:space="preserve">Black</w:t>
      </w:r>
    </w:p>
    <w:p>
      <w:pPr>
        <w:pStyle w:val="BodyText"/>
      </w:pPr>
      <w:r>
        <w:t xml:space="preserve">25 / 56 / 1,493</w:t>
      </w:r>
    </w:p>
    <w:p>
      <w:pPr>
        <w:pStyle w:val="BodyText"/>
      </w:pPr>
      <w:r>
        <w:t xml:space="preserve">21 / 47 / 1,454</w:t>
      </w:r>
    </w:p>
    <w:p>
      <w:pPr>
        <w:pStyle w:val="BodyText"/>
      </w:pPr>
      <w:r>
        <w:t xml:space="preserve">0.82</w:t>
      </w:r>
      <w:r>
        <w:t xml:space="preserve">(0.46, 1.45)</w:t>
      </w:r>
    </w:p>
    <w:p>
      <w:pPr>
        <w:pStyle w:val="BodyText"/>
      </w:pPr>
      <w:r>
        <w:t xml:space="preserve">0.93</w:t>
      </w:r>
      <w:r>
        <w:t xml:space="preserve">(0.64, 1.37)</w:t>
      </w:r>
    </w:p>
    <w:p>
      <w:pPr>
        <w:pStyle w:val="BodyText"/>
      </w:pPr>
      <w:r>
        <w:t xml:space="preserve">55 / 95 / 1,363</w:t>
      </w:r>
    </w:p>
    <w:p>
      <w:pPr>
        <w:pStyle w:val="BodyText"/>
      </w:pPr>
      <w:r>
        <w:t xml:space="preserve">48 / 103 / 1,321</w:t>
      </w:r>
    </w:p>
    <w:p>
      <w:pPr>
        <w:pStyle w:val="BodyText"/>
      </w:pPr>
      <w:r>
        <w:t xml:space="preserve">0.81</w:t>
      </w:r>
      <w:r>
        <w:t xml:space="preserve">(0.54, 1.23)</w:t>
      </w:r>
    </w:p>
    <w:p>
      <w:pPr>
        <w:pStyle w:val="BodyText"/>
      </w:pPr>
      <w:r>
        <w:t xml:space="preserve">1.10</w:t>
      </w:r>
      <w:r>
        <w:t xml:space="preserve">(0.84, 1.44)</w:t>
      </w:r>
    </w:p>
    <w:p>
      <w:pPr>
        <w:pStyle w:val="BodyText"/>
      </w:pPr>
      <w:r>
        <w:t xml:space="preserve">Chronic Kidney Disease</w:t>
      </w:r>
      <w:r>
        <w:t xml:space="preserve">a</w:t>
      </w:r>
    </w:p>
    <w:p>
      <w:pPr>
        <w:pStyle w:val="BodyText"/>
      </w:pPr>
      <w:r>
        <w:t xml:space="preserve">No</w:t>
      </w:r>
    </w:p>
    <w:p>
      <w:pPr>
        <w:pStyle w:val="BodyText"/>
      </w:pPr>
      <w:r>
        <w:t xml:space="preserve">50 / 113 / 3,491</w:t>
      </w:r>
    </w:p>
    <w:p>
      <w:pPr>
        <w:pStyle w:val="BodyText"/>
      </w:pPr>
      <w:r>
        <w:t xml:space="preserve">29 / 97 / 3,485</w:t>
      </w:r>
    </w:p>
    <w:p>
      <w:pPr>
        <w:pStyle w:val="BodyText"/>
      </w:pPr>
      <w:r>
        <w:t xml:space="preserve">0.55</w:t>
      </w:r>
      <w:r>
        <w:t xml:space="preserve">(0.36, 0.83)</w:t>
      </w:r>
    </w:p>
    <w:p>
      <w:pPr>
        <w:pStyle w:val="BodyText"/>
      </w:pPr>
      <w:r>
        <w:t xml:space="preserve">0.87</w:t>
      </w:r>
      <w:r>
        <w:t xml:space="preserve">(0.65, 1.14)</w:t>
      </w:r>
    </w:p>
    <w:p>
      <w:pPr>
        <w:pStyle w:val="BodyText"/>
      </w:pPr>
      <w:r>
        <w:t xml:space="preserve">90 / 226 / 3,232</w:t>
      </w:r>
    </w:p>
    <w:p>
      <w:pPr>
        <w:pStyle w:val="BodyText"/>
      </w:pPr>
      <w:r>
        <w:t xml:space="preserve">101 / 248 / 3,250</w:t>
      </w:r>
    </w:p>
    <w:p>
      <w:pPr>
        <w:pStyle w:val="BodyText"/>
      </w:pPr>
      <w:r>
        <w:t xml:space="preserve">1.14</w:t>
      </w:r>
      <w:r>
        <w:t xml:space="preserve">(0.84, 1.55)</w:t>
      </w:r>
    </w:p>
    <w:p>
      <w:pPr>
        <w:pStyle w:val="BodyText"/>
      </w:pPr>
      <w:r>
        <w:t xml:space="preserve">1.09</w:t>
      </w:r>
      <w:r>
        <w:t xml:space="preserve">(0.90, 1.33)</w:t>
      </w:r>
    </w:p>
    <w:p>
      <w:pPr>
        <w:pStyle w:val="BodyText"/>
      </w:pPr>
      <w:r>
        <w:t xml:space="preserve">Yes</w:t>
      </w:r>
    </w:p>
    <w:p>
      <w:pPr>
        <w:pStyle w:val="BodyText"/>
      </w:pPr>
      <w:r>
        <w:t xml:space="preserve">41 / 84 / 1,161</w:t>
      </w:r>
    </w:p>
    <w:p>
      <w:pPr>
        <w:pStyle w:val="BodyText"/>
      </w:pPr>
      <w:r>
        <w:t xml:space="preserve">36 / 76 / 1,170</w:t>
      </w:r>
    </w:p>
    <w:p>
      <w:pPr>
        <w:pStyle w:val="BodyText"/>
      </w:pPr>
      <w:r>
        <w:t xml:space="preserve">0.81</w:t>
      </w:r>
      <w:r>
        <w:t xml:space="preserve">(0.51, 1.31)</w:t>
      </w:r>
    </w:p>
    <w:p>
      <w:pPr>
        <w:pStyle w:val="BodyText"/>
      </w:pPr>
      <w:r>
        <w:t xml:space="preserve">0.88</w:t>
      </w:r>
      <w:r>
        <w:t xml:space="preserve">(0.62, 1.24)</w:t>
      </w:r>
    </w:p>
    <w:p>
      <w:pPr>
        <w:pStyle w:val="BodyText"/>
      </w:pPr>
      <w:r>
        <w:t xml:space="preserve">91 / 129 / 1,007</w:t>
      </w:r>
    </w:p>
    <w:p>
      <w:pPr>
        <w:pStyle w:val="BodyText"/>
      </w:pPr>
      <w:r>
        <w:t xml:space="preserve">82 / 145 / 1,012</w:t>
      </w:r>
    </w:p>
    <w:p>
      <w:pPr>
        <w:pStyle w:val="BodyText"/>
      </w:pPr>
      <w:r>
        <w:t xml:space="preserve">0.89</w:t>
      </w:r>
      <w:r>
        <w:t xml:space="preserve">(0.67, 1.16)</w:t>
      </w:r>
    </w:p>
    <w:p>
      <w:pPr>
        <w:pStyle w:val="BodyText"/>
      </w:pPr>
      <w:r>
        <w:t xml:space="preserve">1.18</w:t>
      </w:r>
      <w:r>
        <w:t xml:space="preserve">(0.93, 1.49)</w:t>
      </w:r>
    </w:p>
    <w:p>
      <w:pPr>
        <w:pStyle w:val="BodyText"/>
      </w:pPr>
      <w:r>
        <w:t xml:space="preserve">Cognitive Function</w:t>
      </w:r>
    </w:p>
    <w:p>
      <w:pPr>
        <w:pStyle w:val="BodyText"/>
      </w:pPr>
      <w:r>
        <w:t xml:space="preserve">&gt;10th percentile</w:t>
      </w:r>
    </w:p>
    <w:p>
      <w:pPr>
        <w:pStyle w:val="BodyText"/>
      </w:pPr>
      <w:r>
        <w:t xml:space="preserve">62 / 150 / 3,397</w:t>
      </w:r>
    </w:p>
    <w:p>
      <w:pPr>
        <w:pStyle w:val="BodyText"/>
      </w:pPr>
      <w:r>
        <w:t xml:space="preserve">40 / 112 / 3,389</w:t>
      </w:r>
    </w:p>
    <w:p>
      <w:pPr>
        <w:pStyle w:val="BodyText"/>
      </w:pPr>
      <w:r>
        <w:t xml:space="preserve">0.56</w:t>
      </w:r>
      <w:r>
        <w:t xml:space="preserve">(0.36, 0.88)</w:t>
      </w:r>
    </w:p>
    <w:p>
      <w:pPr>
        <w:pStyle w:val="BodyText"/>
      </w:pPr>
      <w:r>
        <w:t xml:space="preserve">0.74</w:t>
      </w:r>
      <w:r>
        <w:t xml:space="preserve">(0.58, 0.96)</w:t>
      </w:r>
    </w:p>
    <w:p>
      <w:pPr>
        <w:pStyle w:val="BodyText"/>
      </w:pPr>
      <w:r>
        <w:t xml:space="preserve">128 / 229 / 3,101</w:t>
      </w:r>
    </w:p>
    <w:p>
      <w:pPr>
        <w:pStyle w:val="BodyText"/>
      </w:pPr>
      <w:r>
        <w:t xml:space="preserve">122 / 286 / 3,125</w:t>
      </w:r>
    </w:p>
    <w:p>
      <w:pPr>
        <w:pStyle w:val="BodyText"/>
      </w:pPr>
      <w:r>
        <w:t xml:space="preserve">0.93</w:t>
      </w:r>
      <w:r>
        <w:t xml:space="preserve">(0.73, 1.19)</w:t>
      </w:r>
    </w:p>
    <w:p>
      <w:pPr>
        <w:pStyle w:val="BodyText"/>
      </w:pPr>
      <w:r>
        <w:t xml:space="preserve">1.25</w:t>
      </w:r>
      <w:r>
        <w:t xml:space="preserve">(1.03, 1.53)</w:t>
      </w:r>
    </w:p>
    <w:p>
      <w:pPr>
        <w:pStyle w:val="BodyText"/>
      </w:pPr>
      <w:r>
        <w:t xml:space="preserve">≤10th percentile</w:t>
      </w:r>
    </w:p>
    <w:p>
      <w:pPr>
        <w:pStyle w:val="BodyText"/>
      </w:pPr>
      <w:r>
        <w:t xml:space="preserve">29 / 48 / 1,253</w:t>
      </w:r>
    </w:p>
    <w:p>
      <w:pPr>
        <w:pStyle w:val="BodyText"/>
      </w:pPr>
      <w:r>
        <w:t xml:space="preserve">23 / 60 / 1,257</w:t>
      </w:r>
    </w:p>
    <w:p>
      <w:pPr>
        <w:pStyle w:val="BodyText"/>
      </w:pPr>
      <w:r>
        <w:t xml:space="preserve">0.76</w:t>
      </w:r>
      <w:r>
        <w:t xml:space="preserve">(0.41, 1.43)</w:t>
      </w:r>
    </w:p>
    <w:p>
      <w:pPr>
        <w:pStyle w:val="BodyText"/>
      </w:pPr>
      <w:r>
        <w:t xml:space="preserve">1.22</w:t>
      </w:r>
      <w:r>
        <w:t xml:space="preserve">(0.83, 1.78)</w:t>
      </w:r>
    </w:p>
    <w:p>
      <w:pPr>
        <w:pStyle w:val="BodyText"/>
      </w:pPr>
      <w:r>
        <w:t xml:space="preserve">52 / 124 / 1,135</w:t>
      </w:r>
    </w:p>
    <w:p>
      <w:pPr>
        <w:pStyle w:val="BodyText"/>
      </w:pPr>
      <w:r>
        <w:t xml:space="preserve">58 / 107 / 1,131</w:t>
      </w:r>
    </w:p>
    <w:p>
      <w:pPr>
        <w:pStyle w:val="BodyText"/>
      </w:pPr>
      <w:r>
        <w:t xml:space="preserve">1.18</w:t>
      </w:r>
      <w:r>
        <w:t xml:space="preserve">(0.81, 1.72)</w:t>
      </w:r>
    </w:p>
    <w:p>
      <w:pPr>
        <w:pStyle w:val="BodyText"/>
      </w:pPr>
      <w:r>
        <w:t xml:space="preserve">0.90</w:t>
      </w:r>
      <w:r>
        <w:t xml:space="preserve">(0.72, 1.12)</w:t>
      </w:r>
    </w:p>
    <w:p>
      <w:pPr>
        <w:pStyle w:val="BodyText"/>
      </w:pPr>
      <w:r>
        <w:t xml:space="preserve">Frailty Status</w:t>
      </w:r>
    </w:p>
    <w:p>
      <w:pPr>
        <w:pStyle w:val="BodyText"/>
      </w:pPr>
      <w:r>
        <w:t xml:space="preserve">Fit (FI ≤ 0.10)</w:t>
      </w:r>
    </w:p>
    <w:p>
      <w:pPr>
        <w:pStyle w:val="BodyText"/>
      </w:pPr>
      <w:r>
        <w:t xml:space="preserve">7 / 14 / 729</w:t>
      </w:r>
    </w:p>
    <w:p>
      <w:pPr>
        <w:pStyle w:val="BodyText"/>
      </w:pPr>
      <w:r>
        <w:t xml:space="preserve">1 / 17 / 751</w:t>
      </w:r>
    </w:p>
    <w:p>
      <w:pPr>
        <w:pStyle w:val="BodyText"/>
      </w:pPr>
      <w:r>
        <w:t xml:space="preserve">0.14</w:t>
      </w:r>
      <w:r>
        <w:t xml:space="preserve">(0.02, 1.12)</w:t>
      </w:r>
    </w:p>
    <w:p>
      <w:pPr>
        <w:pStyle w:val="BodyText"/>
      </w:pPr>
      <w:r>
        <w:t xml:space="preserve">1.22</w:t>
      </w:r>
      <w:r>
        <w:t xml:space="preserve">(0.59, 2.5)</w:t>
      </w:r>
    </w:p>
    <w:p>
      <w:pPr>
        <w:pStyle w:val="BodyText"/>
      </w:pPr>
      <w:r>
        <w:t xml:space="preserve">8 / 26 / 685</w:t>
      </w:r>
    </w:p>
    <w:p>
      <w:pPr>
        <w:pStyle w:val="BodyText"/>
      </w:pPr>
      <w:r>
        <w:t xml:space="preserve">7 / 35 / 715</w:t>
      </w:r>
    </w:p>
    <w:p>
      <w:pPr>
        <w:pStyle w:val="BodyText"/>
      </w:pPr>
      <w:r>
        <w:t xml:space="preserve">0.77</w:t>
      </w:r>
      <w:r>
        <w:t xml:space="preserve">(0.31, 1.95)</w:t>
      </w:r>
    </w:p>
    <w:p>
      <w:pPr>
        <w:pStyle w:val="BodyText"/>
      </w:pPr>
      <w:r>
        <w:t xml:space="preserve">1.26</w:t>
      </w:r>
      <w:r>
        <w:t xml:space="preserve">(0.78, 2.0)</w:t>
      </w:r>
    </w:p>
    <w:p>
      <w:pPr>
        <w:pStyle w:val="BodyText"/>
      </w:pPr>
      <w:r>
        <w:t xml:space="preserve">Pre-frail (0.10 &lt; FI ≤ 0.21)</w:t>
      </w:r>
    </w:p>
    <w:p>
      <w:pPr>
        <w:pStyle w:val="BodyText"/>
      </w:pPr>
      <w:r>
        <w:t xml:space="preserve">34 / 73 / 2,406</w:t>
      </w:r>
    </w:p>
    <w:p>
      <w:pPr>
        <w:pStyle w:val="BodyText"/>
      </w:pPr>
      <w:r>
        <w:t xml:space="preserve">23 / 70 / 2,359</w:t>
      </w:r>
    </w:p>
    <w:p>
      <w:pPr>
        <w:pStyle w:val="BodyText"/>
      </w:pPr>
      <w:r>
        <w:t xml:space="preserve">0.59</w:t>
      </w:r>
      <w:r>
        <w:t xml:space="preserve">(0.34, 1.03)</w:t>
      </w:r>
    </w:p>
    <w:p>
      <w:pPr>
        <w:pStyle w:val="BodyText"/>
      </w:pPr>
      <w:r>
        <w:t xml:space="preserve">1.00</w:t>
      </w:r>
      <w:r>
        <w:t xml:space="preserve">(0.73, 1.37)</w:t>
      </w:r>
    </w:p>
    <w:p>
      <w:pPr>
        <w:pStyle w:val="BodyText"/>
      </w:pPr>
      <w:r>
        <w:t xml:space="preserve">75 / 176 / 2,244</w:t>
      </w:r>
    </w:p>
    <w:p>
      <w:pPr>
        <w:pStyle w:val="BodyText"/>
      </w:pPr>
      <w:r>
        <w:t xml:space="preserve">81 / 180 / 2,193</w:t>
      </w:r>
    </w:p>
    <w:p>
      <w:pPr>
        <w:pStyle w:val="BodyText"/>
      </w:pPr>
      <w:r>
        <w:t xml:space="preserve">1.07</w:t>
      </w:r>
      <w:r>
        <w:t xml:space="preserve">(0.77, 1.50)</w:t>
      </w:r>
    </w:p>
    <w:p>
      <w:pPr>
        <w:pStyle w:val="BodyText"/>
      </w:pPr>
      <w:r>
        <w:t xml:space="preserve">1.04</w:t>
      </w:r>
      <w:r>
        <w:t xml:space="preserve">(0.85, 1.27)</w:t>
      </w:r>
    </w:p>
    <w:p>
      <w:pPr>
        <w:pStyle w:val="BodyText"/>
      </w:pPr>
      <w:r>
        <w:t xml:space="preserve">Frail (FI &gt; 0.21)</w:t>
      </w:r>
    </w:p>
    <w:p>
      <w:pPr>
        <w:pStyle w:val="BodyText"/>
      </w:pPr>
      <w:r>
        <w:t xml:space="preserve">51 / 110 / 1,523</w:t>
      </w:r>
    </w:p>
    <w:p>
      <w:pPr>
        <w:pStyle w:val="BodyText"/>
      </w:pPr>
      <w:r>
        <w:t xml:space="preserve">41 / 86 / 1,538</w:t>
      </w:r>
    </w:p>
    <w:p>
      <w:pPr>
        <w:pStyle w:val="BodyText"/>
      </w:pPr>
      <w:r>
        <w:t xml:space="preserve">0.77</w:t>
      </w:r>
      <w:r>
        <w:t xml:space="preserve">(0.53, 1.13)</w:t>
      </w:r>
    </w:p>
    <w:p>
      <w:pPr>
        <w:pStyle w:val="BodyText"/>
      </w:pPr>
      <w:r>
        <w:t xml:space="preserve">0.75</w:t>
      </w:r>
      <w:r>
        <w:t xml:space="preserve">(0.56, 1.00)</w:t>
      </w:r>
    </w:p>
    <w:p>
      <w:pPr>
        <w:pStyle w:val="BodyText"/>
      </w:pPr>
      <w:r>
        <w:t xml:space="preserve">98 / 153 / 1,317</w:t>
      </w:r>
    </w:p>
    <w:p>
      <w:pPr>
        <w:pStyle w:val="BodyText"/>
      </w:pPr>
      <w:r>
        <w:t xml:space="preserve">95 / 179 / 1,349</w:t>
      </w:r>
    </w:p>
    <w:p>
      <w:pPr>
        <w:pStyle w:val="BodyText"/>
      </w:pPr>
      <w:r>
        <w:t xml:space="preserve">1.01</w:t>
      </w:r>
      <w:r>
        <w:t xml:space="preserve">(0.77, 1.33)</w:t>
      </w:r>
    </w:p>
    <w:p>
      <w:pPr>
        <w:pStyle w:val="BodyText"/>
      </w:pPr>
      <w:r>
        <w:t xml:space="preserve">1.20</w:t>
      </w:r>
      <w:r>
        <w:t xml:space="preserve">(0.96, 1.50)</w:t>
      </w:r>
    </w:p>
    <w:p>
      <w:pPr>
        <w:pStyle w:val="BodyText"/>
      </w:pPr>
      <w:r>
        <w:t xml:space="preserve">a</w:t>
      </w:r>
      <w:r>
        <w:t xml:space="preserve">Chronic Kidney Disease was defined by an estimated glomerular filtration rate &lt;60 ml/min/1.73 m</w:t>
      </w:r>
      <w:r>
        <w:t xml:space="preserve">2</w:t>
      </w:r>
      <w:r>
        <w:t xml:space="preserve"> </w:t>
      </w:r>
      <w:r>
        <w:t xml:space="preserve">based on the 2021 CKD-EPI creatinine equation.</w:t>
      </w:r>
    </w:p>
    <w:p>
      <w:pPr>
        <w:pStyle w:val="BodyText"/>
      </w:pPr>
      <w:r>
        <w:t xml:space="preserve">Abbreviations: CI = confidence interval; CVD = cardiovascular disease; and FI = frailty index</w:t>
      </w:r>
    </w:p>
    <w:p>
      <w:pPr>
        <w:pStyle w:val="BodyText"/>
      </w:pPr>
    </w:p>
    <w:bookmarkStart w:id="77" w:name="X5b9358dc577a72768c1aebdfd0490608233f900"/>
    <w:bookmarkEnd w:id="77"/>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pPr>
        <w:jc w:val="center"/>
        <w:pStyle w:val="Figure"/>
      </w:pPr>
      <w:r>
        <w:rPr/>
        <w:drawing xmlns:r="http://schemas.openxmlformats.org/officeDocument/2006/relationships">
          <wp:inline distT="0" distB="0" distL="0" distR="0">
            <wp:extent cx="10058400" cy="5486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76"/>
                    <a:srcRect/>
                    <a:stretch>
                      <a:fillRect/>
                    </a:stretch>
                  </pic:blipFill>
                  <pic:spPr bwMode="auto">
                    <a:xfrm>
                      <a:off x="0" y="0"/>
                      <a:ext cx="139700" cy="76200"/>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486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77"/>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20" w:top="120" w:right="180" w:left="18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bookmarkEnd w:id="7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ile8d4c5936959.png"/>
<Relationship Id="rId72" Type="http://schemas.openxmlformats.org/officeDocument/2006/relationships/image" Target="media/file8d4c668074bd.png"/>
<Relationship Id="rId73" Type="http://schemas.openxmlformats.org/officeDocument/2006/relationships/image" Target="media/file8d4c5aa85323.png"/>
<Relationship Id="rId74" Type="http://schemas.openxmlformats.org/officeDocument/2006/relationships/image" Target="media/file8d4c1dc1623e.png"/>
<Relationship Id="rId75" Type="http://schemas.openxmlformats.org/officeDocument/2006/relationships/image" Target="media/file8d4c456e2e55.png"/>
<Relationship Id="rId76" Type="http://schemas.openxmlformats.org/officeDocument/2006/relationships/image" Target="media/file8d4c8ea2f18.png"/>
<Relationship Id="rId77" Type="http://schemas.openxmlformats.org/officeDocument/2006/relationships/image" Target="media/file8d4c128ebf2.png"/>
</Relationships>

</file>

<file path=word/_rels/footnotes.xml.rels><?xml version="1.0" encoding="UTF-8" standalone="yes"?>

<Relationships  xmlns="http://schemas.openxmlformats.org/package/2006/relationships">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2022-03-14T22:28:32Z</dcterms:created>
  <dcterms:modified xsi:type="dcterms:W3CDTF">2022-03-14T18:28:33Z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