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Alfred K. Cheung, MD,</w:t>
      </w:r>
      <w:r>
        <w:rPr>
          <w:vertAlign w:val="superscript"/>
        </w:rPr>
        <w:t xml:space="preserve">4,5</w:t>
      </w:r>
      <w:r>
        <w:t xml:space="preserve"> </w:t>
      </w:r>
      <w:r>
        <w:t xml:space="preserve">William C. Cushman, MD,</w:t>
      </w:r>
      <w:r>
        <w:rPr>
          <w:vertAlign w:val="superscript"/>
        </w:rPr>
        <w:t xml:space="preserve">6</w:t>
      </w:r>
      <w:r>
        <w:t xml:space="preserve"> </w:t>
      </w:r>
      <w:r>
        <w:t xml:space="preserve">Paul E. Drawz, MD,</w:t>
      </w:r>
      <w:r>
        <w:rPr>
          <w:vertAlign w:val="superscript"/>
        </w:rPr>
        <w:t xml:space="preserve">7</w:t>
      </w:r>
      <w:r>
        <w:t xml:space="preserve"> </w:t>
      </w:r>
      <w:r>
        <w:t xml:space="preserve">Lawrence J. Fine, MD,</w:t>
      </w:r>
      <w:r>
        <w:rPr>
          <w:vertAlign w:val="superscript"/>
        </w:rPr>
        <w:t xml:space="preserve">8</w:t>
      </w:r>
      <w:r>
        <w:t xml:space="preserve"> </w:t>
      </w:r>
      <w:r>
        <w:t xml:space="preserve">Karen C. Johnson, MD,</w:t>
      </w:r>
      <w:r>
        <w:rPr>
          <w:vertAlign w:val="superscript"/>
        </w:rPr>
        <w:t xml:space="preserve">6</w:t>
      </w:r>
      <w:r>
        <w:t xml:space="preserve"> </w:t>
      </w:r>
      <w:r>
        <w:t xml:space="preserve">Cora E. Lewis, MD,</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Mark A. Supiano, MD,</w:t>
      </w:r>
      <w:r>
        <w:rPr>
          <w:vertAlign w:val="superscript"/>
        </w:rPr>
        <w:t xml:space="preserve">12</w:t>
      </w:r>
      <w:r>
        <w:t xml:space="preserve"> </w:t>
      </w:r>
      <w:r>
        <w:t xml:space="preserve">Paul K. Whelton, MD,</w:t>
      </w:r>
      <w:r>
        <w:rPr>
          <w:vertAlign w:val="superscript"/>
        </w:rPr>
        <w:t xml:space="preserve">13</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Renal Section, Veterans Affairs Salt Lake City Healthcare System, UT.</w:t>
      </w:r>
      <w:r>
        <w:t xml:space="preserve"> </w:t>
      </w:r>
      <w:r>
        <w:rPr>
          <w:vertAlign w:val="superscript"/>
        </w:rPr>
        <w:t xml:space="preserve">5</w:t>
      </w:r>
      <w:r>
        <w:t xml:space="preserve">Division of Nephrology and Hypertension, Department of Internal Medicine, University of Utah School of Medicine, Salt Lake Cite, UT.</w:t>
      </w:r>
      <w:r>
        <w:t xml:space="preserve"> </w:t>
      </w:r>
      <w:r>
        <w:rPr>
          <w:vertAlign w:val="superscript"/>
        </w:rPr>
        <w:t xml:space="preserve">6</w:t>
      </w:r>
      <w:r>
        <w:t xml:space="preserve">Department of Preventive Medicine, University of Tennessee Health Science Center, Memphis.</w:t>
      </w:r>
      <w:r>
        <w:t xml:space="preserve"> </w:t>
      </w:r>
      <w:r>
        <w:rPr>
          <w:vertAlign w:val="superscript"/>
        </w:rPr>
        <w:t xml:space="preserve">7</w:t>
      </w:r>
      <w:r>
        <w:t xml:space="preserve">Division of Renal Diseases &amp; Hypertension, University of Minnesota, MN.</w:t>
      </w:r>
      <w:r>
        <w:t xml:space="preserve"> </w:t>
      </w:r>
      <w:r>
        <w:rPr>
          <w:vertAlign w:val="superscript"/>
        </w:rPr>
        <w:t xml:space="preserve">8</w:t>
      </w:r>
      <w:r>
        <w:t xml:space="preserve">Clinical Applications and Prevention Branch, National Heart, Lung, and Blood Institute, National Institutes of Health, Bethesda, MD.</w:t>
      </w:r>
      <w:r>
        <w:t xml:space="preserve"> </w:t>
      </w:r>
      <w:r>
        <w:rPr>
          <w:vertAlign w:val="superscript"/>
        </w:rPr>
        <w:t xml:space="preserve">9</w:t>
      </w:r>
      <w:r>
        <w:t xml:space="preserve">Department of Epidemiology, University of Alabama at Birmingham.</w:t>
      </w:r>
      <w:r>
        <w:t xml:space="preserve"> </w:t>
      </w:r>
      <w:r>
        <w:rPr>
          <w:vertAlign w:val="superscript"/>
        </w:rPr>
        <w:t xml:space="preserve">10</w:t>
      </w:r>
      <w:r>
        <w:t xml:space="preserve">Division of Cardiovascular Disease, Department of Medicine, University of Alabama at Birmingham.</w:t>
      </w:r>
      <w:r>
        <w:t xml:space="preserve"> </w:t>
      </w:r>
      <w:r>
        <w:rPr>
          <w:vertAlign w:val="superscript"/>
        </w:rPr>
        <w:t xml:space="preserve">11</w:t>
      </w:r>
      <w:r>
        <w:t xml:space="preserve">Section on Nephrology, Department of Internal Medicine, Wake Forest School of Medicine, Winston-Salem, NC.</w:t>
      </w:r>
      <w:r>
        <w:t xml:space="preserve"> </w:t>
      </w:r>
      <w:r>
        <w:rPr>
          <w:vertAlign w:val="superscript"/>
        </w:rPr>
        <w:t xml:space="preserve">12</w:t>
      </w:r>
      <w:r>
        <w:t xml:space="preserve">Division of Geriatrics, University of Utah School of Medicine, Salt Lake City.</w:t>
      </w:r>
      <w:r>
        <w:t xml:space="preserve"> </w:t>
      </w:r>
      <w:r>
        <w:rPr>
          <w:vertAlign w:val="superscript"/>
        </w:rPr>
        <w:t xml:space="preserve">13</w:t>
      </w:r>
      <w:r>
        <w:t xml:space="preserve">Department of Epidemiology, Tulane University School of Public Health and Tropical Medicine, New Orleans, LA.</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t xml:space="preserve"> </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participnts randomized to intensive treatment, increasing from a mean of X at 4.5 years of follow-up to Y at 9 years of follow-up.</w:t>
      </w:r>
    </w:p>
    <w:p>
      <w:pPr>
        <w:pStyle w:val="BodyText"/>
      </w:pPr>
      <w:r>
        <w:t xml:space="preserve">there were 248 and 818 cardiovascular and all-cause deaths with intensive treatment respectively, and 273 cardiovascular / 826 all-cause deaths for standard treatment.</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r>
        <w:t xml:space="preserve"> However, both trials were stopped early after a median follow-up of 3 years.</w:t>
      </w:r>
    </w:p>
    <w:p>
      <w:pPr>
        <w:pStyle w:val="BodyText"/>
      </w:pPr>
      <w:r>
        <w:rPr>
          <w:bCs/>
          <w:b/>
        </w:rPr>
        <w:t xml:space="preserve">Reminder: bring in the recent BPTTC meta-analyses into the introduction</w:t>
      </w:r>
      <w:r>
        <w:rPr>
          <w:vertAlign w:val="superscript"/>
        </w:rPr>
        <w:t xml:space="preserve">3</w:t>
      </w:r>
      <w:r>
        <w:t xml:space="preserve">.</w:t>
      </w:r>
    </w:p>
    <w:p>
      <w:pPr>
        <w:pStyle w:val="BodyText"/>
      </w:pPr>
      <w:r>
        <w:t xml:space="preserve">Here we examined the longer term effect of randomization to intensive treatment on through linkage to the National Death Index (NDI).</w:t>
      </w:r>
    </w:p>
    <w:bookmarkEnd w:id="22"/>
    <w:bookmarkStart w:id="24"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5</w:t>
      </w:r>
      <w:r>
        <w:t xml:space="preserve"> </w:t>
      </w:r>
      <w:r>
        <w:t xml:space="preserve">Cognitive function was assessed using Montreal Cognitive Assessment (MoCA).</w:t>
      </w:r>
      <w:r>
        <w:rPr>
          <w:vertAlign w:val="superscript"/>
        </w:rPr>
        <w:t xml:space="preserve">6</w:t>
      </w:r>
      <w:r>
        <w:t xml:space="preserve"> Lower cognitive function was defined as scoring 18 or lower (less than high school education) or 20 or lower (high school education or higher) on the MoCA. This roughly corresponds to the estimated normative 10th percentile in the Irish Longitudinal Study of Aging.</w:t>
      </w:r>
      <w:r>
        <w:rPr>
          <w:vertAlign w:val="superscript"/>
        </w:rPr>
        <w:t xml:space="preserve">7</w:t>
      </w:r>
      <w:r>
        <w:t xml:space="preserve"> We defined frailty status at baseline using a previously developed Frailty Index (FI) based upon the model of deficit accumulation.</w:t>
      </w:r>
      <w:r>
        <w:rPr>
          <w:vertAlign w:val="superscript"/>
        </w:rPr>
        <w:t xml:space="preserve">8</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 Subsequently, mortality was ascertained through a US National Death Index (NDI) search. Possible matches were identified according to NDI guidelines. To be considered a confirmed death, we required 4 or more of 5 matches among Social Security number, name, date of birth, city, and state in the NDI. NDI follow-up began in 2016 and ended on the date of death or date of the NDI search (2020). Deaths ascertained in 2020 were based on the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9</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10</w:t>
      </w:r>
      <w:r>
        <w:t xml:space="preserve"> The second approach estimated a continuous time-dependent effect.</w:t>
      </w:r>
      <w:r>
        <w:rPr>
          <w:vertAlign w:val="superscript"/>
        </w:rPr>
        <w:t xml:space="preserve">11,12</w:t>
      </w:r>
      <w:r>
        <w:t xml:space="preserve"> All analyses accounted for correlation within study sites,</w:t>
      </w:r>
      <w:r>
        <w:rPr>
          <w:vertAlign w:val="superscript"/>
        </w:rPr>
        <w:t xml:space="preserve">13</w:t>
      </w:r>
      <w:r>
        <w:t xml:space="preserve"> and analyses of cardiovascular mortality accounted for the competing risk of non-cardiovascular mortality.</w:t>
      </w:r>
      <w:r>
        <w:rPr>
          <w:vertAlign w:val="superscript"/>
        </w:rPr>
        <w:t xml:space="preserve">14</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15–20</w:t>
      </w:r>
      <w:r>
        <w:t xml:space="preserve"> 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The cumulative time-varying effect of intensive versus standard treatment indicated lower risk for all-cause mortality during the trial phase and was attenuated during the cohort phase (</w:t>
      </w:r>
      <w:r>
        <w:rPr>
          <w:bCs/>
          <w:b/>
        </w:rPr>
        <w:t xml:space="preserve">Figure 1</w:t>
      </w:r>
      <w:r>
        <w:t xml:space="preserve">).</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21</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9</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r>
        <w:br w:type="page"/>
      </w:r>
    </w:p>
    <w:p>
      <w:pPr>
        <w:sectPr>
          <w:pgSz w:h="16838" w:w="11906" w:orient="portrait"/>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type w:val="continuous"/>
          <w:cols/>
          <w:pgMar xmlns:w="http://schemas.openxmlformats.org/wordprocessingml/2006/main" w:header="720" w:bottom="1800" w:top="1800" w:right="720" w:left="720" w:footer="720" w:gutter="720"/>
        </w:sectPr>
      </w:pPr>
    </w:p>
    <w:p>
      <w:pPr>
        <w:pStyle w:val="BodyText"/>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confidence interval; FI, frailty index. aChronic Kidney Disease defined as an estimated glomerular filtration rate &lt;60 ml/min/1.73 m2 based on the 2021 CKD-EPI creatinine equation.</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1"/>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2"/>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3"/>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4"/>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5</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5"/>
                    <a:srcRect/>
                    <a:stretch>
                      <a:fillRect/>
                    </a:stretch>
                  </pic:blipFill>
                  <pic:spPr bwMode="auto">
                    <a:xfrm>
                      <a:off x="0" y="0"/>
                      <a:ext cx="139700" cy="79375"/>
                    </a:xfrm>
                    <a:prstGeom prst="rect">
                      <a:avLst/>
                    </a:prstGeom>
                    <a:noFill/>
                  </pic:spPr>
                </pic:pic>
              </a:graphicData>
            </a:graphic>
          </wp:inline>
        </w:drawing>
      </w:r>
    </w:p>
    <w:bookmarkEnd w:id="28"/>
    <w:bookmarkStart w:id="29" w:name="supplement"/>
    <w:p>
      <w:pPr>
        <w:pStyle w:val="Heading1"/>
      </w:pPr>
      <w:r>
        <w:t xml:space="preserve">SUPPLEMENT</w:t>
      </w:r>
    </w:p>
    <w:p>
      <w:pPr>
        <w:pStyle w:val="FirstParagraph"/>
      </w:pPr>
      <w:r>
        <w:t xml:space="preserve">To be decided.</w:t>
      </w:r>
    </w:p>
    <w:p>
      <w:pPr>
        <w:sectPr>
          <w:pgMar w:header="720" w:bottom="180" w:top="180" w:right="360" w:left="360" w:footer="720" w:gutter="720"/>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pgSz w:h="11906" w:w="16838" w:orient="landscape"/>
          <w:type w:val="continuous"/>
          <w:cols/>
        </w:sectPr>
      </w:pPr>
    </w:p>
    <w:bookmarkEnd w:id="29"/>
    <w:bookmarkStart w:id="56" w:name="references"/>
    <w:p>
      <w:pPr>
        <w:pStyle w:val="Heading1"/>
      </w:pPr>
      <w:r>
        <w:t xml:space="preserve">REFERENCES</w:t>
      </w:r>
    </w:p>
    <w:bookmarkStart w:id="55" w:name="refs"/>
    <w:bookmarkStart w:id="30"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w:t>
      </w:r>
      <w:r>
        <w:t xml:space="preserve">2015;</w:t>
      </w:r>
      <w:r>
        <w:t xml:space="preserve"> </w:t>
      </w:r>
      <w:r>
        <w:rPr>
          <w:bCs/>
          <w:b/>
        </w:rPr>
        <w:t xml:space="preserve">373</w:t>
      </w:r>
      <w:r>
        <w:t xml:space="preserve">: 2103–16.</w:t>
      </w:r>
    </w:p>
    <w:bookmarkEnd w:id="30"/>
    <w:bookmarkStart w:id="32" w:name="ref-zhang_trial_2021"/>
    <w:p>
      <w:pPr>
        <w:pStyle w:val="Bibliography"/>
      </w:pPr>
      <w:r>
        <w:t xml:space="preserve">2</w:t>
      </w:r>
      <w:r>
        <w:t xml:space="preserve"> </w:t>
      </w:r>
      <w:r>
        <w:t xml:space="preserve">	</w:t>
      </w:r>
      <w:r>
        <w:t xml:space="preserve">Zhang W, Zhang S, Deng Y,</w:t>
      </w:r>
      <w:r>
        <w:t xml:space="preserve"> </w:t>
      </w:r>
      <w:r>
        <w:rPr>
          <w:iCs/>
          <w:i/>
        </w:rPr>
        <w:t xml:space="preserve">et al.</w:t>
      </w:r>
      <w:r>
        <w:t xml:space="preserve">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w:t>
      </w:r>
      <w:r>
        <w:t xml:space="preserve">2021; published online Aug. DOI:</w:t>
      </w:r>
      <w:hyperlink r:id="rId31">
        <w:r>
          <w:rPr>
            <w:rStyle w:val="Hyperlink"/>
          </w:rPr>
          <w:t xml:space="preserve">10.1056/NEJMoa2111437</w:t>
        </w:r>
      </w:hyperlink>
      <w:r>
        <w:t xml:space="preserve">.</w:t>
      </w:r>
    </w:p>
    <w:bookmarkEnd w:id="32"/>
    <w:bookmarkStart w:id="33" w:name="ref-rahimi_age_stratified_2021"/>
    <w:p>
      <w:pPr>
        <w:pStyle w:val="Bibliography"/>
      </w:pPr>
      <w:r>
        <w:t xml:space="preserve">3</w:t>
      </w:r>
      <w:r>
        <w:t xml:space="preserve"> </w:t>
      </w:r>
      <w:r>
        <w:t xml:space="preserve">	</w:t>
      </w:r>
      <w:r>
        <w:t xml:space="preserve">Rahimi K, Bidel Z, Nazarzadeh M,</w:t>
      </w:r>
      <w:r>
        <w:t xml:space="preserve"> </w:t>
      </w:r>
      <w:r>
        <w:rPr>
          <w:iCs/>
          <w:i/>
        </w:rPr>
        <w:t xml:space="preserve">et al.</w:t>
      </w:r>
      <w:r>
        <w:t xml:space="preserve">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w:t>
      </w:r>
      <w:r>
        <w:t xml:space="preserve">2021;</w:t>
      </w:r>
      <w:r>
        <w:t xml:space="preserve"> </w:t>
      </w:r>
      <w:r>
        <w:rPr>
          <w:bCs/>
          <w:b/>
        </w:rPr>
        <w:t xml:space="preserve">398</w:t>
      </w:r>
      <w:r>
        <w:t xml:space="preserve">: 1053–64.</w:t>
      </w:r>
    </w:p>
    <w:bookmarkEnd w:id="33"/>
    <w:bookmarkStart w:id="34" w:name="ref-ambrosius_design_2014"/>
    <w:p>
      <w:pPr>
        <w:pStyle w:val="Bibliography"/>
      </w:pPr>
      <w:r>
        <w:t xml:space="preserve">4</w:t>
      </w:r>
      <w:r>
        <w:t xml:space="preserve"> </w:t>
      </w:r>
      <w:r>
        <w:t xml:space="preserve">	</w:t>
      </w:r>
      <w:r>
        <w:t xml:space="preserve">Ambrosius WT, Sink KM, Foy CG,</w:t>
      </w:r>
      <w:r>
        <w:t xml:space="preserve"> </w:t>
      </w:r>
      <w:r>
        <w:rPr>
          <w:iCs/>
          <w:i/>
        </w:rPr>
        <w:t xml:space="preserve">et al.</w:t>
      </w:r>
      <w:r>
        <w:t xml:space="preserve">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w:t>
      </w:r>
      <w:r>
        <w:t xml:space="preserve">2014;</w:t>
      </w:r>
      <w:r>
        <w:t xml:space="preserve"> </w:t>
      </w:r>
      <w:r>
        <w:rPr>
          <w:bCs/>
          <w:b/>
        </w:rPr>
        <w:t xml:space="preserve">11</w:t>
      </w:r>
      <w:r>
        <w:t xml:space="preserve">: 532–46.</w:t>
      </w:r>
    </w:p>
    <w:bookmarkEnd w:id="34"/>
    <w:bookmarkStart w:id="35" w:name="ref-inker_new_2021"/>
    <w:p>
      <w:pPr>
        <w:pStyle w:val="Bibliography"/>
      </w:pPr>
      <w:r>
        <w:t xml:space="preserve">5</w:t>
      </w:r>
      <w:r>
        <w:t xml:space="preserve"> </w:t>
      </w:r>
      <w:r>
        <w:t xml:space="preserve">	</w:t>
      </w:r>
      <w:r>
        <w:t xml:space="preserve">Inker LA, Eneanya ND, Coresh J,</w:t>
      </w:r>
      <w:r>
        <w:t xml:space="preserve"> </w:t>
      </w:r>
      <w:r>
        <w:rPr>
          <w:iCs/>
          <w:i/>
        </w:rPr>
        <w:t xml:space="preserve">et al.</w:t>
      </w:r>
      <w:r>
        <w:t xml:space="preserve">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w:t>
      </w:r>
      <w:r>
        <w:t xml:space="preserve">2021;</w:t>
      </w:r>
      <w:r>
        <w:t xml:space="preserve"> </w:t>
      </w:r>
      <w:r>
        <w:rPr>
          <w:bCs/>
          <w:b/>
        </w:rPr>
        <w:t xml:space="preserve">385</w:t>
      </w:r>
      <w:r>
        <w:t xml:space="preserve">: 1737–49.</w:t>
      </w:r>
    </w:p>
    <w:bookmarkEnd w:id="35"/>
    <w:bookmarkStart w:id="36" w:name="ref-nasreddine_montreal_2005"/>
    <w:p>
      <w:pPr>
        <w:pStyle w:val="Bibliography"/>
      </w:pPr>
      <w:r>
        <w:t xml:space="preserve">6</w:t>
      </w:r>
      <w:r>
        <w:t xml:space="preserve"> </w:t>
      </w:r>
      <w:r>
        <w:t xml:space="preserve">	</w:t>
      </w:r>
      <w:r>
        <w:t xml:space="preserve">Nasreddine ZS, Phillips NA, Bédirian V,</w:t>
      </w:r>
      <w:r>
        <w:t xml:space="preserve"> </w:t>
      </w:r>
      <w:r>
        <w:rPr>
          <w:iCs/>
          <w:i/>
        </w:rPr>
        <w:t xml:space="preserve">et al.</w:t>
      </w:r>
      <w:r>
        <w:t xml:space="preserve">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w:t>
      </w:r>
      <w:r>
        <w:t xml:space="preserve">2005;</w:t>
      </w:r>
      <w:r>
        <w:t xml:space="preserve"> </w:t>
      </w:r>
      <w:r>
        <w:rPr>
          <w:bCs/>
          <w:b/>
        </w:rPr>
        <w:t xml:space="preserve">53</w:t>
      </w:r>
      <w:r>
        <w:t xml:space="preserve">: 695–9.</w:t>
      </w:r>
    </w:p>
    <w:bookmarkEnd w:id="36"/>
    <w:bookmarkStart w:id="37"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w:t>
      </w:r>
      <w:r>
        <w:t xml:space="preserve">2013;</w:t>
      </w:r>
      <w:r>
        <w:t xml:space="preserve"> </w:t>
      </w:r>
      <w:r>
        <w:rPr>
          <w:bCs/>
          <w:b/>
        </w:rPr>
        <w:t xml:space="preserve">61 Suppl 2</w:t>
      </w:r>
      <w:r>
        <w:t xml:space="preserve">: S279–290.</w:t>
      </w:r>
    </w:p>
    <w:bookmarkEnd w:id="37"/>
    <w:bookmarkStart w:id="38" w:name="ref-pajewski_characterizing_2016"/>
    <w:p>
      <w:pPr>
        <w:pStyle w:val="Bibliography"/>
      </w:pPr>
      <w:r>
        <w:t xml:space="preserve">8</w:t>
      </w:r>
      <w:r>
        <w:t xml:space="preserve"> </w:t>
      </w:r>
      <w:r>
        <w:t xml:space="preserve">	</w:t>
      </w:r>
      <w:r>
        <w:t xml:space="preserve">Pajewski NM, Williamson JD, Applegate WB,</w:t>
      </w:r>
      <w:r>
        <w:t xml:space="preserve"> </w:t>
      </w:r>
      <w:r>
        <w:rPr>
          <w:iCs/>
          <w:i/>
        </w:rPr>
        <w:t xml:space="preserve">et al.</w:t>
      </w:r>
      <w:r>
        <w:t xml:space="preserve">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w:t>
      </w:r>
      <w:r>
        <w:t xml:space="preserve">2016;</w:t>
      </w:r>
      <w:r>
        <w:t xml:space="preserve"> </w:t>
      </w:r>
      <w:r>
        <w:rPr>
          <w:bCs/>
          <w:b/>
        </w:rPr>
        <w:t xml:space="preserve">71</w:t>
      </w:r>
      <w:r>
        <w:t xml:space="preserve">: 649–55.</w:t>
      </w:r>
    </w:p>
    <w:bookmarkEnd w:id="38"/>
    <w:bookmarkStart w:id="39" w:name="ref-drawz_concordance_2020"/>
    <w:p>
      <w:pPr>
        <w:pStyle w:val="Bibliography"/>
      </w:pPr>
      <w:r>
        <w:t xml:space="preserve">9</w:t>
      </w:r>
      <w:r>
        <w:t xml:space="preserve"> </w:t>
      </w:r>
      <w:r>
        <w:t xml:space="preserve">	</w:t>
      </w:r>
      <w:r>
        <w:t xml:space="preserve">Drawz PE, Agarwal A, Dwyer JP,</w:t>
      </w:r>
      <w:r>
        <w:t xml:space="preserve"> </w:t>
      </w:r>
      <w:r>
        <w:rPr>
          <w:iCs/>
          <w:i/>
        </w:rPr>
        <w:t xml:space="preserve">et al.</w:t>
      </w:r>
      <w:r>
        <w:t xml:space="preserve">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w:t>
      </w:r>
      <w:r>
        <w:t xml:space="preserve">2020;</w:t>
      </w:r>
      <w:r>
        <w:t xml:space="preserve"> </w:t>
      </w:r>
      <w:r>
        <w:rPr>
          <w:bCs/>
          <w:b/>
        </w:rPr>
        <w:t xml:space="preserve">180</w:t>
      </w:r>
      <w:r>
        <w:t xml:space="preserve">: 1655–63.</w:t>
      </w:r>
    </w:p>
    <w:bookmarkEnd w:id="39"/>
    <w:bookmarkStart w:id="40" w:name="ref-zhang_time_varying_2018"/>
    <w:p>
      <w:pPr>
        <w:pStyle w:val="Bibliography"/>
      </w:pPr>
      <w:r>
        <w:t xml:space="preserve">10</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40"/>
    <w:bookmarkStart w:id="41" w:name="ref-martinussen2007dynamic"/>
    <w:p>
      <w:pPr>
        <w:pStyle w:val="Bibliography"/>
      </w:pPr>
      <w:r>
        <w:t xml:space="preserve">11</w:t>
      </w:r>
      <w:r>
        <w:t xml:space="preserve"> </w:t>
      </w:r>
      <w:r>
        <w:t xml:space="preserve">	</w:t>
      </w:r>
      <w:r>
        <w:t xml:space="preserve">Martinussen T, Scheike TH. Dynamic regression models for survival data. Springer Science &amp; Business Media, 2007.</w:t>
      </w:r>
    </w:p>
    <w:bookmarkEnd w:id="41"/>
    <w:bookmarkStart w:id="42" w:name="ref-therneau2017using"/>
    <w:p>
      <w:pPr>
        <w:pStyle w:val="Bibliography"/>
      </w:pPr>
      <w:r>
        <w:t xml:space="preserve">12</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w:t>
      </w:r>
      <w:r>
        <w:t xml:space="preserve">2017;</w:t>
      </w:r>
      <w:r>
        <w:t xml:space="preserve"> </w:t>
      </w:r>
      <w:r>
        <w:rPr>
          <w:bCs/>
          <w:b/>
        </w:rPr>
        <w:t xml:space="preserve">2</w:t>
      </w:r>
      <w:r>
        <w:t xml:space="preserve">: 3.</w:t>
      </w:r>
    </w:p>
    <w:bookmarkEnd w:id="42"/>
    <w:bookmarkStart w:id="43" w:name="ref-lin_robust_1989"/>
    <w:p>
      <w:pPr>
        <w:pStyle w:val="Bibliography"/>
      </w:pPr>
      <w:r>
        <w:t xml:space="preserve">13</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43"/>
    <w:bookmarkStart w:id="44" w:name="ref-scheike_flexible_2008"/>
    <w:p>
      <w:pPr>
        <w:pStyle w:val="Bibliography"/>
      </w:pPr>
      <w:r>
        <w:t xml:space="preserve">14</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44"/>
    <w:bookmarkStart w:id="46" w:name="ref-r_language"/>
    <w:p>
      <w:pPr>
        <w:pStyle w:val="Bibliography"/>
      </w:pPr>
      <w:r>
        <w:t xml:space="preserve">15</w:t>
      </w:r>
      <w:r>
        <w:t xml:space="preserve"> </w:t>
      </w:r>
      <w:r>
        <w:t xml:space="preserve">	</w:t>
      </w:r>
      <w:r>
        <w:t xml:space="preserve">R Core Team. R: A language and environment for statistical computing. Vienna, Austria: R Foundation for Statistical Computing, 2020</w:t>
      </w:r>
      <w:r>
        <w:t xml:space="preserve"> </w:t>
      </w:r>
      <w:hyperlink r:id="rId45">
        <w:r>
          <w:rPr>
            <w:rStyle w:val="Hyperlink"/>
          </w:rPr>
          <w:t xml:space="preserve">https://www.R-project.org/</w:t>
        </w:r>
      </w:hyperlink>
      <w:r>
        <w:t xml:space="preserve">.</w:t>
      </w:r>
    </w:p>
    <w:bookmarkEnd w:id="46"/>
    <w:bookmarkStart w:id="48" w:name="ref-table.glue"/>
    <w:p>
      <w:pPr>
        <w:pStyle w:val="Bibliography"/>
      </w:pPr>
      <w:r>
        <w:t xml:space="preserve">16</w:t>
      </w:r>
      <w:r>
        <w:t xml:space="preserve"> </w:t>
      </w:r>
      <w:r>
        <w:t xml:space="preserve">	</w:t>
      </w:r>
      <w:r>
        <w:t xml:space="preserve">Jaeger B. Table.glue: Make and apply customized rounding specifications for tables.</w:t>
      </w:r>
      <w:r>
        <w:t xml:space="preserve"> </w:t>
      </w:r>
      <w:hyperlink r:id="rId47">
        <w:r>
          <w:rPr>
            <w:rStyle w:val="Hyperlink"/>
          </w:rPr>
          <w:t xml:space="preserve">https://github.com/bcjaeger/table.glue</w:t>
        </w:r>
      </w:hyperlink>
      <w:r>
        <w:t xml:space="preserve">.</w:t>
      </w:r>
    </w:p>
    <w:bookmarkEnd w:id="48"/>
    <w:bookmarkStart w:id="49" w:name="ref-tidyverse"/>
    <w:p>
      <w:pPr>
        <w:pStyle w:val="Bibliography"/>
      </w:pPr>
      <w:r>
        <w:t xml:space="preserve">17</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t xml:space="preserve">2019;</w:t>
      </w:r>
      <w:r>
        <w:t xml:space="preserve"> </w:t>
      </w:r>
      <w:r>
        <w:rPr>
          <w:bCs/>
          <w:b/>
        </w:rPr>
        <w:t xml:space="preserve">4</w:t>
      </w:r>
      <w:r>
        <w:t xml:space="preserve">: 1686.</w:t>
      </w:r>
    </w:p>
    <w:bookmarkEnd w:id="49"/>
    <w:bookmarkStart w:id="51" w:name="ref-survival_package"/>
    <w:p>
      <w:pPr>
        <w:pStyle w:val="Bibliography"/>
      </w:pPr>
      <w:r>
        <w:t xml:space="preserve">18</w:t>
      </w:r>
      <w:r>
        <w:t xml:space="preserve"> </w:t>
      </w:r>
      <w:r>
        <w:t xml:space="preserve">	</w:t>
      </w:r>
      <w:r>
        <w:t xml:space="preserve">Therneau TM. A package for survival analysis in</w:t>
      </w:r>
      <w:r>
        <w:t xml:space="preserve"> </w:t>
      </w:r>
      <w:r>
        <w:t xml:space="preserve">R</w:t>
      </w:r>
      <w:r>
        <w:t xml:space="preserve">. 2021</w:t>
      </w:r>
      <w:r>
        <w:t xml:space="preserve"> </w:t>
      </w:r>
      <w:hyperlink r:id="rId50">
        <w:r>
          <w:rPr>
            <w:rStyle w:val="Hyperlink"/>
          </w:rPr>
          <w:t xml:space="preserve">https://CRAN.R-project.org/package=survival</w:t>
        </w:r>
      </w:hyperlink>
      <w:r>
        <w:t xml:space="preserve">.</w:t>
      </w:r>
    </w:p>
    <w:bookmarkEnd w:id="51"/>
    <w:bookmarkStart w:id="52" w:name="ref-timereg"/>
    <w:p>
      <w:pPr>
        <w:pStyle w:val="Bibliography"/>
      </w:pPr>
      <w:r>
        <w:t xml:space="preserve">19</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w:t>
      </w:r>
      <w:r>
        <w:t xml:space="preserve">2011;</w:t>
      </w:r>
      <w:r>
        <w:t xml:space="preserve"> </w:t>
      </w:r>
      <w:r>
        <w:rPr>
          <w:bCs/>
          <w:b/>
        </w:rPr>
        <w:t xml:space="preserve">38</w:t>
      </w:r>
      <w:r>
        <w:t xml:space="preserve">: 1–5.</w:t>
      </w:r>
    </w:p>
    <w:bookmarkEnd w:id="52"/>
    <w:bookmarkStart w:id="53" w:name="ref-targets"/>
    <w:p>
      <w:pPr>
        <w:pStyle w:val="Bibliography"/>
      </w:pPr>
      <w:r>
        <w:t xml:space="preserve">20</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w:t>
      </w:r>
      <w:r>
        <w:t xml:space="preserve">2021;</w:t>
      </w:r>
      <w:r>
        <w:t xml:space="preserve"> </w:t>
      </w:r>
      <w:r>
        <w:rPr>
          <w:bCs/>
          <w:b/>
        </w:rPr>
        <w:t xml:space="preserve">6</w:t>
      </w:r>
      <w:r>
        <w:t xml:space="preserve">: 2959.</w:t>
      </w:r>
    </w:p>
    <w:bookmarkEnd w:id="53"/>
    <w:bookmarkStart w:id="54" w:name="ref-muntner2020htn"/>
    <w:p>
      <w:pPr>
        <w:pStyle w:val="Bibliography"/>
      </w:pPr>
      <w:r>
        <w:t xml:space="preserve">21</w:t>
      </w:r>
      <w:r>
        <w:t xml:space="preserve"> </w:t>
      </w:r>
      <w:r>
        <w:t xml:space="preserve">	</w:t>
      </w:r>
      <w:r>
        <w:t xml:space="preserve">Muntner P, Hardy ST, Fine LJ,</w:t>
      </w:r>
      <w:r>
        <w:t xml:space="preserve"> </w:t>
      </w:r>
      <w:r>
        <w:rPr>
          <w:iCs/>
          <w:i/>
        </w:rPr>
        <w:t xml:space="preserve">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w:t>
      </w:r>
      <w:r>
        <w:t xml:space="preserve">2020;</w:t>
      </w:r>
      <w:r>
        <w:t xml:space="preserve"> </w:t>
      </w:r>
      <w:r>
        <w:rPr>
          <w:bCs/>
          <w:b/>
        </w:rPr>
        <w:t xml:space="preserve">324</w:t>
      </w:r>
      <w:r>
        <w:t xml:space="preserve">: 1190–200.</w:t>
      </w:r>
    </w:p>
    <w:bookmarkEnd w:id="54"/>
    <w:bookmarkEnd w:id="55"/>
    <w:bookmarkEnd w:id="56"/>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w:type="first" r:id="rId12"/>
      <w:footerReference xmlns:w="http://schemas.openxmlformats.org/wordprocessingml/2006/main" xmlns:r="http://schemas.openxmlformats.org/officeDocument/2006/relationships" w:type="default" r:id="rId13"/>
      <w:footerReference xmlns:w="http://schemas.openxmlformats.org/wordprocessingml/2006/main" xmlns:r="http://schemas.openxmlformats.org/officeDocument/2006/relationships" w:type="even" r:id="rId14"/>
      <w:headerReference xmlns:w="http://schemas.openxmlformats.org/wordprocessingml/2006/main" xmlns:r="http://schemas.openxmlformats.org/officeDocument/2006/relationships" w:type="even" r:id="rId10"/>
      <w:headerReference xmlns:w="http://schemas.openxmlformats.org/wordprocessingml/2006/main" xmlns:r="http://schemas.openxmlformats.org/officeDocument/2006/relationships" w:type="default" r:id="rId9"/>
      <w:headerReference xmlns:w="http://schemas.openxmlformats.org/wordprocessingml/2006/main" xmlns:r="http://schemas.openxmlformats.org/officeDocument/2006/relationships" w:type="first" r:id="rId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50" Type="http://schemas.openxmlformats.org/officeDocument/2006/relationships/hyperlink" Target="https://CRAN.R-project.org/package=survival" TargetMode="External"/>
<Relationship Id="rId31" Type="http://schemas.openxmlformats.org/officeDocument/2006/relationships/hyperlink" Target="https://doi.org/10.1056/NEJMoa2111437" TargetMode="External"/>
<Relationship Id="rId47" Type="http://schemas.openxmlformats.org/officeDocument/2006/relationships/hyperlink" Target="https://github.com/bcjaeger/table.glue" TargetMode="External"/>
<Relationship Id="rId45" Type="http://schemas.openxmlformats.org/officeDocument/2006/relationships/hyperlink" Target="https://www.R-project.org/" TargetMode="External"/>
<Relationship Id="rId20" Type="http://schemas.openxmlformats.org/officeDocument/2006/relationships/hyperlink" Target="mailto:npajewsk@wakehealth.edu" TargetMode="External"/>
<Relationship Id="rId51" Type="http://schemas.openxmlformats.org/officeDocument/2006/relationships/image" Target="media/file4310c2661ae.png"/>
<Relationship Id="rId52" Type="http://schemas.openxmlformats.org/officeDocument/2006/relationships/image" Target="media/file43101e072937.png"/>
<Relationship Id="rId53" Type="http://schemas.openxmlformats.org/officeDocument/2006/relationships/image" Target="media/file43103199373d.png"/>
<Relationship Id="rId54" Type="http://schemas.openxmlformats.org/officeDocument/2006/relationships/image" Target="media/file4310201029be.png"/>
<Relationship Id="rId55" Type="http://schemas.openxmlformats.org/officeDocument/2006/relationships/image" Target="media/file43101dc92388.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50" Type="http://schemas.openxmlformats.org/officeDocument/2006/relationships/hyperlink" Target="https://CRAN.R-project.org/package=survival" TargetMode="External"/>
<Relationship Id="rId31" Type="http://schemas.openxmlformats.org/officeDocument/2006/relationships/hyperlink" Target="https://doi.org/10.1056/NEJMoa2111437" TargetMode="External"/>
<Relationship Id="rId47" Type="http://schemas.openxmlformats.org/officeDocument/2006/relationships/hyperlink" Target="https://github.com/bcjaeger/table.glue" TargetMode="External"/>
<Relationship Id="rId45" Type="http://schemas.openxmlformats.org/officeDocument/2006/relationships/hyperlink" Target="https://www.R-project.org/"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2022-01-06T01:30:39Z</dcterms:created>
  <dcterms:modified xsi:type="dcterms:W3CDTF">2022-01-05T20:30:42Z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