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Alfred K. Cheung, MD,</w:t>
      </w:r>
      <w:r>
        <w:rPr>
          <w:vertAlign w:val="superscript"/>
        </w:rPr>
        <w:t xml:space="preserve">4,5</w:t>
      </w:r>
      <w:r>
        <w:t xml:space="preserve"> </w:t>
      </w:r>
      <w:r>
        <w:t xml:space="preserve">William C. Cushman, MD,</w:t>
      </w:r>
      <w:r>
        <w:rPr>
          <w:vertAlign w:val="superscript"/>
        </w:rPr>
        <w:t xml:space="preserve">6</w:t>
      </w:r>
      <w:r>
        <w:t xml:space="preserve"> </w:t>
      </w:r>
      <w:r>
        <w:t xml:space="preserve">Paul E. Drawz, MD,</w:t>
      </w:r>
      <w:r>
        <w:rPr>
          <w:vertAlign w:val="superscript"/>
        </w:rPr>
        <w:t xml:space="preserve">7</w:t>
      </w:r>
      <w:r>
        <w:t xml:space="preserve"> </w:t>
      </w:r>
      <w:r>
        <w:t xml:space="preserve">Lawrence J. Fine, MD,</w:t>
      </w:r>
      <w:r>
        <w:rPr>
          <w:vertAlign w:val="superscript"/>
        </w:rPr>
        <w:t xml:space="preserve">8</w:t>
      </w:r>
      <w:r>
        <w:t xml:space="preserve"> </w:t>
      </w:r>
      <w:r>
        <w:t xml:space="preserve">Karen C. Johnson, MD,</w:t>
      </w:r>
      <w:r>
        <w:rPr>
          <w:vertAlign w:val="superscript"/>
        </w:rPr>
        <w:t xml:space="preserve">6</w:t>
      </w:r>
      <w:r>
        <w:t xml:space="preserve"> </w:t>
      </w:r>
      <w:r>
        <w:t xml:space="preserve">Cora E. Lewis, MD,</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Mark A. Supiano, MD,</w:t>
      </w:r>
      <w:r>
        <w:rPr>
          <w:vertAlign w:val="superscript"/>
        </w:rPr>
        <w:t xml:space="preserve">12</w:t>
      </w:r>
      <w:r>
        <w:t xml:space="preserve"> </w:t>
      </w:r>
      <w:r>
        <w:t xml:space="preserve">Paul K. Whelton, MD,</w:t>
      </w:r>
      <w:r>
        <w:rPr>
          <w:vertAlign w:val="superscript"/>
        </w:rPr>
        <w:t xml:space="preserve">13</w:t>
      </w:r>
      <w:r>
        <w:t xml:space="preserve"> </w:t>
      </w:r>
      <w:r>
        <w:t xml:space="preserve">Joshua D. Bundy, PhD,</w:t>
      </w:r>
      <w:r>
        <w:rPr>
          <w:vertAlign w:val="superscript"/>
        </w:rPr>
        <w:t xml:space="preserve">13</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Renal Section, Veterans Affairs Salt Lake City Healthcare System, UT.</w:t>
      </w:r>
      <w:r>
        <w:t xml:space="preserve"> </w:t>
      </w:r>
      <w:r>
        <w:rPr>
          <w:vertAlign w:val="superscript"/>
        </w:rPr>
        <w:t xml:space="preserve">5</w:t>
      </w:r>
      <w:r>
        <w:t xml:space="preserve">Division of Nephrology and Hypertension, Department of Internal Medicine, University of Utah School of Medicine, Salt Lake Cite, UT.</w:t>
      </w:r>
      <w:r>
        <w:t xml:space="preserve"> </w:t>
      </w:r>
      <w:r>
        <w:rPr>
          <w:vertAlign w:val="superscript"/>
        </w:rPr>
        <w:t xml:space="preserve">6</w:t>
      </w:r>
      <w:r>
        <w:t xml:space="preserve">Department of Preventive Medicine, University of Tennessee Health Science Center, Memphis.</w:t>
      </w:r>
      <w:r>
        <w:t xml:space="preserve"> </w:t>
      </w:r>
      <w:r>
        <w:rPr>
          <w:vertAlign w:val="superscript"/>
        </w:rPr>
        <w:t xml:space="preserve">7</w:t>
      </w:r>
      <w:r>
        <w:t xml:space="preserve">Division of Renal Diseases &amp; Hypertension, University of Minnesota, MN.</w:t>
      </w:r>
      <w:r>
        <w:t xml:space="preserve"> </w:t>
      </w:r>
      <w:r>
        <w:rPr>
          <w:vertAlign w:val="superscript"/>
        </w:rPr>
        <w:t xml:space="preserve">8</w:t>
      </w:r>
      <w:r>
        <w:t xml:space="preserve">Clinical Applications and Prevention Branch, National Heart, Lung, and Blood Institute, National Institutes of Health, Bethesda, MD.</w:t>
      </w:r>
      <w:r>
        <w:t xml:space="preserve"> </w:t>
      </w:r>
      <w:r>
        <w:rPr>
          <w:vertAlign w:val="superscript"/>
        </w:rPr>
        <w:t xml:space="preserve">9</w:t>
      </w:r>
      <w:r>
        <w:t xml:space="preserve">Department of Epidemiology, University of Alabama at Birmingham.</w:t>
      </w:r>
      <w:r>
        <w:t xml:space="preserve"> </w:t>
      </w:r>
      <w:r>
        <w:rPr>
          <w:vertAlign w:val="superscript"/>
        </w:rPr>
        <w:t xml:space="preserve">10</w:t>
      </w:r>
      <w:r>
        <w:t xml:space="preserve">Division of Cardiovascular Disease, Department of Medicine, University of Alabama at Birmingham.</w:t>
      </w:r>
      <w:r>
        <w:t xml:space="preserve"> </w:t>
      </w:r>
      <w:r>
        <w:rPr>
          <w:vertAlign w:val="superscript"/>
        </w:rPr>
        <w:t xml:space="preserve">11</w:t>
      </w:r>
      <w:r>
        <w:t xml:space="preserve">Section on Nephrology, Department of Internal Medicine, Wake Forest School of Medicine, Winston-Salem, NC.</w:t>
      </w:r>
      <w:r>
        <w:t xml:space="preserve"> </w:t>
      </w:r>
      <w:r>
        <w:rPr>
          <w:vertAlign w:val="superscript"/>
        </w:rPr>
        <w:t xml:space="preserve">12</w:t>
      </w:r>
      <w:r>
        <w:t xml:space="preserve">Division of Geriatrics, University of Utah School of Medicine, Salt Lake City.</w:t>
      </w:r>
      <w:r>
        <w:t xml:space="preserve"> </w:t>
      </w:r>
      <w:r>
        <w:rPr>
          <w:vertAlign w:val="superscript"/>
        </w:rPr>
        <w:t xml:space="preserve">13</w:t>
      </w:r>
      <w:r>
        <w:t xml:space="preserve">Department of Epidemiology, Tulane University School of Public Health and Tropical Medicine, New Orleans, LA.</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effect of intensive treatment on longer term mortality is unknown.</w:t>
      </w:r>
    </w:p>
    <w:p>
      <w:pPr>
        <w:pStyle w:val="BodyText"/>
      </w:pPr>
      <w:r>
        <w:rPr>
          <w:bCs/>
          <w:b/>
        </w:rPr>
        <w:t xml:space="preserve">OBJECTIVE</w:t>
      </w:r>
      <w:r>
        <w:t xml:space="preserve">. To evaluate the legacy effect of intensive hypertension treatment on longer term all-cause and cardiovascular mortality.</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was stopped early on August 20, 2015, and trial follow-up visits occurred through July 2016.</w:t>
      </w:r>
    </w:p>
    <w:p>
      <w:pPr>
        <w:pStyle w:val="BodyText"/>
      </w:pPr>
      <w:r>
        <w:rPr>
          <w:bCs/>
          <w:b/>
        </w:rPr>
        <w:t xml:space="preserve">INTERVENTIONS</w:t>
      </w:r>
      <w:r>
        <w:t xml:space="preserve">. Randomization to a systolic blood pressure goal of either less than 120 mm Hg (intensive treatment, n=4678) versus less than 140 mm Hg (standard treatment, N=4683).</w:t>
      </w:r>
    </w:p>
    <w:p>
      <w:pPr>
        <w:pStyle w:val="BodyText"/>
      </w:pPr>
      <w:r>
        <w:rPr>
          <w:bCs/>
          <w:b/>
        </w:rPr>
        <w:t xml:space="preserve">MAIN OUTCOMES AND MEASURES</w:t>
      </w:r>
      <w:r>
        <w:t xml:space="preserve">. Cardiovascular and all-cause mortality assessed via the US National Death Index, beginning in 2016 through December 31st, 2020. Outpatient blood pressures measured in routine clinical practice were examined in a subset of trial participants (N=3644).</w:t>
      </w:r>
    </w:p>
    <w:p>
      <w:pPr>
        <w:pStyle w:val="BodyText"/>
      </w:pPr>
      <w:r>
        <w:rPr>
          <w:bCs/>
          <w:b/>
        </w:rPr>
        <w:t xml:space="preserve">RESULTS</w:t>
      </w:r>
      <w:r>
        <w:t xml:space="preserve">. Among 9361 randomized participants (mean age, 67.9 years; 3332 women [35.6%]), the median intervention period was 3.34 years. Over a median follow-up of 8.76 years,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 Analyses of outpatient blood pressures indicated a steady decline in the mean between group difference following the trial, largely driven by increases in mean systolic blood pressure in participnts randomized to intensive treatment, increasing from a mean of X at 4.5 years of follow-up to Y at 9 years of follow-up.</w:t>
      </w:r>
    </w:p>
    <w:p>
      <w:pPr>
        <w:pStyle w:val="BodyText"/>
      </w:pPr>
      <w:r>
        <w:t xml:space="preserve">there were 248 and 818 cardiovascular and all-cause deaths with intensive treatment respectively, and 273 cardiovascular / 826 all-cause deaths for standard treatment.</w:t>
      </w:r>
    </w:p>
    <w:p>
      <w:pPr>
        <w:pStyle w:val="BodyText"/>
      </w:pPr>
      <w:r>
        <w:rPr>
          <w:bCs/>
          <w:b/>
        </w:rPr>
        <w:t xml:space="preserve">CONCLUSIONS AND RELEVANCE</w:t>
      </w:r>
      <w:r>
        <w:t xml:space="preserve">. The observed benefit of intensive treatment on cardiovascular and all-cause mortality was largely attenuated during post-trial observational follow-up. Given increasing blood pressures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Blood pressure (BP) is the leading modifiable risk factor for cardiovascular disease (CVD). A meta analysis of pooled clinical trial data has shown that pharmacological BP reduction reduces the risk of major cardiovascular events, with larger absolute risk reduction for older adults.</w:t>
      </w:r>
      <w:r>
        <w:rPr>
          <w:vertAlign w:val="superscript"/>
        </w:rPr>
        <w:t xml:space="preserve">1</w:t>
      </w:r>
      <w:r>
        <w:t xml:space="preserve"> The Systolic Blood Pressure Intervention Trial (SPRINT) and the Strategy of Blood Pressure Intervention in the Elderly Hypertensive Patients (STEP) each showed that intensive systolic BP (SBP) control, defined by a SBP &lt; 120 mm Hg in SPRINT and SBP &lt; 130 mm Hg in STEP, reduced the risk for cardiovascular morbidity and mortality.</w:t>
      </w:r>
      <w:r>
        <w:rPr>
          <w:vertAlign w:val="superscript"/>
        </w:rPr>
        <w:t xml:space="preserve">2,3</w:t>
      </w:r>
      <w:r>
        <w:t xml:space="preserve"> However, as both trials were stopped early after a median follow-up of 3 years, the longer term effect of randomization to intensive SBP control on CVD risk and SBP levels following the trial period are unclear.</w:t>
      </w:r>
    </w:p>
    <w:p>
      <w:pPr>
        <w:pStyle w:val="BodyText"/>
      </w:pPr>
      <w:r>
        <w:t xml:space="preserve">The objective of the current study was to estimate the longer term effect of randomization to intensive SBP control on CVD risk for SPRINT participants. A secondary objective was to describe SBP levels over time following the trial period. To accomplish these objectives, we linked SPRINT participant data to the National Death Index (NDI) and pulled longitudinal SBP data for participants with available BP values in the electronic health record (EHR).</w:t>
      </w:r>
    </w:p>
    <w:bookmarkEnd w:id="22"/>
    <w:bookmarkStart w:id="24" w:name="methods"/>
    <w:p>
      <w:pPr>
        <w:pStyle w:val="Heading1"/>
      </w:pPr>
      <w:r>
        <w:t xml:space="preserve">METHODS</w:t>
      </w:r>
    </w:p>
    <w:p>
      <w:pPr>
        <w:pStyle w:val="FirstParagraph"/>
      </w:pPr>
      <w:r>
        <w:rPr>
          <w:bCs/>
          <w:b/>
        </w:rPr>
        <w:t xml:space="preserve">Trial Design</w:t>
      </w:r>
      <w:r>
        <w:t xml:space="preserve">: The trial design and methods have been published previously.</w:t>
      </w:r>
      <w:r>
        <w:rPr>
          <w:vertAlign w:val="superscript"/>
        </w:rPr>
        <w:t xml:space="preserve">4</w:t>
      </w:r>
      <w:r>
        <w:t xml:space="preserve"> Briefly, we conducted a multicenter randomized clinical trial that compared two strategies for managing systolic BP (SBP) in older adults with hypertension who were at increased risk of cardiovascular disease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5</w:t>
      </w:r>
      <w:r>
        <w:t xml:space="preserve"> </w:t>
      </w:r>
      <w:r>
        <w:t xml:space="preserve">Cognitive function was assessed using Montreal Cognitive Assessment (MoCA).</w:t>
      </w:r>
      <w:r>
        <w:rPr>
          <w:vertAlign w:val="superscript"/>
        </w:rPr>
        <w:t xml:space="preserve">6</w:t>
      </w:r>
      <w:r>
        <w:t xml:space="preserve"> Lower cognitive function was defined as scoring 18 or lower (less than high school education) or 20 or lower (high school education or higher) on the MoCA. This roughly corresponds to the estimated normative 10th percentile in the Irish Longitudinal Study of Aging.</w:t>
      </w:r>
      <w:r>
        <w:rPr>
          <w:vertAlign w:val="superscript"/>
        </w:rPr>
        <w:t xml:space="preserve">7</w:t>
      </w:r>
      <w:r>
        <w:t xml:space="preserve"> We defined frailty status at baseline using a previously developed Frailty Index (FI) based upon the model of deficit accumulation.</w:t>
      </w:r>
      <w:r>
        <w:rPr>
          <w:vertAlign w:val="superscript"/>
        </w:rPr>
        <w:t xml:space="preserve">8</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CVD mortality. Methods of ascertainment and adjudication through the course of trial follow-up have been previously described. Subsequently, mortality was ascertained through a US National Death Index (NDI) search. Possible matches were identified according to NDI guidelines. To be considered a confirmed death, we required 4 or more of 5 matches among Social Security number, name, date of birth, city, and state in the NDI. NDI follow-up began in 2016 and ended on the date of death or date of the NDI search (2020). Deaths ascertained in 2020 were based on the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p>
    <w:p>
      <w:pPr>
        <w:pStyle w:val="BodyText"/>
      </w:pPr>
      <w:r>
        <w:rPr>
          <w:bCs/>
          <w:b/>
        </w:rPr>
        <w:t xml:space="preserve">EHR Ancillary Study</w:t>
      </w:r>
      <w:r>
        <w:t xml:space="preserve">: We examined the trajectory of systolic blood pressure (SBP) following the conclusion of the trial using outpatient SBPs extracted from the electronic health record (EHR). Methods for the linkage of participants to their medical record number and the extraction of vital sign data have been previously described.</w:t>
      </w:r>
      <w:r>
        <w:rPr>
          <w:vertAlign w:val="superscript"/>
        </w:rPr>
        <w:t xml:space="preserve">9</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10</w:t>
      </w:r>
      <w:r>
        <w:t xml:space="preserve"> The second approach estimated a continuous time-dependent effect.</w:t>
      </w:r>
      <w:r>
        <w:rPr>
          <w:vertAlign w:val="superscript"/>
        </w:rPr>
        <w:t xml:space="preserve">11,12</w:t>
      </w:r>
      <w:r>
        <w:t xml:space="preserve"> All analyses accounted for correlation within study sites,</w:t>
      </w:r>
      <w:r>
        <w:rPr>
          <w:vertAlign w:val="superscript"/>
        </w:rPr>
        <w:t xml:space="preserve">13</w:t>
      </w:r>
      <w:r>
        <w:t xml:space="preserve"> and analyses of cardiovascular mortality accounted for the competing risk of non-cardiovascular mortality.</w:t>
      </w:r>
      <w:r>
        <w:rPr>
          <w:vertAlign w:val="superscript"/>
        </w:rPr>
        <w:t xml:space="preserve">14</w:t>
      </w:r>
      <w:r>
        <w:t xml:space="preserve"> The mean between-group differences in SBP following the conclusion of trial follow-up (after July 2016) were estimated using linear mixed models. Models included random effects for participant and clinic site. Our primary models included an interaction between treatment group and time since randomization, which was flexibly modeled using B-splines.</w:t>
      </w:r>
    </w:p>
    <w:p>
      <w:pPr>
        <w:pStyle w:val="BodyText"/>
      </w:pPr>
      <w:r>
        <w:t xml:space="preserve">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15–20</w:t>
      </w:r>
      <w:r>
        <w:t xml:space="preserve"> 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2</w:t>
      </w:r>
      <w:r>
        <w:t xml:space="preserve">). The hazard ratio (HR) for all-cause mortality among participants randomized to intensive versus standard treatment was 0.83 (95% confidence interval [CI] 0.68, 1.01) during the trial phase and 1.08 (95% CI 0.94, 1.23) during the cohort phase. In subgroups based on age, sex, race, CKD, cognitive function, and frailty, there was no evidence that intensive treatment during the trial phase had benefit for all-cause mortality during the cohort phase (</w:t>
      </w:r>
      <w:r>
        <w:rPr>
          <w:bCs/>
          <w:b/>
        </w:rPr>
        <w:t xml:space="preserve">eFigure 1</w:t>
      </w:r>
      <w:r>
        <w:t xml:space="preserv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w:t>
      </w:r>
    </w:p>
    <w:p>
      <w:pPr>
        <w:pStyle w:val="BodyText"/>
      </w:pPr>
      <w:r>
        <w:t xml:space="preserve">A total of 248 and 273 CVD mortality events occurred among participants randomized to intensive and standard treatment, respectively (</w:t>
      </w:r>
      <w:r>
        <w:rPr>
          <w:bCs/>
          <w:b/>
        </w:rPr>
        <w:t xml:space="preserve">Table 3</w:t>
      </w:r>
      <w:r>
        <w:t xml:space="preserve">). The HR for CVD mortality among participants randomized to intensive versus standard treatment was 0.66 (95% CI 0.49, 0.89) during the trial phase and 1.02 (95% CI 0.84, 1.24) during the cohort phase.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eFigure 2</w:t>
      </w:r>
      <w:r>
        <w:t xml:space="preserve">). The time-dependent effect of intensive versus standard treatment indicated a benefit for CVD mortality from 2.30 to 5.62 years from randomization, and was attenuated throughout the remainder of the cohort period (</w:t>
      </w:r>
      <w:r>
        <w:rPr>
          <w:bCs/>
          <w:b/>
        </w:rPr>
        <w:t xml:space="preserve">Figure 2</w:t>
      </w:r>
      <w:r>
        <w:t xml:space="preserve">).</w:t>
      </w:r>
    </w:p>
    <w:p>
      <w:pPr>
        <w:pStyle w:val="BodyText"/>
      </w:pPr>
      <w:r>
        <w:t xml:space="preserve">The estimated mean SBP among participants randomized to intensive treatment was &lt;placeholder (95% CI)&gt; at 5 years and &lt;placeholder (95% CI)&gt; at 10 years post-randomization (</w:t>
      </w:r>
      <w:r>
        <w:rPr>
          <w:bCs/>
          <w:b/>
        </w:rPr>
        <w:t xml:space="preserve">Figure 3</w:t>
      </w:r>
      <w:r>
        <w:t xml:space="preserve">). For participants randomized to standard treatment, mean SBP was estimated to be &lt;placeholder (95% CI)&gt; at 5 years and &lt;placeholder (95% CI)&gt; at 10 years post-randomization.</w:t>
      </w:r>
    </w:p>
    <w:bookmarkEnd w:id="25"/>
    <w:bookmarkStart w:id="26" w:name="discussion"/>
    <w:p>
      <w:pPr>
        <w:pStyle w:val="Heading1"/>
      </w:pPr>
      <w:r>
        <w:t xml:space="preserve">DISCUSSION</w:t>
      </w:r>
    </w:p>
    <w:p>
      <w:pPr>
        <w:pStyle w:val="FirstParagraph"/>
      </w:pPr>
      <w:r>
        <w:t xml:space="preserve">A striking aspect of our results is the quickly weakening level of BP control for participants randomized to intensive treatment. While an attenuation of the between-group BP delta subsequent to the trial was certainly expected, one hypothesis was that such an attenuation would be driven by participants randomized to standard treatment pursuing a lower BP goal, given the results of SPRINT and subsequent changes to hypertension guidelines. However, this is clearly not what occurred. While we do not have access to prescription records to know how participant medication regimes may have changed after the trial, these results likely show some contribution of clinician therapeutic inertia, which has been identified as a significant barrier to improving population level control of hypertension. Combined with evidence showing recent decreases in the population of prevalence of controlled hypertension in the US,</w:t>
      </w:r>
      <w:r>
        <w:rPr>
          <w:vertAlign w:val="superscript"/>
        </w:rPr>
        <w:t xml:space="preserve">21</w:t>
      </w:r>
      <w:r>
        <w:t xml:space="preserve"> </w:t>
      </w:r>
      <w:r>
        <w:t xml:space="preserve">our results highlight the sobering reality facing the hypertension community. Sustainability is a clear limiting factor, especially with trying to implement lower BP goals and interventions earlier in adulthood.</w:t>
      </w:r>
    </w:p>
    <w:p>
      <w:pPr>
        <w:pStyle w:val="BodyText"/>
      </w:pPr>
      <w:r>
        <w:t xml:space="preserve">This study has several limitations. First, while we restricted analyses to high quality NDI matches, some small degree of misclassification in linking participants to the NDI is likely. Second, while several studies have shown reasonable performance of using NDI diagnosis codes for defining CVD mortality, it is clearly not as robust as the adjudication process used in the primary follow-up for the trial. Third, information about BP control after the trial was limited to routine outpatient BPs extracted from the EHR, which are well known to poorly reflect the standardized BP measurement process used during the trial.</w:t>
      </w:r>
      <w:r>
        <w:rPr>
          <w:vertAlign w:val="superscript"/>
        </w:rPr>
        <w:t xml:space="preserve">9</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1</w:t>
      </w:r>
      <w:r>
        <w:t xml:space="preserve">: Characteristics of study participants stratified by inclusion in the electronic health record ancillary study.</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956"/>
        <w:gridCol w:w="1774"/>
        <w:gridCol w:w="1872"/>
        <w:gridCol w:w="1132"/>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ancillary EHR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3,409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Mean (SD)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Median (IQR)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(62,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pPr>
        <w:sectPr>
          <w:pgSz w:h="16838" w:w="11906" w:orient="portrait"/>
          <w:type w:val="continuous"/>
          <w:cols/>
          <w:pgMar xmlns:w="http://schemas.openxmlformats.org/wordprocessingml/2006/main" w:header="720" w:bottom="1800" w:top="1800" w:right="720" w:left="720" w:footer="720" w:gutter="720"/>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(A) Cumulative incidence of all-cause mortality by treatment group. (B) Time-dependent effect of randomization to intensive treatment for all-cause mortality.</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64"/>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2</w:t>
      </w:r>
      <w:r>
        <w:t xml:space="preserve">: (A) Cumulative incidence of cardiovascular and non-cardiovascular mortality by treatment group. (B) Time-dependent effect of randomization to intensive treatment for cardiovascular mortality.</w:t>
      </w:r>
      <w:r>
        <w:t xml:space="preserve"> </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65"/>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(A) Mean systolic blood pressure over time by treatment group. (B) Mean difference in systolic blood pressure over time. Shaded areas indicate a 95% confidence interval for the mean. Horizontal lines during the trial period show target blood pressure values for each treatment group</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66"/>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p>
      <w:pPr>
        <w:pStyle w:val="BodyText"/>
      </w:pPr>
      <w: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Alfred K. Cheung, MD,</w:t>
      </w:r>
      <w:r>
        <w:rPr>
          <w:vertAlign w:val="superscript"/>
        </w:rPr>
        <w:t xml:space="preserve">4,5</w:t>
      </w:r>
      <w:r>
        <w:t xml:space="preserve"> </w:t>
      </w:r>
      <w:r>
        <w:t xml:space="preserve">William C. Cushman, MD,</w:t>
      </w:r>
      <w:r>
        <w:rPr>
          <w:vertAlign w:val="superscript"/>
        </w:rPr>
        <w:t xml:space="preserve">6</w:t>
      </w:r>
      <w:r>
        <w:t xml:space="preserve"> </w:t>
      </w:r>
      <w:r>
        <w:t xml:space="preserve">Paul E. Drawz, MD,</w:t>
      </w:r>
      <w:r>
        <w:rPr>
          <w:vertAlign w:val="superscript"/>
        </w:rPr>
        <w:t xml:space="preserve">7</w:t>
      </w:r>
      <w:r>
        <w:t xml:space="preserve"> </w:t>
      </w:r>
      <w:r>
        <w:t xml:space="preserve">Lawrence J. Fine, MD,</w:t>
      </w:r>
      <w:r>
        <w:rPr>
          <w:vertAlign w:val="superscript"/>
        </w:rPr>
        <w:t xml:space="preserve">8</w:t>
      </w:r>
      <w:r>
        <w:t xml:space="preserve"> </w:t>
      </w:r>
      <w:r>
        <w:t xml:space="preserve">Karen C. Johnson, MD,</w:t>
      </w:r>
      <w:r>
        <w:rPr>
          <w:vertAlign w:val="superscript"/>
        </w:rPr>
        <w:t xml:space="preserve">6</w:t>
      </w:r>
      <w:r>
        <w:t xml:space="preserve"> </w:t>
      </w:r>
      <w:r>
        <w:t xml:space="preserve">Cora E. Lewis, MD,</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Mark A. Supiano, MD,</w:t>
      </w:r>
      <w:r>
        <w:rPr>
          <w:vertAlign w:val="superscript"/>
        </w:rPr>
        <w:t xml:space="preserve">12</w:t>
      </w:r>
      <w:r>
        <w:t xml:space="preserve"> </w:t>
      </w:r>
      <w:r>
        <w:t xml:space="preserve">Paul K. Whelton, MD,</w:t>
      </w:r>
      <w:r>
        <w:rPr>
          <w:vertAlign w:val="superscript"/>
        </w:rPr>
        <w:t xml:space="preserve">13</w:t>
      </w:r>
      <w:r>
        <w:t xml:space="preserve"> </w:t>
      </w:r>
      <w:r>
        <w:t xml:space="preserve">Joshua D. Bundy, PhD,</w:t>
      </w:r>
      <w:r>
        <w:rPr>
          <w:vertAlign w:val="superscript"/>
        </w:rPr>
        <w:t xml:space="preserve">13</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Renal Section, Veterans Affairs Salt Lake City Healthcare System, UT.</w:t>
      </w:r>
      <w:r>
        <w:t xml:space="preserve"> </w:t>
      </w:r>
      <w:r>
        <w:rPr>
          <w:vertAlign w:val="superscript"/>
        </w:rPr>
        <w:t xml:space="preserve">5</w:t>
      </w:r>
      <w:r>
        <w:t xml:space="preserve">Division of Nephrology and Hypertension, Department of Internal Medicine, University of Utah School of Medicine, Salt Lake Cite, UT.</w:t>
      </w:r>
      <w:r>
        <w:t xml:space="preserve"> </w:t>
      </w:r>
      <w:r>
        <w:rPr>
          <w:vertAlign w:val="superscript"/>
        </w:rPr>
        <w:t xml:space="preserve">6</w:t>
      </w:r>
      <w:r>
        <w:t xml:space="preserve">Department of Preventive Medicine, University of Tennessee Health Science Center, Memphis.</w:t>
      </w:r>
      <w:r>
        <w:t xml:space="preserve"> </w:t>
      </w:r>
      <w:r>
        <w:rPr>
          <w:vertAlign w:val="superscript"/>
        </w:rPr>
        <w:t xml:space="preserve">7</w:t>
      </w:r>
      <w:r>
        <w:t xml:space="preserve">Division of Renal Diseases &amp; Hypertension, University of Minnesota, MN.</w:t>
      </w:r>
      <w:r>
        <w:t xml:space="preserve"> </w:t>
      </w:r>
      <w:r>
        <w:rPr>
          <w:vertAlign w:val="superscript"/>
        </w:rPr>
        <w:t xml:space="preserve">8</w:t>
      </w:r>
      <w:r>
        <w:t xml:space="preserve">Clinical Applications and Prevention Branch, National Heart, Lung, and Blood Institute, National Institutes of Health, Bethesda, MD.</w:t>
      </w:r>
      <w:r>
        <w:t xml:space="preserve"> </w:t>
      </w:r>
      <w:r>
        <w:rPr>
          <w:vertAlign w:val="superscript"/>
        </w:rPr>
        <w:t xml:space="preserve">9</w:t>
      </w:r>
      <w:r>
        <w:t xml:space="preserve">Department of Epidemiology, University of Alabama at Birmingham.</w:t>
      </w:r>
      <w:r>
        <w:t xml:space="preserve"> </w:t>
      </w:r>
      <w:r>
        <w:rPr>
          <w:vertAlign w:val="superscript"/>
        </w:rPr>
        <w:t xml:space="preserve">10</w:t>
      </w:r>
      <w:r>
        <w:t xml:space="preserve">Division of Cardiovascular Disease, Department of Medicine, University of Alabama at Birmingham.</w:t>
      </w:r>
      <w:r>
        <w:t xml:space="preserve"> </w:t>
      </w:r>
      <w:r>
        <w:rPr>
          <w:vertAlign w:val="superscript"/>
        </w:rPr>
        <w:t xml:space="preserve">11</w:t>
      </w:r>
      <w:r>
        <w:t xml:space="preserve">Section on Nephrology, Department of Internal Medicine, Wake Forest School of Medicine, Winston-Salem, NC.</w:t>
      </w:r>
      <w:r>
        <w:t xml:space="preserve"> </w:t>
      </w:r>
      <w:r>
        <w:rPr>
          <w:vertAlign w:val="superscript"/>
        </w:rPr>
        <w:t xml:space="preserve">12</w:t>
      </w:r>
      <w:r>
        <w:t xml:space="preserve">Division of Geriatrics, University of Utah School of Medicine, Salt Lake City.</w:t>
      </w:r>
      <w:r>
        <w:t xml:space="preserve"> </w:t>
      </w:r>
      <w:r>
        <w:rPr>
          <w:vertAlign w:val="superscript"/>
        </w:rPr>
        <w:t xml:space="preserve">13</w:t>
      </w:r>
      <w:r>
        <w:t xml:space="preserve">Department of Epidemiology, Tulane University School of Public Health and Tropical Medicine, New Orleans, LA.</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sectPr>
          <w:pgSz w:h="16838" w:w="11906" w:orient="portrait"/>
          <w:type w:val="continuous"/>
          <w:cols/>
          <w:pgMar xmlns:w="http://schemas.openxmlformats.org/wordprocessingml/2006/main" w:header="720" w:bottom="1800" w:top="1800" w:right="720" w:left="720" w:footer="720" w:gutter="720"/>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 stratified by inclusion in the electronic health record ancillary study and by treatment 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368"/>
        <w:gridCol w:w="1368"/>
        <w:gridCol w:w="1368"/>
        <w:gridCol w:w="1368"/>
        <w:gridCol w:w="1368"/>
        <w:gridCol w:w="1368"/>
      </w:tblGrid>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Not included in EHR ancillary study</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r>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2,985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2,967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1,698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1,711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Mean (SD)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Median (IQR)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(61,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(62,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r>
        <w:br w:type="page"/>
      </w:r>
    </w:p>
    <w:p>
      <w:pPr>
        <w:pStyle w:val="BodyText"/>
      </w:pPr>
      <w:r>
        <w:rPr>
          <w:bCs/>
          <w:b/>
        </w:rPr>
        <w:t xml:space="preserve">eFigure 1</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6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eFigure 2</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68"/>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bookmarkEnd w:id="28"/>
    <w:bookmarkStart w:id="67" w:name="references"/>
    <w:p>
      <w:pPr>
        <w:pStyle w:val="Heading1"/>
      </w:pPr>
      <w:r>
        <w:t xml:space="preserve">REFERENCES</w:t>
      </w:r>
    </w:p>
    <w:bookmarkStart w:id="66" w:name="refs"/>
    <w:bookmarkStart w:id="30" w:name="ref-rahimi_age_stratified_2021"/>
    <w:p>
      <w:pPr>
        <w:pStyle w:val="Bibliography"/>
      </w:pPr>
      <w:r>
        <w:t xml:space="preserve">1.</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29">
        <w:r>
          <w:rPr>
            <w:rStyle w:val="Hyperlink"/>
          </w:rPr>
          <w:t xml:space="preserve">10.1016/S0140-6736(21)01921-8</w:t>
        </w:r>
      </w:hyperlink>
    </w:p>
    <w:bookmarkEnd w:id="30"/>
    <w:bookmarkStart w:id="31" w:name="X71220bfa5ead06078c2f5fafd6fc9cc12b95335"/>
    <w:p>
      <w:pPr>
        <w:pStyle w:val="Bibliography"/>
      </w:pPr>
      <w:r>
        <w:t xml:space="preserve">2.</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2015;373(22):2103-2116.</w:t>
      </w:r>
    </w:p>
    <w:bookmarkEnd w:id="31"/>
    <w:bookmarkStart w:id="33" w:name="ref-zhang_trial_2021"/>
    <w:p>
      <w:pPr>
        <w:pStyle w:val="Bibliography"/>
      </w:pPr>
      <w:r>
        <w:t xml:space="preserve">3.</w:t>
      </w:r>
      <w:r>
        <w:t xml:space="preserve"> </w:t>
      </w:r>
      <w:r>
        <w:t xml:space="preserve">	</w:t>
      </w:r>
      <w:r>
        <w:t xml:space="preserve">Zhang W, Zhang S, Deng Y, et al.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Published online August 2021. doi:</w:t>
      </w:r>
      <w:hyperlink r:id="rId32">
        <w:r>
          <w:rPr>
            <w:rStyle w:val="Hyperlink"/>
          </w:rPr>
          <w:t xml:space="preserve">10.1056/NEJMoa2111437</w:t>
        </w:r>
      </w:hyperlink>
    </w:p>
    <w:bookmarkEnd w:id="33"/>
    <w:bookmarkStart w:id="35"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4">
        <w:r>
          <w:rPr>
            <w:rStyle w:val="Hyperlink"/>
          </w:rPr>
          <w:t xml:space="preserve">10.1177/1740774514537404</w:t>
        </w:r>
      </w:hyperlink>
    </w:p>
    <w:bookmarkEnd w:id="35"/>
    <w:bookmarkStart w:id="37"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6">
        <w:r>
          <w:rPr>
            <w:rStyle w:val="Hyperlink"/>
          </w:rPr>
          <w:t xml:space="preserve">10.1056/NEJMoa2102953</w:t>
        </w:r>
      </w:hyperlink>
    </w:p>
    <w:bookmarkEnd w:id="37"/>
    <w:bookmarkStart w:id="39"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8">
        <w:r>
          <w:rPr>
            <w:rStyle w:val="Hyperlink"/>
          </w:rPr>
          <w:t xml:space="preserve">10.1111/j.1532-5415.2005.53221.x</w:t>
        </w:r>
      </w:hyperlink>
    </w:p>
    <w:bookmarkEnd w:id="39"/>
    <w:bookmarkStart w:id="41"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40">
        <w:r>
          <w:rPr>
            <w:rStyle w:val="Hyperlink"/>
          </w:rPr>
          <w:t xml:space="preserve">10.1111/jgs.12195</w:t>
        </w:r>
      </w:hyperlink>
    </w:p>
    <w:bookmarkEnd w:id="41"/>
    <w:bookmarkStart w:id="43" w:name="ref-pajewski_characterizing_2016"/>
    <w:p>
      <w:pPr>
        <w:pStyle w:val="Bibliography"/>
      </w:pPr>
      <w:r>
        <w:t xml:space="preserve">8.</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2">
        <w:r>
          <w:rPr>
            <w:rStyle w:val="Hyperlink"/>
          </w:rPr>
          <w:t xml:space="preserve">10.1093/gerona/glv228</w:t>
        </w:r>
      </w:hyperlink>
    </w:p>
    <w:bookmarkEnd w:id="43"/>
    <w:bookmarkStart w:id="45" w:name="ref-drawz_concordance_2020"/>
    <w:p>
      <w:pPr>
        <w:pStyle w:val="Bibliography"/>
      </w:pPr>
      <w:r>
        <w:t xml:space="preserve">9.</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4">
        <w:r>
          <w:rPr>
            <w:rStyle w:val="Hyperlink"/>
          </w:rPr>
          <w:t xml:space="preserve">10.1001/jamainternmed.2020.5028</w:t>
        </w:r>
      </w:hyperlink>
    </w:p>
    <w:bookmarkEnd w:id="45"/>
    <w:bookmarkStart w:id="47" w:name="ref-zhang_time_varying_2018"/>
    <w:p>
      <w:pPr>
        <w:pStyle w:val="Bibliography"/>
      </w:pPr>
      <w:r>
        <w:t xml:space="preserve">10.</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6">
        <w:r>
          <w:rPr>
            <w:rStyle w:val="Hyperlink"/>
          </w:rPr>
          <w:t xml:space="preserve">10.21037/atm.2018.02.12</w:t>
        </w:r>
      </w:hyperlink>
    </w:p>
    <w:bookmarkEnd w:id="47"/>
    <w:bookmarkStart w:id="48" w:name="ref-martinussen2007dynamic"/>
    <w:p>
      <w:pPr>
        <w:pStyle w:val="Bibliography"/>
      </w:pPr>
      <w:r>
        <w:t xml:space="preserve">11.</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8"/>
    <w:bookmarkStart w:id="49" w:name="ref-therneau2017using"/>
    <w:p>
      <w:pPr>
        <w:pStyle w:val="Bibliography"/>
      </w:pPr>
      <w:r>
        <w:t xml:space="preserve">12.</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49"/>
    <w:bookmarkStart w:id="50" w:name="ref-lin_robust_1989"/>
    <w:p>
      <w:pPr>
        <w:pStyle w:val="Bibliography"/>
      </w:pPr>
      <w:r>
        <w:t xml:space="preserve">13.</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0"/>
    <w:bookmarkStart w:id="52" w:name="ref-scheike_flexible_2008"/>
    <w:p>
      <w:pPr>
        <w:pStyle w:val="Bibliography"/>
      </w:pPr>
      <w:r>
        <w:t xml:space="preserve">14.</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1">
        <w:r>
          <w:rPr>
            <w:rStyle w:val="Hyperlink"/>
          </w:rPr>
          <w:t xml:space="preserve">10.1007/s10985-008-9094-0</w:t>
        </w:r>
      </w:hyperlink>
    </w:p>
    <w:bookmarkEnd w:id="52"/>
    <w:bookmarkStart w:id="54" w:name="ref-r_language"/>
    <w:p>
      <w:pPr>
        <w:pStyle w:val="Bibliography"/>
      </w:pPr>
      <w:r>
        <w:t xml:space="preserve">15.</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3">
        <w:r>
          <w:rPr>
            <w:rStyle w:val="Hyperlink"/>
          </w:rPr>
          <w:t xml:space="preserve">https://www.R-project.org/</w:t>
        </w:r>
      </w:hyperlink>
    </w:p>
    <w:bookmarkEnd w:id="54"/>
    <w:bookmarkStart w:id="56" w:name="ref-table.glue"/>
    <w:p>
      <w:pPr>
        <w:pStyle w:val="Bibliography"/>
      </w:pPr>
      <w:r>
        <w:t xml:space="preserve">16.</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5">
        <w:r>
          <w:rPr>
            <w:rStyle w:val="Hyperlink"/>
          </w:rPr>
          <w:t xml:space="preserve">https://github.com/bcjaeger/table.glue</w:t>
        </w:r>
      </w:hyperlink>
    </w:p>
    <w:bookmarkEnd w:id="56"/>
    <w:bookmarkStart w:id="58" w:name="ref-tidyverse"/>
    <w:p>
      <w:pPr>
        <w:pStyle w:val="Bibliography"/>
      </w:pPr>
      <w:r>
        <w:t xml:space="preserve">17.</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7">
        <w:r>
          <w:rPr>
            <w:rStyle w:val="Hyperlink"/>
          </w:rPr>
          <w:t xml:space="preserve">10.21105/joss.01686</w:t>
        </w:r>
      </w:hyperlink>
    </w:p>
    <w:bookmarkEnd w:id="58"/>
    <w:bookmarkStart w:id="60" w:name="ref-survival_package"/>
    <w:p>
      <w:pPr>
        <w:pStyle w:val="Bibliography"/>
      </w:pPr>
      <w:r>
        <w:t xml:space="preserve">18.</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59">
        <w:r>
          <w:rPr>
            <w:rStyle w:val="Hyperlink"/>
          </w:rPr>
          <w:t xml:space="preserve">https://CRAN.R-project.org/package=survival</w:t>
        </w:r>
      </w:hyperlink>
    </w:p>
    <w:bookmarkEnd w:id="60"/>
    <w:bookmarkStart w:id="62" w:name="ref-timereg"/>
    <w:p>
      <w:pPr>
        <w:pStyle w:val="Bibliography"/>
      </w:pPr>
      <w:r>
        <w:t xml:space="preserve">19.</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1">
        <w:r>
          <w:rPr>
            <w:rStyle w:val="Hyperlink"/>
          </w:rPr>
          <w:t xml:space="preserve">https://www.jstatsoft.org/v38/i02/</w:t>
        </w:r>
      </w:hyperlink>
    </w:p>
    <w:bookmarkEnd w:id="62"/>
    <w:bookmarkStart w:id="64" w:name="ref-targets"/>
    <w:p>
      <w:pPr>
        <w:pStyle w:val="Bibliography"/>
      </w:pPr>
      <w:r>
        <w:t xml:space="preserve">20.</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3">
        <w:r>
          <w:rPr>
            <w:rStyle w:val="Hyperlink"/>
          </w:rPr>
          <w:t xml:space="preserve">https://doi.org/10.21105/joss.02959</w:t>
        </w:r>
      </w:hyperlink>
    </w:p>
    <w:bookmarkEnd w:id="64"/>
    <w:bookmarkStart w:id="65" w:name="ref-muntner2020htn"/>
    <w:p>
      <w:pPr>
        <w:pStyle w:val="Bibliography"/>
      </w:pPr>
      <w:r>
        <w:t xml:space="preserve">21.</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65"/>
    <w:bookmarkEnd w:id="66"/>
    <w:bookmarkEnd w:id="6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3" Type="http://schemas.openxmlformats.org/officeDocument/2006/relationships/hyperlink" Target="http://www.r-project.org" TargetMode="External"/>
<Relationship Id="rId59" Type="http://schemas.openxmlformats.org/officeDocument/2006/relationships/hyperlink" Target="https://CRAN.R-project.org/package=survival" TargetMode="External"/>
<Relationship Id="rId44" Type="http://schemas.openxmlformats.org/officeDocument/2006/relationships/hyperlink" Target="https://doi.org/10.1001/jamainternmed.2020.5028" TargetMode="External"/>
<Relationship Id="rId51" Type="http://schemas.openxmlformats.org/officeDocument/2006/relationships/hyperlink" Target="https://doi.org/10.1007/s10985-008-9094-0" TargetMode="External"/>
<Relationship Id="rId29" Type="http://schemas.openxmlformats.org/officeDocument/2006/relationships/hyperlink" Target="https://doi.org/10.1016/S0140-6736(21)01921-8" TargetMode="External"/>
<Relationship Id="rId36" Type="http://schemas.openxmlformats.org/officeDocument/2006/relationships/hyperlink" Target="https://doi.org/10.1056/NEJMoa2102953" TargetMode="External"/>
<Relationship Id="rId32" Type="http://schemas.openxmlformats.org/officeDocument/2006/relationships/hyperlink" Target="https://doi.org/10.1056/NEJMoa2111437" TargetMode="External"/>
<Relationship Id="rId42" Type="http://schemas.openxmlformats.org/officeDocument/2006/relationships/hyperlink" Target="https://doi.org/10.1093/gerona/glv228" TargetMode="External"/>
<Relationship Id="rId38" Type="http://schemas.openxmlformats.org/officeDocument/2006/relationships/hyperlink" Target="https://doi.org/10.1111/j.1532-5415.2005.53221.x" TargetMode="External"/>
<Relationship Id="rId40" Type="http://schemas.openxmlformats.org/officeDocument/2006/relationships/hyperlink" Target="https://doi.org/10.1111/jgs.12195" TargetMode="External"/>
<Relationship Id="rId34" Type="http://schemas.openxmlformats.org/officeDocument/2006/relationships/hyperlink" Target="https://doi.org/10.1177/1740774514537404" TargetMode="External"/>
<Relationship Id="rId46" Type="http://schemas.openxmlformats.org/officeDocument/2006/relationships/hyperlink" Target="https://doi.org/10.21037/atm.2018.02.12" TargetMode="External"/>
<Relationship Id="rId57" Type="http://schemas.openxmlformats.org/officeDocument/2006/relationships/hyperlink" Target="https://doi.org/10.21105/joss.01686" TargetMode="External"/>
<Relationship Id="rId63" Type="http://schemas.openxmlformats.org/officeDocument/2006/relationships/hyperlink" Target="https://doi.org/10.21105/joss.02959" TargetMode="External"/>
<Relationship Id="rId55" Type="http://schemas.openxmlformats.org/officeDocument/2006/relationships/hyperlink" Target="https://github.com/bcjaeger/table.glue" TargetMode="External"/>
<Relationship Id="rId53" Type="http://schemas.openxmlformats.org/officeDocument/2006/relationships/hyperlink" Target="https://www.R-project.org/" TargetMode="External"/>
<Relationship Id="rId61"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64" Type="http://schemas.openxmlformats.org/officeDocument/2006/relationships/image" Target="media/file5d0855041459.png"/>
<Relationship Id="rId65" Type="http://schemas.openxmlformats.org/officeDocument/2006/relationships/image" Target="media/file5d0817f1c9d.png"/>
<Relationship Id="rId66" Type="http://schemas.openxmlformats.org/officeDocument/2006/relationships/image" Target="media/file5d08723b42c8.png"/>
<Relationship Id="rId67" Type="http://schemas.openxmlformats.org/officeDocument/2006/relationships/image" Target="media/file5d0838eb50ac.png"/>
<Relationship Id="rId68" Type="http://schemas.openxmlformats.org/officeDocument/2006/relationships/image" Target="media/file5d08e7e57a6.png"/>
</Relationships>

</file>

<file path=word/_rels/footnotes.xml.rels><?xml version="1.0" encoding="UTF-8" standalone="yes"?>

<Relationships  xmlns="http://schemas.openxmlformats.org/package/2006/relationships">
<Relationship Id="rId23" Type="http://schemas.openxmlformats.org/officeDocument/2006/relationships/hyperlink" Target="http://www.r-project.org" TargetMode="External"/>
<Relationship Id="rId59" Type="http://schemas.openxmlformats.org/officeDocument/2006/relationships/hyperlink" Target="https://CRAN.R-project.org/package=survival" TargetMode="External"/>
<Relationship Id="rId44" Type="http://schemas.openxmlformats.org/officeDocument/2006/relationships/hyperlink" Target="https://doi.org/10.1001/jamainternmed.2020.5028" TargetMode="External"/>
<Relationship Id="rId51" Type="http://schemas.openxmlformats.org/officeDocument/2006/relationships/hyperlink" Target="https://doi.org/10.1007/s10985-008-9094-0" TargetMode="External"/>
<Relationship Id="rId29" Type="http://schemas.openxmlformats.org/officeDocument/2006/relationships/hyperlink" Target="https://doi.org/10.1016/S0140-6736(21)01921-8" TargetMode="External"/>
<Relationship Id="rId36" Type="http://schemas.openxmlformats.org/officeDocument/2006/relationships/hyperlink" Target="https://doi.org/10.1056/NEJMoa2102953" TargetMode="External"/>
<Relationship Id="rId32" Type="http://schemas.openxmlformats.org/officeDocument/2006/relationships/hyperlink" Target="https://doi.org/10.1056/NEJMoa2111437" TargetMode="External"/>
<Relationship Id="rId42" Type="http://schemas.openxmlformats.org/officeDocument/2006/relationships/hyperlink" Target="https://doi.org/10.1093/gerona/glv228" TargetMode="External"/>
<Relationship Id="rId38" Type="http://schemas.openxmlformats.org/officeDocument/2006/relationships/hyperlink" Target="https://doi.org/10.1111/j.1532-5415.2005.53221.x" TargetMode="External"/>
<Relationship Id="rId40" Type="http://schemas.openxmlformats.org/officeDocument/2006/relationships/hyperlink" Target="https://doi.org/10.1111/jgs.12195" TargetMode="External"/>
<Relationship Id="rId34" Type="http://schemas.openxmlformats.org/officeDocument/2006/relationships/hyperlink" Target="https://doi.org/10.1177/1740774514537404" TargetMode="External"/>
<Relationship Id="rId46" Type="http://schemas.openxmlformats.org/officeDocument/2006/relationships/hyperlink" Target="https://doi.org/10.21037/atm.2018.02.12" TargetMode="External"/>
<Relationship Id="rId57" Type="http://schemas.openxmlformats.org/officeDocument/2006/relationships/hyperlink" Target="https://doi.org/10.21105/joss.01686" TargetMode="External"/>
<Relationship Id="rId63" Type="http://schemas.openxmlformats.org/officeDocument/2006/relationships/hyperlink" Target="https://doi.org/10.21105/joss.02959" TargetMode="External"/>
<Relationship Id="rId55" Type="http://schemas.openxmlformats.org/officeDocument/2006/relationships/hyperlink" Target="https://github.com/bcjaeger/table.glue" TargetMode="External"/>
<Relationship Id="rId53" Type="http://schemas.openxmlformats.org/officeDocument/2006/relationships/hyperlink" Target="https://www.R-project.org/" TargetMode="External"/>
<Relationship Id="rId61"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2022-01-07T21:06:02Z</dcterms:created>
  <dcterms:modified xsi:type="dcterms:W3CDTF">2022-01-07T16:06:03Z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