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Paul E. Drawz, DEGREES</w:t>
      </w:r>
      <w:r>
        <w:rPr>
          <w:vertAlign w:val="superscript"/>
        </w:rPr>
        <w:t xml:space="preserve">2</w:t>
      </w:r>
      <w:r>
        <w:t xml:space="preserve"> </w:t>
      </w:r>
      <w:r>
        <w:t xml:space="preserve">Paul K. Whelton, DEGREES</w:t>
      </w:r>
      <w:r>
        <w:rPr>
          <w:vertAlign w:val="superscript"/>
        </w:rPr>
        <w:t xml:space="preserve">3</w:t>
      </w:r>
      <w:r>
        <w:t xml:space="preserve"> </w:t>
      </w:r>
      <w:r>
        <w:t xml:space="preserve">Mark A. Supiano, DEGREES</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DEGREES</w:t>
      </w:r>
      <w:r>
        <w:rPr>
          <w:vertAlign w:val="superscript"/>
        </w:rPr>
        <w:t xml:space="preserve">7</w:t>
      </w:r>
      <w:r>
        <w:t xml:space="preserve"> </w:t>
      </w:r>
      <w:r>
        <w:t xml:space="preserve">David M. Reboussin, DEGREES</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p>
    <w:p>
      <w:pPr>
        <w:pStyle w:val="BodyText"/>
      </w:pPr>
      <w:r>
        <w:rPr>
          <w:bCs/>
          <w:b/>
        </w:rPr>
        <w:t xml:space="preserve">Reminder: bring in the recent BPTTC meta-analyses into the introduction</w:t>
      </w:r>
      <w:r>
        <w:rPr>
          <w:vertAlign w:val="superscript"/>
        </w:rPr>
        <w:t xml:space="preserve">3</w:t>
      </w:r>
      <w:r>
        <w:t xml:space="preserve">.</w:t>
      </w:r>
    </w:p>
    <w:bookmarkEnd w:id="21"/>
    <w:bookmarkStart w:id="22"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National Death Index Linkage</w:t>
      </w:r>
      <w:r>
        <w:t xml:space="preserve">:</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four-variable Modification of Diet in Renal Disease study equation. Cognitive function was assessed using Montreal Cognitive Assessment (MoCA).</w:t>
      </w:r>
      <w:r>
        <w:rPr>
          <w:vertAlign w:val="superscript"/>
        </w:rPr>
        <w:t xml:space="preserve">5</w:t>
      </w:r>
      <w:r>
        <w:t xml:space="preserve"> Lower cognitive function was defined as scoring 18 or lower (less than high school education) or 20 or lower (high school education or higher) on the MoCA. This roughly corresponds to the estimated normative 25th percentile at 80 years of age in the Irish Longitudinal Study of Aging.</w:t>
      </w:r>
      <w:r>
        <w:rPr>
          <w:vertAlign w:val="superscript"/>
        </w:rPr>
        <w:t xml:space="preserve">6</w:t>
      </w:r>
      <w:r>
        <w:t xml:space="preserve"> We defined frailty status at baseline using a previously developed Frailty Index (FI) based upon the model of deficit accumulation.</w:t>
      </w:r>
      <w:r>
        <w:rPr>
          <w:vertAlign w:val="superscript"/>
        </w:rPr>
        <w:t xml:space="preserve">7</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8</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9</w:t>
      </w:r>
      <w:r>
        <w:t xml:space="preserve"> The second approach estimated a continuous time-dependent effect.</w:t>
      </w:r>
      <w:r>
        <w:rPr>
          <w:vertAlign w:val="superscript"/>
        </w:rPr>
        <w:t xml:space="preserve">10,11</w:t>
      </w:r>
      <w:r>
        <w:t xml:space="preserve"> While the phase-specific estimate of the treatment effect treats the trial and cohort phases independently, the cumulative estimate enforces continuity of the treatment effect through time so that the effect of treatment during the trial phase is not</w:t>
      </w:r>
      <w:r>
        <w:t xml:space="preserve"> </w:t>
      </w:r>
      <w:r>
        <w:t xml:space="preserve">‘</w:t>
      </w:r>
      <w:r>
        <w:t xml:space="preserve">forgotten</w:t>
      </w:r>
      <w:r>
        <w:t xml:space="preserve">’</w:t>
      </w:r>
      <w:r>
        <w:t xml:space="preserve"> </w:t>
      </w:r>
      <w:r>
        <w:t xml:space="preserve">during the cohort phase. All analyses accounted for correlation within study sites,</w:t>
      </w:r>
      <w:r>
        <w:rPr>
          <w:vertAlign w:val="superscript"/>
        </w:rPr>
        <w:t xml:space="preserve">12</w:t>
      </w:r>
      <w:r>
        <w:t xml:space="preserve"> and analyses of cardiovascular mortality accounted for the competing risk of non-cardiovascular mortality.</w:t>
      </w:r>
      <w:r>
        <w:rPr>
          <w:vertAlign w:val="superscript"/>
        </w:rPr>
        <w:t xml:space="preserve">13</w:t>
      </w:r>
    </w:p>
    <w:bookmarkEnd w:id="22"/>
    <w:bookmarkStart w:id="23"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3"/>
    <w:bookmarkStart w:id="24"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11.1</w:t>
              <w:br/>
              <w:t xml:space="preserve">(9.49, 13.0)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8.45</w:t>
              <w:br/>
              <w:t xml:space="preserve">(7.02, 10.1)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(0.58, 1.01)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302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22.3</w:t>
              <w:br/>
              <w:t xml:space="preserve">(19.8, 24.9)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br/>
              <w:t xml:space="preserve">(21.7, 26.9)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(0.90, 1.29)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25.8</w:t>
              <w:br/>
              <w:t xml:space="preserve">(21.6, 30.4)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23.0</w:t>
              <w:br/>
              <w:t xml:space="preserve">(19.1, 27.4)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234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248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52.3</w:t>
              <w:br/>
              <w:t xml:space="preserve">(45.9, 59.3)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55.0</w:t>
              <w:br/>
              <w:t xml:space="preserve">(48.4, 62.1)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1.03</w:t>
              <w:br/>
              <w:t xml:space="preserve">(0.84, 1.27)</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106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 / 88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(0.63, 1.15)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85 / 217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228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w:t>
              <w:br/>
              <w:t xml:space="preserve">(0.88, 1.61)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(0.84, 1.29)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91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 / 85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0.79</w:t>
              <w:br/>
              <w:t xml:space="preserve">(0.50, 1.23)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(0.65, 1.23)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96 / 138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165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(0.65, 1.11)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1.24</w:t>
              <w:br/>
              <w:t xml:space="preserve">(0.98, 1.56)</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8"/>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9"/>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0"/>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1"/>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2"/>
                    <a:srcRect/>
                    <a:stretch>
                      <a:fillRect/>
                    </a:stretch>
                  </pic:blipFill>
                  <pic:spPr bwMode="auto">
                    <a:xfrm>
                      <a:off x="0" y="0"/>
                      <a:ext cx="139700" cy="79375"/>
                    </a:xfrm>
                    <a:prstGeom prst="rect">
                      <a:avLst/>
                    </a:prstGeom>
                    <a:noFill/>
                  </pic:spPr>
                </pic:pic>
              </a:graphicData>
            </a:graphic>
          </wp:inline>
        </w:drawing>
      </w:r>
    </w:p>
    <w:bookmarkEnd w:id="24"/>
    <w:bookmarkStart w:id="25" w:name="supplement"/>
    <w:p>
      <w:pPr>
        <w:pStyle w:val="Heading1"/>
      </w:pPr>
      <w:r>
        <w:t xml:space="preserve">SUPPLEMENT</w:t>
      </w:r>
    </w:p>
    <w:p>
      <w:pPr>
        <w:pStyle w:val="FirstParagraph"/>
      </w:pPr>
      <w:r>
        <w:t xml:space="preserve">To be decided.</w:t>
      </w:r>
    </w:p>
    <w:p>
      <w:pPr>
        <w:sectPr>
          <w:pgMar w:header="720" w:bottom="180" w:top="180" w:right="360" w:left="360" w:footer="720" w:gutter="720"/>
          <w:pgSz w:h="11906" w:w="16838" w:orient="landscape"/>
          <w:type w:val="continuous"/>
          <w:cols/>
        </w:sectPr>
      </w:pPr>
    </w:p>
    <w:bookmarkEnd w:id="25"/>
    <w:bookmarkStart w:id="41" w:name="references"/>
    <w:p>
      <w:pPr>
        <w:pStyle w:val="Heading1"/>
      </w:pPr>
      <w:r>
        <w:t xml:space="preserve">REFERENCES</w:t>
      </w:r>
    </w:p>
    <w:bookmarkStart w:id="40" w:name="refs"/>
    <w:bookmarkStart w:id="26"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6"/>
    <w:bookmarkStart w:id="28"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27">
        <w:r>
          <w:rPr>
            <w:rStyle w:val="Hyperlink"/>
          </w:rPr>
          <w:t xml:space="preserve">10.1056/NEJMoa2111437</w:t>
        </w:r>
      </w:hyperlink>
      <w:r>
        <w:t xml:space="preserve">.</w:t>
      </w:r>
    </w:p>
    <w:bookmarkEnd w:id="28"/>
    <w:bookmarkStart w:id="29"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29"/>
    <w:bookmarkStart w:id="30"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0"/>
    <w:bookmarkStart w:id="31" w:name="ref-nasreddine_montreal_2005"/>
    <w:p>
      <w:pPr>
        <w:pStyle w:val="Bibliography"/>
      </w:pPr>
      <w:r>
        <w:t xml:space="preserve">5</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1"/>
    <w:bookmarkStart w:id="32" w:name="ref-kenny_normative_2013"/>
    <w:p>
      <w:pPr>
        <w:pStyle w:val="Bibliography"/>
      </w:pPr>
      <w:r>
        <w:t xml:space="preserve">6</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2"/>
    <w:bookmarkStart w:id="33" w:name="ref-pajewski_characterizing_2016"/>
    <w:p>
      <w:pPr>
        <w:pStyle w:val="Bibliography"/>
      </w:pPr>
      <w:r>
        <w:t xml:space="preserve">7</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3"/>
    <w:bookmarkStart w:id="34" w:name="ref-drawz_concordance_2020"/>
    <w:p>
      <w:pPr>
        <w:pStyle w:val="Bibliography"/>
      </w:pPr>
      <w:r>
        <w:t xml:space="preserve">8</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4"/>
    <w:bookmarkStart w:id="35" w:name="ref-zhang_time_varying_2018"/>
    <w:p>
      <w:pPr>
        <w:pStyle w:val="Bibliography"/>
      </w:pPr>
      <w:r>
        <w:t xml:space="preserve">9</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5"/>
    <w:bookmarkStart w:id="36" w:name="ref-martinussen2007dynamic"/>
    <w:p>
      <w:pPr>
        <w:pStyle w:val="Bibliography"/>
      </w:pPr>
      <w:r>
        <w:t xml:space="preserve">10</w:t>
      </w:r>
      <w:r>
        <w:t xml:space="preserve"> </w:t>
      </w:r>
      <w:r>
        <w:t xml:space="preserve">	</w:t>
      </w:r>
      <w:r>
        <w:t xml:space="preserve">Martinussen T, Scheike TH. Dynamic regression models for survival data. Springer Science &amp; Business Media, 2007.</w:t>
      </w:r>
    </w:p>
    <w:bookmarkEnd w:id="36"/>
    <w:bookmarkStart w:id="37" w:name="ref-therneau2017using"/>
    <w:p>
      <w:pPr>
        <w:pStyle w:val="Bibliography"/>
      </w:pPr>
      <w:r>
        <w:t xml:space="preserve">11</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37"/>
    <w:bookmarkStart w:id="38" w:name="ref-lin_robust_1989"/>
    <w:p>
      <w:pPr>
        <w:pStyle w:val="Bibliography"/>
      </w:pPr>
      <w:r>
        <w:t xml:space="preserve">12</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38"/>
    <w:bookmarkStart w:id="39" w:name="ref-scheike_flexible_2008"/>
    <w:p>
      <w:pPr>
        <w:pStyle w:val="Bibliography"/>
      </w:pPr>
      <w:r>
        <w:t xml:space="preserve">13</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39"/>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7" Type="http://schemas.openxmlformats.org/officeDocument/2006/relationships/hyperlink" Target="https://doi.org/10.1056/NEJMoa2111437" TargetMode="External"/>
<Relationship Id="rId28" Type="http://schemas.openxmlformats.org/officeDocument/2006/relationships/image" Target="media/file23a45a324559.png"/>
<Relationship Id="rId29" Type="http://schemas.openxmlformats.org/officeDocument/2006/relationships/image" Target="media/file23a459e669de.png"/>
<Relationship Id="rId30" Type="http://schemas.openxmlformats.org/officeDocument/2006/relationships/image" Target="media/file23a4744a4f9a.png"/>
<Relationship Id="rId31" Type="http://schemas.openxmlformats.org/officeDocument/2006/relationships/image" Target="media/file23a413dc2f46.png"/>
<Relationship Id="rId32" Type="http://schemas.openxmlformats.org/officeDocument/2006/relationships/image" Target="media/file23a43053368.png"/>
</Relationships>

</file>

<file path=word/_rels/footnotes.xml.rels><?xml version="1.0" encoding="UTF-8" standalone="yes"?>

<Relationships  xmlns="http://schemas.openxmlformats.org/package/2006/relationships">
<Relationship Id="rId27" Type="http://schemas.openxmlformats.org/officeDocument/2006/relationships/hyperlink" Target="https://doi.org/10.1056/NEJMoa21114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2022-01-03T19:44:14Z</dcterms:created>
  <dcterms:modified xsi:type="dcterms:W3CDTF">2022-01-03T14:44:14Z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