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participnts randomized to intensive treatment, increasing from a mean of X at 4.5 years of follow-up to Y at 9 years of follow-up.</w:t>
      </w:r>
    </w:p>
    <w:p>
      <w:pPr>
        <w:pStyle w:val="BodyText"/>
      </w:pPr>
      <w:r>
        <w:t xml:space="preserve">there were 248 and 818 cardiovascular and all-cause deaths with intensive treatment respectively, and 273 cardiovascular / 826 all-cause deaths for standard treatment.</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r>
        <w:t xml:space="preserve"> However, both trials were stopped early after a median follow-up of 3 years.</w:t>
      </w:r>
    </w:p>
    <w:p>
      <w:pPr>
        <w:pStyle w:val="BodyText"/>
      </w:pPr>
      <w:r>
        <w:rPr>
          <w:bCs/>
          <w:b/>
        </w:rPr>
        <w:t xml:space="preserve">Reminder: bring in the recent BPTTC meta-analyses into the introduction</w:t>
      </w:r>
      <w:r>
        <w:rPr>
          <w:vertAlign w:val="superscript"/>
        </w:rPr>
        <w:t xml:space="preserve">3</w:t>
      </w:r>
      <w:r>
        <w:t xml:space="preserve">.</w:t>
      </w:r>
    </w:p>
    <w:p>
      <w:pPr>
        <w:pStyle w:val="BodyText"/>
      </w:pPr>
      <w:r>
        <w:t xml:space="preserve">Here we examined the longer term effect of randomization to intensive treatment on through linkage to the National Death Index (NDI).</w:t>
      </w:r>
    </w:p>
    <w:bookmarkEnd w:id="22"/>
    <w:bookmarkStart w:id="24"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w:t>
      </w:r>
      <w:r>
        <w:t xml:space="preserve">Cognitive function was assessed using Montreal Cognitive Assessment (MoCA).</w:t>
      </w:r>
      <w:r>
        <w:rPr>
          <w:vertAlign w:val="superscript"/>
        </w:rPr>
        <w:t xml:space="preserve">6</w:t>
      </w:r>
      <w:r>
        <w:t xml:space="preserve"> Lower cognitive function was defined as scoring 18 or lower (less than high school education) or 20 or lower (high school education or higher) on the MoCA. This roughly corresponds to the estimated normative 10th percentile in the Irish Longitudinal Study of Aging.</w:t>
      </w:r>
      <w:r>
        <w:rPr>
          <w:vertAlign w:val="superscript"/>
        </w:rPr>
        <w:t xml:space="preserve">7</w:t>
      </w:r>
      <w:r>
        <w:t xml:space="preserve"> We defined frailty status at baseline using a previously developed Frailty Index (FI) based upon the model of deficit accumulation.</w:t>
      </w:r>
      <w:r>
        <w:rPr>
          <w:vertAlign w:val="superscript"/>
        </w:rPr>
        <w:t xml:space="preserve">8</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 Subsequently, mortality was ascertained through a US National Death Index (NDI) search. Possible matches were identified according to NDI guidelines. To be considered a confirmed death, we required 4 or more of 5 matches among Social Security number, name, date of birth, city, and state in the NDI. NDI follow-up began in 2016 and ended on the date of death or date of the NDI search (2020). Deaths ascertained in 2020 were based on the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9</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10</w:t>
      </w:r>
      <w:r>
        <w:t xml:space="preserve"> The second approach estimated a continuous time-dependent effect.</w:t>
      </w:r>
      <w:r>
        <w:rPr>
          <w:vertAlign w:val="superscript"/>
        </w:rPr>
        <w:t xml:space="preserve">11,12</w:t>
      </w:r>
      <w:r>
        <w:t xml:space="preserve"> All analyses accounted for correlation within study sites,</w:t>
      </w:r>
      <w:r>
        <w:rPr>
          <w:vertAlign w:val="superscript"/>
        </w:rPr>
        <w:t xml:space="preserve">13</w:t>
      </w:r>
      <w:r>
        <w:t xml:space="preserve"> and analyses of cardiovascular mortality accounted for the competing risk of non-cardiovascular mortality.</w:t>
      </w:r>
      <w:r>
        <w:rPr>
          <w:vertAlign w:val="superscript"/>
        </w:rPr>
        <w:t xml:space="preserve">14</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15–20</w:t>
      </w:r>
      <w:r>
        <w:t xml:space="preserve"> 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2</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3</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SBP among participants randomized to intensive treatment was &lt;placeholder (95% CI)&gt; at 5 years and &lt;placeholder (95% CI)&gt; at 10 years post-randomization (</w:t>
      </w:r>
      <w:r>
        <w:rPr>
          <w:bCs/>
          <w:b/>
        </w:rPr>
        <w:t xml:space="preserve">Figure 3</w:t>
      </w:r>
      <w:r>
        <w:t xml:space="preserve">). For participants randomized to standard treatment, mean SBP was estimated to be &lt;placeholder (95% CI)&gt; at 5 years and &lt;placeholder (95% CI)&gt; at 10 years post-randomization.</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21</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9</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1</w:t>
      </w:r>
      <w:r>
        <w:t xml:space="preserve">: Characteristics of study participants stratified by inclusion in the electronic health record ancillary study.</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56"/>
        <w:gridCol w:w="1774"/>
        <w:gridCol w:w="1872"/>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ancillary EHR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64"/>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2</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65"/>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Mean systolic blood pressure over time by treatment group.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6"/>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 stratified by inclusion in the electronic health record ancillary study and by treatment 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368"/>
        <w:gridCol w:w="1368"/>
        <w:gridCol w:w="1368"/>
        <w:gridCol w:w="1368"/>
        <w:gridCol w:w="1368"/>
        <w:gridCol w:w="1368"/>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Not included in EHR ancillary study</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r>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2,985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2,967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1,698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1,711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8"/>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67" w:name="references"/>
    <w:p>
      <w:pPr>
        <w:pStyle w:val="Heading1"/>
      </w:pPr>
      <w:r>
        <w:t xml:space="preserve">REFERENCES</w:t>
      </w:r>
    </w:p>
    <w:bookmarkStart w:id="66" w:name="refs"/>
    <w:bookmarkStart w:id="29"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2015;373(22):2103-2116.</w:t>
      </w:r>
    </w:p>
    <w:bookmarkEnd w:id="29"/>
    <w:bookmarkStart w:id="31" w:name="ref-zhang_trial_2021"/>
    <w:p>
      <w:pPr>
        <w:pStyle w:val="Bibliography"/>
      </w:pPr>
      <w:r>
        <w:t xml:space="preserve">2.</w:t>
      </w:r>
      <w:r>
        <w:t xml:space="preserve"> </w:t>
      </w:r>
      <w:r>
        <w:t xml:space="preserve">	</w:t>
      </w:r>
      <w:r>
        <w:t xml:space="preserve">Zhang W, Zhang S, Deng Y, et al.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Published online August 2021. doi:</w:t>
      </w:r>
      <w:hyperlink r:id="rId30">
        <w:r>
          <w:rPr>
            <w:rStyle w:val="Hyperlink"/>
          </w:rPr>
          <w:t xml:space="preserve">10.1056/NEJMoa2111437</w:t>
        </w:r>
      </w:hyperlink>
    </w:p>
    <w:bookmarkEnd w:id="31"/>
    <w:bookmarkStart w:id="33" w:name="ref-rahimi_age_stratified_2021"/>
    <w:p>
      <w:pPr>
        <w:pStyle w:val="Bibliography"/>
      </w:pPr>
      <w:r>
        <w:t xml:space="preserve">3.</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2">
        <w:r>
          <w:rPr>
            <w:rStyle w:val="Hyperlink"/>
          </w:rPr>
          <w:t xml:space="preserve">10.1016/S0140-6736(21)01921-8</w:t>
        </w:r>
      </w:hyperlink>
    </w:p>
    <w:bookmarkEnd w:id="33"/>
    <w:bookmarkStart w:id="35"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7"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6">
        <w:r>
          <w:rPr>
            <w:rStyle w:val="Hyperlink"/>
          </w:rPr>
          <w:t xml:space="preserve">10.1056/NEJMoa2102953</w:t>
        </w:r>
      </w:hyperlink>
    </w:p>
    <w:bookmarkEnd w:id="37"/>
    <w:bookmarkStart w:id="39"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8">
        <w:r>
          <w:rPr>
            <w:rStyle w:val="Hyperlink"/>
          </w:rPr>
          <w:t xml:space="preserve">10.1111/j.1532-5415.2005.53221.x</w:t>
        </w:r>
      </w:hyperlink>
    </w:p>
    <w:bookmarkEnd w:id="39"/>
    <w:bookmarkStart w:id="41"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0">
        <w:r>
          <w:rPr>
            <w:rStyle w:val="Hyperlink"/>
          </w:rPr>
          <w:t xml:space="preserve">10.1111/jgs.12195</w:t>
        </w:r>
      </w:hyperlink>
    </w:p>
    <w:bookmarkEnd w:id="41"/>
    <w:bookmarkStart w:id="43" w:name="ref-pajewski_characterizing_2016"/>
    <w:p>
      <w:pPr>
        <w:pStyle w:val="Bibliography"/>
      </w:pPr>
      <w:r>
        <w:t xml:space="preserve">8.</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2">
        <w:r>
          <w:rPr>
            <w:rStyle w:val="Hyperlink"/>
          </w:rPr>
          <w:t xml:space="preserve">10.1093/gerona/glv228</w:t>
        </w:r>
      </w:hyperlink>
    </w:p>
    <w:bookmarkEnd w:id="43"/>
    <w:bookmarkStart w:id="45" w:name="ref-drawz_concordance_2020"/>
    <w:p>
      <w:pPr>
        <w:pStyle w:val="Bibliography"/>
      </w:pPr>
      <w:r>
        <w:t xml:space="preserve">9.</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4">
        <w:r>
          <w:rPr>
            <w:rStyle w:val="Hyperlink"/>
          </w:rPr>
          <w:t xml:space="preserve">10.1001/jamainternmed.2020.5028</w:t>
        </w:r>
      </w:hyperlink>
    </w:p>
    <w:bookmarkEnd w:id="45"/>
    <w:bookmarkStart w:id="47" w:name="ref-zhang_time_varying_2018"/>
    <w:p>
      <w:pPr>
        <w:pStyle w:val="Bibliography"/>
      </w:pPr>
      <w:r>
        <w:t xml:space="preserve">10.</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6">
        <w:r>
          <w:rPr>
            <w:rStyle w:val="Hyperlink"/>
          </w:rPr>
          <w:t xml:space="preserve">10.21037/atm.2018.02.12</w:t>
        </w:r>
      </w:hyperlink>
    </w:p>
    <w:bookmarkEnd w:id="47"/>
    <w:bookmarkStart w:id="48" w:name="ref-martinussen2007dynamic"/>
    <w:p>
      <w:pPr>
        <w:pStyle w:val="Bibliography"/>
      </w:pPr>
      <w:r>
        <w:t xml:space="preserve">11.</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8"/>
    <w:bookmarkStart w:id="49" w:name="ref-therneau2017using"/>
    <w:p>
      <w:pPr>
        <w:pStyle w:val="Bibliography"/>
      </w:pPr>
      <w:r>
        <w:t xml:space="preserve">12.</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49"/>
    <w:bookmarkStart w:id="50" w:name="ref-lin_robust_1989"/>
    <w:p>
      <w:pPr>
        <w:pStyle w:val="Bibliography"/>
      </w:pPr>
      <w:r>
        <w:t xml:space="preserve">13.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0"/>
    <w:bookmarkStart w:id="52" w:name="ref-scheike_flexible_2008"/>
    <w:p>
      <w:pPr>
        <w:pStyle w:val="Bibliography"/>
      </w:pPr>
      <w:r>
        <w:t xml:space="preserve">14.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1">
        <w:r>
          <w:rPr>
            <w:rStyle w:val="Hyperlink"/>
          </w:rPr>
          <w:t xml:space="preserve">10.1007/s10985-008-9094-0</w:t>
        </w:r>
      </w:hyperlink>
    </w:p>
    <w:bookmarkEnd w:id="52"/>
    <w:bookmarkStart w:id="54" w:name="ref-r_language"/>
    <w:p>
      <w:pPr>
        <w:pStyle w:val="Bibliography"/>
      </w:pPr>
      <w:r>
        <w:t xml:space="preserve">15.</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3">
        <w:r>
          <w:rPr>
            <w:rStyle w:val="Hyperlink"/>
          </w:rPr>
          <w:t xml:space="preserve">https://www.R-project.org/</w:t>
        </w:r>
      </w:hyperlink>
    </w:p>
    <w:bookmarkEnd w:id="54"/>
    <w:bookmarkStart w:id="56" w:name="ref-table.glue"/>
    <w:p>
      <w:pPr>
        <w:pStyle w:val="Bibliography"/>
      </w:pPr>
      <w:r>
        <w:t xml:space="preserve">16.</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5">
        <w:r>
          <w:rPr>
            <w:rStyle w:val="Hyperlink"/>
          </w:rPr>
          <w:t xml:space="preserve">https://github.com/bcjaeger/table.glue</w:t>
        </w:r>
      </w:hyperlink>
    </w:p>
    <w:bookmarkEnd w:id="56"/>
    <w:bookmarkStart w:id="58" w:name="ref-tidyverse"/>
    <w:p>
      <w:pPr>
        <w:pStyle w:val="Bibliography"/>
      </w:pPr>
      <w:r>
        <w:t xml:space="preserve">17.</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7">
        <w:r>
          <w:rPr>
            <w:rStyle w:val="Hyperlink"/>
          </w:rPr>
          <w:t xml:space="preserve">10.21105/joss.01686</w:t>
        </w:r>
      </w:hyperlink>
    </w:p>
    <w:bookmarkEnd w:id="58"/>
    <w:bookmarkStart w:id="60" w:name="ref-survival_package"/>
    <w:p>
      <w:pPr>
        <w:pStyle w:val="Bibliography"/>
      </w:pPr>
      <w:r>
        <w:t xml:space="preserve">18.</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59">
        <w:r>
          <w:rPr>
            <w:rStyle w:val="Hyperlink"/>
          </w:rPr>
          <w:t xml:space="preserve">https://CRAN.R-project.org/package=survival</w:t>
        </w:r>
      </w:hyperlink>
    </w:p>
    <w:bookmarkEnd w:id="60"/>
    <w:bookmarkStart w:id="62" w:name="ref-timereg"/>
    <w:p>
      <w:pPr>
        <w:pStyle w:val="Bibliography"/>
      </w:pPr>
      <w:r>
        <w:t xml:space="preserve">19.</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1">
        <w:r>
          <w:rPr>
            <w:rStyle w:val="Hyperlink"/>
          </w:rPr>
          <w:t xml:space="preserve">https://www.jstatsoft.org/v38/i02/</w:t>
        </w:r>
      </w:hyperlink>
    </w:p>
    <w:bookmarkEnd w:id="62"/>
    <w:bookmarkStart w:id="64" w:name="ref-targets"/>
    <w:p>
      <w:pPr>
        <w:pStyle w:val="Bibliography"/>
      </w:pPr>
      <w:r>
        <w:t xml:space="preserve">20.</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3">
        <w:r>
          <w:rPr>
            <w:rStyle w:val="Hyperlink"/>
          </w:rPr>
          <w:t xml:space="preserve">https://doi.org/10.21105/joss.02959</w:t>
        </w:r>
      </w:hyperlink>
    </w:p>
    <w:bookmarkEnd w:id="64"/>
    <w:bookmarkStart w:id="65" w:name="ref-muntner2020htn"/>
    <w:p>
      <w:pPr>
        <w:pStyle w:val="Bibliography"/>
      </w:pPr>
      <w:r>
        <w:t xml:space="preserve">21.</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5"/>
    <w:bookmarkEnd w:id="66"/>
    <w:bookmarkEnd w:id="6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32"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0"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64" Type="http://schemas.openxmlformats.org/officeDocument/2006/relationships/image" Target="media/file2080731e3e89.png"/>
<Relationship Id="rId65" Type="http://schemas.openxmlformats.org/officeDocument/2006/relationships/image" Target="media/file20807a185a9d.png"/>
<Relationship Id="rId66" Type="http://schemas.openxmlformats.org/officeDocument/2006/relationships/image" Target="media/file20808f128b2.png"/>
<Relationship Id="rId67" Type="http://schemas.openxmlformats.org/officeDocument/2006/relationships/image" Target="media/file20802bca2a78.png"/>
<Relationship Id="rId68" Type="http://schemas.openxmlformats.org/officeDocument/2006/relationships/image" Target="media/file20801cb03012.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32"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0"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2022-01-07T20:07:33Z</dcterms:created>
  <dcterms:modified xsi:type="dcterms:W3CDTF">2022-01-07T15:07:34Z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