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after the trial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participants randomized to intensive treatment, increasing from a mean of 131.7 mm Hg (95% CI 130.7 to 132.6 mm Hg) at 4.5 years of follow-up to 136.8 mm Hg (95% CI 135.7 to 137.8 mm Hg) at 9 years of follow-up.</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w:t>
      </w:r>
      <w:r>
        <w:t xml:space="preserve">Meta analyses of data from randomized trials has shown that pharmacological blood pressure (BP) reduction reduces the risk of major cardiovascular events across the spectrum of initial BP, with larger absolute risk reduction for older adults and lowest CVD risk when systolic BP (SBP) is 120 to 124 mm Hg.</w:t>
      </w:r>
      <w:r>
        <w:rPr>
          <w:vertAlign w:val="superscript"/>
        </w:rPr>
        <w:t xml:space="preserve">2,3</w:t>
      </w:r>
      <w:r>
        <w:t xml:space="preserve"> The Systolic Blood Pressure Intervention Trial (SPRINT) showed that intensive SBP control, defined by a SBP target &lt; 120 mm Hg, reduced the risk for cardiovascular morbidity and mortality.</w:t>
      </w:r>
      <w:r>
        <w:rPr>
          <w:vertAlign w:val="superscript"/>
        </w:rPr>
        <w:t xml:space="preserve">4</w:t>
      </w:r>
      <w:r>
        <w:t xml:space="preserve"> As SPRINT was stopped early after a median follow-up of 3 years, the longer term, legacy effect of randomization to intensive treatment on cardiovascular and all-cause mortality risk for participants in SPRINT has not been determined.</w:t>
      </w:r>
    </w:p>
    <w:p>
      <w:pPr>
        <w:pStyle w:val="BodyText"/>
      </w:pPr>
      <w:r>
        <w:t xml:space="preserve">The objective of the current study was to assess the effect of randomization to intensive treatment in SPRINT on all-cause and cardiovascular mortality up to 10 years following initiation of the trial. A secondary objective, in a subset of trial participants, was to examine SBP following the conclusion of the SPRINT trial follow-up. To accomplish these objectives, we linked SPRINT participants to the National Death Index (NDI) from 2016 to 2020, and extracted longitudinal outpatient measurements of SBP available in the electronic health record (EHR) over the same time period.</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4,5</w:t>
      </w:r>
      <w:r>
        <w:t xml:space="preserve"> </w:t>
      </w:r>
      <w:r>
        <w:t xml:space="preserve">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w:t>
      </w:r>
      <w:r>
        <w:rPr>
          <w:vertAlign w:val="superscript"/>
        </w:rPr>
        <w:t xml:space="preserve">6</w:t>
      </w:r>
      <w:r>
        <w:t xml:space="preserve"> </w:t>
      </w:r>
      <w:r>
        <w:t xml:space="preserve">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7</w:t>
      </w:r>
      <w:r>
        <w:t xml:space="preserve"> </w:t>
      </w:r>
      <w:r>
        <w:t xml:space="preserve">Cognitive function was assessed using the Montreal Cognitive Assessment (MoCA).</w:t>
      </w:r>
      <w:r>
        <w:rPr>
          <w:vertAlign w:val="superscript"/>
        </w:rPr>
        <w:t xml:space="preserve">8</w:t>
      </w:r>
      <w:r>
        <w:t xml:space="preserve"> Lower cognitive function was defined as scoring at or below the estimated age and education-specific normative 10th percentile from the Irish Longitudinal Study of Aging,</w:t>
      </w:r>
      <w:r>
        <w:rPr>
          <w:vertAlign w:val="superscript"/>
        </w:rPr>
        <w:t xml:space="preserve">9</w:t>
      </w:r>
      <w:r>
        <w:t xml:space="preserve"> </w:t>
      </w:r>
      <w:r>
        <w:t xml:space="preserve">after adding 3 points to the scores of non-White participants.</w:t>
      </w:r>
      <w:r>
        <w:rPr>
          <w:vertAlign w:val="superscript"/>
        </w:rPr>
        <w:t xml:space="preserve">10</w:t>
      </w:r>
      <w:r>
        <w:t xml:space="preserve"> </w:t>
      </w:r>
      <w:r>
        <w:t xml:space="preserve">We defined frailty status at baseline using a 36-item Frailty Index (FI) based upon the model of deficit accumulation.</w:t>
      </w:r>
      <w:r>
        <w:rPr>
          <w:vertAlign w:val="superscript"/>
        </w:rPr>
        <w:t xml:space="preserve">11</w:t>
      </w:r>
      <w:r>
        <w:t xml:space="preserve"> </w:t>
      </w:r>
      <w:r>
        <w:t xml:space="preserve">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w:t>
      </w:r>
      <w:r>
        <w:rPr>
          <w:vertAlign w:val="superscript"/>
        </w:rPr>
        <w:t xml:space="preserve">4,6</w:t>
      </w:r>
      <w:r>
        <w:t xml:space="preserve"> </w:t>
      </w:r>
      <w:r>
        <w:t xml:space="preserve">Subsequently, mortality was ascertained through a US National Death Index (NDI) search. Possible matches were identified according to NDI guidelines.</w:t>
      </w:r>
      <w:r>
        <w:rPr>
          <w:vertAlign w:val="superscript"/>
        </w:rPr>
        <w:t xml:space="preserve">12</w:t>
      </w:r>
      <w:r>
        <w:t xml:space="preserve"> </w:t>
      </w:r>
      <w:r>
        <w:t xml:space="preserve">Deaths were treated as confirmed if they were a Class 1 match, or a Class 2, 3, or 4 match with a probabilistic score above cutoffs recommended by the NDI.</w:t>
      </w:r>
      <w:r>
        <w:rPr>
          <w:vertAlign w:val="superscript"/>
        </w:rPr>
        <w:t xml:space="preserve">12</w:t>
      </w:r>
      <w:r>
        <w:t xml:space="preserve"> </w:t>
      </w:r>
      <w:r>
        <w:t xml:space="preserve">NDI follow-up began in 2016 and ended on the date of death or December 31, 2020.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13</w:t>
      </w:r>
    </w:p>
    <w:p>
      <w:pPr>
        <w:pStyle w:val="BodyText"/>
      </w:pPr>
      <w:r>
        <w:rPr>
          <w:bCs/>
          <w:b/>
        </w:rPr>
        <w:t xml:space="preserve">EHR Ancillary Study</w:t>
      </w:r>
      <w:r>
        <w:t xml:space="preserve">: We examined the trajectory of SBP following the conclusion of the trial using outpatient SBPs extracted from the EHR. Methods for the linkage of participants to their medical record number and the extraction of vital sign data have been previously described.</w:t>
      </w:r>
      <w:r>
        <w:rPr>
          <w:vertAlign w:val="superscript"/>
        </w:rPr>
        <w:t xml:space="preserve">14</w:t>
      </w:r>
      <w:r>
        <w:t xml:space="preserve"> </w:t>
      </w:r>
      <w:r>
        <w:t xml:space="preserve">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 a priori expectation that treatment group differences may not be constant as a function of follow-up time (i.e. the proportional hazards assumption was likely to be invalid), we modeled treatment group differences as a function of time using two approaches. The first approach used Cox proportional hazards regression but split follow-up time into non-overlapping trial and cohort phases, estimating separate treatment group differences for each phase.</w:t>
      </w:r>
      <w:r>
        <w:rPr>
          <w:vertAlign w:val="superscript"/>
        </w:rPr>
        <w:t xml:space="preserve">15</w:t>
      </w:r>
      <w:r>
        <w:t xml:space="preserve">. The second approach estimated the effect of treatment group as a continuous time-dependent effect.</w:t>
      </w:r>
      <w:r>
        <w:rPr>
          <w:vertAlign w:val="superscript"/>
        </w:rPr>
        <w:t xml:space="preserve">16,17</w:t>
      </w:r>
      <w:r>
        <w:t xml:space="preserve"> </w:t>
      </w:r>
      <w:r>
        <w:t xml:space="preserve">All analyses accounted for correlation within study sites,</w:t>
      </w:r>
      <w:r>
        <w:rPr>
          <w:vertAlign w:val="superscript"/>
        </w:rPr>
        <w:t xml:space="preserve">18</w:t>
      </w:r>
      <w:r>
        <w:t xml:space="preserve"> </w:t>
      </w:r>
      <w:r>
        <w:t xml:space="preserve">and analyses of cardiovascular mortality accounted for the competing risk of non-cardiovascular mortality.</w:t>
      </w:r>
      <w:r>
        <w:rPr>
          <w:vertAlign w:val="superscript"/>
        </w:rPr>
        <w:t xml:space="preserve">19</w:t>
      </w:r>
      <w:r>
        <w:t xml:space="preserve">. Mean between-group differences in outpatient SBP following the conclusion of trial follow-up were estimated using linear mixed models. Models included random effects for participant and clinic site and an interaction between treatment group and time since randomization, which was flexibly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20–25</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Participants included in the ancillary EHR study had greater age, lower SBP, less cognitive impairment, higher prevalence of CKD, and were more likely to be male or black than participants not included.</w:t>
      </w:r>
    </w:p>
    <w:p>
      <w:pPr>
        <w:pStyle w:val="BodyText"/>
      </w:pPr>
      <w:r>
        <w:rPr>
          <w:iCs/>
          <w:i/>
          <w:bCs/>
          <w:b/>
        </w:rPr>
        <w:t xml:space="preserve">All-cause Mortality</w:t>
      </w:r>
      <w:r>
        <w:t xml:space="preserve">. In both treatment groups, median follow-up time was 8.76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cohort phase.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 In subgroups based on age, sex, race, CKD, cognitive function, and frailty, there was no evidence that intensive treatment during the trial phase had benefit for all-cause mortality during the cohort phase (</w:t>
      </w:r>
      <w:r>
        <w:rPr>
          <w:bCs/>
          <w:b/>
        </w:rPr>
        <w:t xml:space="preserve">Figure 2</w:t>
      </w:r>
      <w:r>
        <w:t xml:space="preserve">).</w:t>
      </w:r>
    </w:p>
    <w:p>
      <w:pPr>
        <w:pStyle w:val="BodyText"/>
      </w:pPr>
      <w:r>
        <w:rPr>
          <w:iCs/>
          <w:i/>
          <w:bCs/>
          <w:b/>
        </w:rPr>
        <w:t xml:space="preserve">Cardiovascular Mortality</w:t>
      </w:r>
      <w:r>
        <w:t xml:space="preserve">. A total of 248 and 273 CVD mortality events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cohort phase. The time-dependent effect of intensive versus standard treatment indicated a benefit for CVD mortality from 2.30 to 5.62 years from randomization, and was attenuated throughout the remainder of the cohort period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Figure 4</w:t>
      </w:r>
      <w:r>
        <w:t xml:space="preserve">).</w:t>
      </w:r>
    </w:p>
    <w:p>
      <w:pPr>
        <w:pStyle w:val="BodyText"/>
      </w:pPr>
      <w:r>
        <w:rPr>
          <w:iCs/>
          <w:i/>
          <w:bCs/>
          <w:b/>
        </w:rPr>
        <w:t xml:space="preserve">Blood Pressure</w:t>
      </w:r>
      <w:r>
        <w:t xml:space="preserve">. The estimated mean (95% CI) SBP among participants randomized to intensive treatment was 133 (132, 134) at 5 years and 140 (137, 143) at 10 years post-randomization (</w:t>
      </w:r>
      <w:r>
        <w:rPr>
          <w:bCs/>
          <w:b/>
        </w:rPr>
        <w:t xml:space="preserve">Figure 5</w:t>
      </w:r>
      <w:r>
        <w:t xml:space="preserve">). For participants randomized to standard treatment, mean (95% CI) SBP was estimated to be 139 (138, 140) at 5 years and 140 (137, 143) post-randomization. The difference in mean SBP levels between participants randomized to intensive versus standard treatment, in mm Hg, was 5.90 (4.87, 6.94) at 5 years post-randomization, and was attenuated at 9 years post-randomization (</w:t>
      </w:r>
      <w:r>
        <w:rPr>
          <w:bCs/>
          <w:b/>
        </w:rPr>
        <w:t xml:space="preserve">eFigure 1</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SPRINT participants up to 10 years following randomization and found no indication of benefit for randomization to intensive treatment after the trial had ended. Time-varying estimates of the benefit of intensive treatment for all-cause mortality were attenuated at 2.80 years while the benefit for CVD-mortality was attenuated at 5.62 years post-randomization. Findings from our ancillary study of BP in the EHR indicated that the difference in SBP between treatment groups diminished over time and was attenuated approximately 9 years after randomization. These results in combination with the main findings of SPRINT indicate that the beneficial effect of BP control among adults with hypertension can be diminished if BP control is not sustained over time.</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26</w:t>
      </w:r>
      <w:r>
        <w:t xml:space="preserve"> Similar to SPRINT, STEP found a HR of 0.72 (95% CI 0.39, 1.32) with intensive versus standard treatment for CVD mortality after a median follow-up of 3.34 years, but did not find evidence of a benefit for all-cause mortality. In the current study of SPRINT participants, the protective effect of intensive treatment for all-cause mortality was attenuated several years before the protective effect for CVD. These results in combination with findings from the STEP trial suggest weaker evidence for reduced all-cause versus CVD mortality risk with intensive BP control. Another contrasting result was that intensive treatment in SPRINT, but not STEP, increased the risk of acute kidney injury (AKI). While this may be attributable to the much lower prevalence of chronic kidney disease in STEP (2.3% vs 28.3%), the association of AKI with increased mortality risk may have been a contributing factor to the longer term effect of randomization to intensive treatment on all-cause mortality among SPRINT participants.</w:t>
      </w:r>
      <w:r>
        <w:rPr>
          <w:vertAlign w:val="superscript"/>
        </w:rPr>
        <w:t xml:space="preserve">27,28</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29</w:t>
      </w:r>
      <w:r>
        <w:t xml:space="preserve"> In addition, an analysis of data from 464,585 adults enrolled in a Quest Diagnostics wellness program found SBP was 1 mm Hg and 3 mm Hg higher, depending on age group and sex, in April through December of 2020 versus their corresponding values throughout 2019.</w:t>
      </w:r>
      <w:r>
        <w:rPr>
          <w:vertAlign w:val="superscript"/>
        </w:rPr>
        <w:t xml:space="preserve">30</w:t>
      </w:r>
      <w:r>
        <w:t xml:space="preserve"> The current study shows that even for adults who have maintained intense BP control for 3 years, increasing BP levels can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rPr>
          <w:bCs/>
          <w:b/>
        </w:rPr>
        <w:t xml:space="preserve">PARAGRAPH ON ACCAHA GUIDELINE + 2020 CALL TO ACTION?</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not as robust as the adjudication process used in the primary follow-up for the trial. Third, information about BP control after the trial was limited to routine outpatient BPs extracted from the EHR, which are known to poorly reflect the standardized BP measurement process used during the SPRINT trial.</w:t>
      </w:r>
      <w:r>
        <w:rPr>
          <w:vertAlign w:val="superscript"/>
        </w:rPr>
        <w:t xml:space="preserve">14</w:t>
      </w:r>
    </w:p>
    <w:p>
      <w:pPr>
        <w:pStyle w:val="BodyText"/>
      </w:pPr>
      <w:r>
        <w:t xml:space="preserve">In conclusion, the mean SBP levels of SPRINT participants randomized to intensive treatment increased after the trial and there was no indication of benefit for all-cause or CVD-mortality among SPRINT participants randomized to intensive treatment up to 10 years following randomization. Therefore, maintaining controlled SBP may be essential for long-term risk CVD risk reduction.</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5"/>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6"/>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8"/>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 Shaded areas indicate a 95% confidence interval for the mean.</w:t>
      </w:r>
      <w:r>
        <w:t xml:space="preserve"> </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9"/>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440"/>
        <w:gridCol w:w="1440"/>
        <w:gridCol w:w="1454"/>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b </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3,409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67.8 (9.7)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68.2 (9.0)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140.8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137.7 (15.1)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deviation) or percentage.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continuous variables and chi-square test for categorical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Hypothesis tests compare the characteristics of participants included versus excluded from the ancillary study of blood pressure levels using data from the electronic health record.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and MoCA = Montreal cognitive assessment</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Mean difference in systolic blood pressure over time. Shaded areas indicate a 95% confidence interval for the mean.</w:t>
      </w:r>
      <w:r>
        <w:t xml:space="preserve"> </w:t>
      </w:r>
    </w:p>
    <w:p>
      <w:pPr>
        <w:jc w:val="center"/>
        <w:pStyle w:val="Figure"/>
      </w:pPr>
      <w:r>
        <w:rPr/>
        <w:drawing xmlns:r="http://schemas.openxmlformats.org/officeDocument/2006/relationships">
          <wp:inline distT="0" distB="0" distL="0" distR="0">
            <wp:extent cx="10058400" cy="5715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0"/>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8"/>
    <w:bookmarkStart w:id="77" w:name="references"/>
    <w:p>
      <w:pPr>
        <w:pStyle w:val="Heading1"/>
      </w:pPr>
      <w:r>
        <w:t xml:space="preserve">REFERENCES</w:t>
      </w:r>
    </w:p>
    <w:bookmarkStart w:id="76" w:name="refs"/>
    <w:bookmarkStart w:id="29"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9"/>
    <w:bookmarkStart w:id="31" w:name="ref-rahimi_age_stratified_2021"/>
    <w:p>
      <w:pPr>
        <w:pStyle w:val="Bibliography"/>
      </w:pPr>
      <w:r>
        <w:t xml:space="preserve">2.</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30">
        <w:r>
          <w:rPr>
            <w:rStyle w:val="Hyperlink"/>
          </w:rPr>
          <w:t xml:space="preserve">10.1016/S0140-6736(21)01921-8</w:t>
        </w:r>
      </w:hyperlink>
    </w:p>
    <w:bookmarkEnd w:id="31"/>
    <w:bookmarkStart w:id="32" w:name="ref-bundy_systolic_2017"/>
    <w:p>
      <w:pPr>
        <w:pStyle w:val="Bibliography"/>
      </w:pPr>
      <w:r>
        <w:t xml:space="preserve">3.</w:t>
      </w:r>
      <w:r>
        <w:t xml:space="preserve"> </w:t>
      </w:r>
      <w:r>
        <w:t xml:space="preserve">	</w:t>
      </w:r>
      <w:r>
        <w:t xml:space="preserve">Bundy JD, Li C, Stuchlik P, et al. Systolic blood pressure reduction and risk of cardiovascular disease and mortality: A systematic review and network meta-analysis.</w:t>
      </w:r>
      <w:r>
        <w:t xml:space="preserve"> </w:t>
      </w:r>
      <w:r>
        <w:rPr>
          <w:iCs/>
          <w:i/>
        </w:rPr>
        <w:t xml:space="preserve">JAMA cardiology</w:t>
      </w:r>
      <w:r>
        <w:t xml:space="preserve">. 2017;2(7):775-781.</w:t>
      </w:r>
    </w:p>
    <w:bookmarkEnd w:id="32"/>
    <w:bookmarkStart w:id="33" w:name="X71220bfa5ead06078c2f5fafd6fc9cc12b95335"/>
    <w:p>
      <w:pPr>
        <w:pStyle w:val="Bibliography"/>
      </w:pPr>
      <w:r>
        <w:t xml:space="preserve">4.</w:t>
      </w:r>
      <w:r>
        <w:t xml:space="preserve"> </w:t>
      </w:r>
      <w:r>
        <w:t xml:space="preserve">	</w:t>
      </w:r>
      <w:r>
        <w:t xml:space="preserve">SPRINT Research Group. A randomized trial of intensive versus standard blood-pressure control.</w:t>
      </w:r>
      <w:r>
        <w:t xml:space="preserve"> </w:t>
      </w:r>
      <w:r>
        <w:rPr>
          <w:iCs/>
          <w:i/>
        </w:rPr>
        <w:t xml:space="preserve">New England Journal of Medicine</w:t>
      </w:r>
      <w:r>
        <w:t xml:space="preserve">. 2015;373(22):2103-2116.</w:t>
      </w:r>
    </w:p>
    <w:bookmarkEnd w:id="33"/>
    <w:bookmarkStart w:id="35" w:name="ref-ambrosius_design_2014"/>
    <w:p>
      <w:pPr>
        <w:pStyle w:val="Bibliography"/>
      </w:pPr>
      <w:r>
        <w:t xml:space="preserve">5.</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4">
        <w:r>
          <w:rPr>
            <w:rStyle w:val="Hyperlink"/>
          </w:rPr>
          <w:t xml:space="preserve">10.1177/1740774514537404</w:t>
        </w:r>
      </w:hyperlink>
    </w:p>
    <w:bookmarkEnd w:id="35"/>
    <w:bookmarkStart w:id="36" w:name="ref-sprintFinal"/>
    <w:p>
      <w:pPr>
        <w:pStyle w:val="Bibliography"/>
      </w:pPr>
      <w:r>
        <w:t xml:space="preserve">6.</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36"/>
    <w:bookmarkStart w:id="38" w:name="ref-inker_new_2021"/>
    <w:p>
      <w:pPr>
        <w:pStyle w:val="Bibliography"/>
      </w:pPr>
      <w:r>
        <w:t xml:space="preserve">7.</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7">
        <w:r>
          <w:rPr>
            <w:rStyle w:val="Hyperlink"/>
          </w:rPr>
          <w:t xml:space="preserve">10.1056/NEJMoa2102953</w:t>
        </w:r>
      </w:hyperlink>
    </w:p>
    <w:bookmarkEnd w:id="38"/>
    <w:bookmarkStart w:id="40" w:name="ref-nasreddine_montreal_2005"/>
    <w:p>
      <w:pPr>
        <w:pStyle w:val="Bibliography"/>
      </w:pPr>
      <w:r>
        <w:t xml:space="preserve">8.</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9">
        <w:r>
          <w:rPr>
            <w:rStyle w:val="Hyperlink"/>
          </w:rPr>
          <w:t xml:space="preserve">10.1111/j.1532-5415.2005.53221.x</w:t>
        </w:r>
      </w:hyperlink>
    </w:p>
    <w:bookmarkEnd w:id="40"/>
    <w:bookmarkStart w:id="42" w:name="ref-kenny_normative_2013"/>
    <w:p>
      <w:pPr>
        <w:pStyle w:val="Bibliography"/>
      </w:pPr>
      <w:r>
        <w:t xml:space="preserve">9.</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1">
        <w:r>
          <w:rPr>
            <w:rStyle w:val="Hyperlink"/>
          </w:rPr>
          <w:t xml:space="preserve">10.1111/jgs.12195</w:t>
        </w:r>
      </w:hyperlink>
    </w:p>
    <w:bookmarkEnd w:id="42"/>
    <w:bookmarkStart w:id="43" w:name="ref-sachsMoCA2021"/>
    <w:p>
      <w:pPr>
        <w:pStyle w:val="Bibliography"/>
      </w:pPr>
      <w:r>
        <w:t xml:space="preserve">10.</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43"/>
    <w:bookmarkStart w:id="45" w:name="ref-pajewski_characterizing_2016"/>
    <w:p>
      <w:pPr>
        <w:pStyle w:val="Bibliography"/>
      </w:pPr>
      <w:r>
        <w:t xml:space="preserve">11.</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4">
        <w:r>
          <w:rPr>
            <w:rStyle w:val="Hyperlink"/>
          </w:rPr>
          <w:t xml:space="preserve">10.1093/gerona/glv228</w:t>
        </w:r>
      </w:hyperlink>
    </w:p>
    <w:bookmarkEnd w:id="45"/>
    <w:bookmarkStart w:id="47" w:name="ref-ndi_guide"/>
    <w:p>
      <w:pPr>
        <w:pStyle w:val="Bibliography"/>
      </w:pPr>
      <w:r>
        <w:t xml:space="preserve">12.</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6">
        <w:r>
          <w:rPr>
            <w:rStyle w:val="Hyperlink"/>
          </w:rPr>
          <w:t xml:space="preserve">https://www.cdc.gov/nchs/data/ndi/ndi_users_guide.pdf</w:t>
        </w:r>
      </w:hyperlink>
    </w:p>
    <w:bookmarkEnd w:id="47"/>
    <w:bookmarkStart w:id="48" w:name="ref-regards_ndi"/>
    <w:p>
      <w:pPr>
        <w:pStyle w:val="Bibliography"/>
      </w:pPr>
      <w:r>
        <w:t xml:space="preserve">13.</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8"/>
    <w:bookmarkStart w:id="50" w:name="ref-drawz_concordance_2020"/>
    <w:p>
      <w:pPr>
        <w:pStyle w:val="Bibliography"/>
      </w:pPr>
      <w:r>
        <w:t xml:space="preserve">14.</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9">
        <w:r>
          <w:rPr>
            <w:rStyle w:val="Hyperlink"/>
          </w:rPr>
          <w:t xml:space="preserve">10.1001/jamainternmed.2020.5028</w:t>
        </w:r>
      </w:hyperlink>
    </w:p>
    <w:bookmarkEnd w:id="50"/>
    <w:bookmarkStart w:id="52" w:name="ref-zhang_time_varying_2018"/>
    <w:p>
      <w:pPr>
        <w:pStyle w:val="Bibliography"/>
      </w:pPr>
      <w:r>
        <w:t xml:space="preserve">15.</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51">
        <w:r>
          <w:rPr>
            <w:rStyle w:val="Hyperlink"/>
          </w:rPr>
          <w:t xml:space="preserve">10.21037/atm.2018.02.12</w:t>
        </w:r>
      </w:hyperlink>
    </w:p>
    <w:bookmarkEnd w:id="52"/>
    <w:bookmarkStart w:id="53" w:name="ref-martinussen2007dynamic"/>
    <w:p>
      <w:pPr>
        <w:pStyle w:val="Bibliography"/>
      </w:pPr>
      <w:r>
        <w:t xml:space="preserve">16.</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53"/>
    <w:bookmarkStart w:id="54" w:name="ref-therneau2017using"/>
    <w:p>
      <w:pPr>
        <w:pStyle w:val="Bibliography"/>
      </w:pPr>
      <w:r>
        <w:t xml:space="preserve">17.</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4"/>
    <w:bookmarkStart w:id="55" w:name="ref-lin_robust_1989"/>
    <w:p>
      <w:pPr>
        <w:pStyle w:val="Bibliography"/>
      </w:pPr>
      <w:r>
        <w:t xml:space="preserve">18.</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5"/>
    <w:bookmarkStart w:id="57" w:name="ref-scheike_flexible_2008"/>
    <w:p>
      <w:pPr>
        <w:pStyle w:val="Bibliography"/>
      </w:pPr>
      <w:r>
        <w:t xml:space="preserve">19.</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6">
        <w:r>
          <w:rPr>
            <w:rStyle w:val="Hyperlink"/>
          </w:rPr>
          <w:t xml:space="preserve">10.1007/s10985-008-9094-0</w:t>
        </w:r>
      </w:hyperlink>
    </w:p>
    <w:bookmarkEnd w:id="57"/>
    <w:bookmarkStart w:id="59" w:name="ref-r_language"/>
    <w:p>
      <w:pPr>
        <w:pStyle w:val="Bibliography"/>
      </w:pPr>
      <w:r>
        <w:t xml:space="preserve">20.</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8">
        <w:r>
          <w:rPr>
            <w:rStyle w:val="Hyperlink"/>
          </w:rPr>
          <w:t xml:space="preserve">https://www.R-project.org/</w:t>
        </w:r>
      </w:hyperlink>
    </w:p>
    <w:bookmarkEnd w:id="59"/>
    <w:bookmarkStart w:id="61" w:name="ref-table.glue"/>
    <w:p>
      <w:pPr>
        <w:pStyle w:val="Bibliography"/>
      </w:pPr>
      <w:r>
        <w:t xml:space="preserve">21.</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60">
        <w:r>
          <w:rPr>
            <w:rStyle w:val="Hyperlink"/>
          </w:rPr>
          <w:t xml:space="preserve">https://github.com/bcjaeger/table.glue</w:t>
        </w:r>
      </w:hyperlink>
    </w:p>
    <w:bookmarkEnd w:id="61"/>
    <w:bookmarkStart w:id="63" w:name="ref-tidyverse"/>
    <w:p>
      <w:pPr>
        <w:pStyle w:val="Bibliography"/>
      </w:pPr>
      <w:r>
        <w:t xml:space="preserve">22.</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62">
        <w:r>
          <w:rPr>
            <w:rStyle w:val="Hyperlink"/>
          </w:rPr>
          <w:t xml:space="preserve">10.21105/joss.01686</w:t>
        </w:r>
      </w:hyperlink>
    </w:p>
    <w:bookmarkEnd w:id="63"/>
    <w:bookmarkStart w:id="65" w:name="ref-survival_package"/>
    <w:p>
      <w:pPr>
        <w:pStyle w:val="Bibliography"/>
      </w:pPr>
      <w:r>
        <w:t xml:space="preserve">23.</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4">
        <w:r>
          <w:rPr>
            <w:rStyle w:val="Hyperlink"/>
          </w:rPr>
          <w:t xml:space="preserve">https://CRAN.R-project.org/package=survival</w:t>
        </w:r>
      </w:hyperlink>
    </w:p>
    <w:bookmarkEnd w:id="65"/>
    <w:bookmarkStart w:id="67" w:name="ref-timereg"/>
    <w:p>
      <w:pPr>
        <w:pStyle w:val="Bibliography"/>
      </w:pPr>
      <w:r>
        <w:t xml:space="preserve">24.</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6">
        <w:r>
          <w:rPr>
            <w:rStyle w:val="Hyperlink"/>
          </w:rPr>
          <w:t xml:space="preserve">https://www.jstatsoft.org/v38/i02/</w:t>
        </w:r>
      </w:hyperlink>
    </w:p>
    <w:bookmarkEnd w:id="67"/>
    <w:bookmarkStart w:id="69" w:name="ref-targets"/>
    <w:p>
      <w:pPr>
        <w:pStyle w:val="Bibliography"/>
      </w:pPr>
      <w:r>
        <w:t xml:space="preserve">25.</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8">
        <w:r>
          <w:rPr>
            <w:rStyle w:val="Hyperlink"/>
          </w:rPr>
          <w:t xml:space="preserve">https://doi.org/10.21105/joss.02959</w:t>
        </w:r>
      </w:hyperlink>
    </w:p>
    <w:bookmarkEnd w:id="69"/>
    <w:bookmarkStart w:id="70" w:name="ref-zhang_trial_2021"/>
    <w:p>
      <w:pPr>
        <w:pStyle w:val="Bibliography"/>
      </w:pPr>
      <w:r>
        <w:t xml:space="preserve">26.</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70"/>
    <w:bookmarkStart w:id="71" w:name="ref-chawla2014aki"/>
    <w:p>
      <w:pPr>
        <w:pStyle w:val="Bibliography"/>
      </w:pPr>
      <w:r>
        <w:t xml:space="preserve">27.</w:t>
      </w:r>
      <w:r>
        <w:t xml:space="preserve"> </w:t>
      </w:r>
      <w:r>
        <w:t xml:space="preserve">	</w:t>
      </w:r>
      <w:r>
        <w:t xml:space="preserve">Chawla LS, Eggers PW, Star RA, Kimmel PL.</w:t>
      </w:r>
      <w:r>
        <w:t xml:space="preserve"> </w:t>
      </w:r>
      <w:r>
        <w:t xml:space="preserve">A</w:t>
      </w:r>
      <w:r>
        <w:t xml:space="preserve">cute kidney injury and chronic kidney disease as interconnected syndromes</w:t>
      </w:r>
      <w:r>
        <w:t xml:space="preserve">.</w:t>
      </w:r>
      <w:r>
        <w:t xml:space="preserve"> </w:t>
      </w:r>
      <w:r>
        <w:rPr>
          <w:iCs/>
          <w:i/>
        </w:rPr>
        <w:t xml:space="preserve">N Engl J Med</w:t>
      </w:r>
      <w:r>
        <w:t xml:space="preserve">. 2014;371(1):58-66.</w:t>
      </w:r>
    </w:p>
    <w:bookmarkEnd w:id="71"/>
    <w:bookmarkStart w:id="72" w:name="ref-rocco2018aki"/>
    <w:p>
      <w:pPr>
        <w:pStyle w:val="Bibliography"/>
      </w:pPr>
      <w:r>
        <w:t xml:space="preserve">28.</w:t>
      </w:r>
      <w:r>
        <w:t xml:space="preserve"> </w:t>
      </w:r>
      <w:r>
        <w:t xml:space="preserve">	</w:t>
      </w:r>
      <w:r>
        <w:t xml:space="preserve">Rocco MV, Sink KM, Lovato LC, et al.</w:t>
      </w:r>
      <w:r>
        <w:t xml:space="preserve"> </w:t>
      </w:r>
      <w:r>
        <w:t xml:space="preserve">E</w:t>
      </w:r>
      <w:r>
        <w:t xml:space="preserve">ffects of</w:t>
      </w:r>
      <w:r>
        <w:t xml:space="preserve"> </w:t>
      </w:r>
      <w:r>
        <w:t xml:space="preserve">I</w:t>
      </w:r>
      <w:r>
        <w:t xml:space="preserve">ntensive</w:t>
      </w:r>
      <w:r>
        <w:t xml:space="preserve"> </w:t>
      </w:r>
      <w:r>
        <w:t xml:space="preserve">B</w:t>
      </w:r>
      <w:r>
        <w:t xml:space="preserve">lood</w:t>
      </w:r>
      <w:r>
        <w:t xml:space="preserve"> </w:t>
      </w:r>
      <w:r>
        <w:t xml:space="preserve">P</w:t>
      </w:r>
      <w:r>
        <w:t xml:space="preserve">ressure</w:t>
      </w:r>
      <w:r>
        <w:t xml:space="preserve"> </w:t>
      </w:r>
      <w:r>
        <w:t xml:space="preserve">T</w:t>
      </w:r>
      <w:r>
        <w:t xml:space="preserve">reatment on</w:t>
      </w:r>
      <w:r>
        <w:t xml:space="preserve"> </w:t>
      </w:r>
      <w:r>
        <w:t xml:space="preserve">A</w:t>
      </w:r>
      <w:r>
        <w:t xml:space="preserve">cute</w:t>
      </w:r>
      <w:r>
        <w:t xml:space="preserve"> </w:t>
      </w:r>
      <w:r>
        <w:t xml:space="preserve">K</w:t>
      </w:r>
      <w:r>
        <w:t xml:space="preserve">idney</w:t>
      </w:r>
      <w:r>
        <w:t xml:space="preserve"> </w:t>
      </w:r>
      <w:r>
        <w:t xml:space="preserve">I</w:t>
      </w:r>
      <w:r>
        <w:t xml:space="preserve">njury</w:t>
      </w:r>
      <w:r>
        <w:t xml:space="preserve"> </w:t>
      </w:r>
      <w:r>
        <w:t xml:space="preserve">E</w:t>
      </w:r>
      <w:r>
        <w:t xml:space="preserve">vents in the</w:t>
      </w:r>
      <w:r>
        <w:t xml:space="preserve"> </w:t>
      </w:r>
      <w:r>
        <w:t xml:space="preserve">S</w:t>
      </w:r>
      <w:r>
        <w:t xml:space="preserve">ystolic</w:t>
      </w:r>
      <w:r>
        <w:t xml:space="preserve"> </w:t>
      </w:r>
      <w:r>
        <w:t xml:space="preserve">B</w:t>
      </w:r>
      <w:r>
        <w:t xml:space="preserve">lood</w:t>
      </w:r>
      <w:r>
        <w:t xml:space="preserve"> </w:t>
      </w:r>
      <w:r>
        <w:t xml:space="preserve">P</w:t>
      </w:r>
      <w:r>
        <w:t xml:space="preserve">ressure</w:t>
      </w:r>
      <w:r>
        <w:t xml:space="preserve"> </w:t>
      </w:r>
      <w:r>
        <w:t xml:space="preserve">I</w:t>
      </w:r>
      <w:r>
        <w:t xml:space="preserve">ntervention</w:t>
      </w:r>
      <w:r>
        <w:t xml:space="preserve"> </w:t>
      </w:r>
      <w:r>
        <w:t xml:space="preserve">T</w:t>
      </w:r>
      <w:r>
        <w:t xml:space="preserve">rial (</w:t>
      </w:r>
      <w:r>
        <w:t xml:space="preserve">S</w:t>
      </w:r>
      <w:r>
        <w:t xml:space="preserve">P</w:t>
      </w:r>
      <w:r>
        <w:t xml:space="preserve">R</w:t>
      </w:r>
      <w:r>
        <w:t xml:space="preserve">I</w:t>
      </w:r>
      <w:r>
        <w:t xml:space="preserve">N</w:t>
      </w:r>
      <w:r>
        <w:t xml:space="preserve">T</w:t>
      </w:r>
      <w:r>
        <w:t xml:space="preserve">)</w:t>
      </w:r>
      <w:r>
        <w:t xml:space="preserve">.</w:t>
      </w:r>
      <w:r>
        <w:t xml:space="preserve"> </w:t>
      </w:r>
      <w:r>
        <w:rPr>
          <w:iCs/>
          <w:i/>
        </w:rPr>
        <w:t xml:space="preserve">Am J Kidney Dis</w:t>
      </w:r>
      <w:r>
        <w:t xml:space="preserve">. 2018;71(3):352-361.</w:t>
      </w:r>
    </w:p>
    <w:bookmarkEnd w:id="72"/>
    <w:bookmarkStart w:id="73" w:name="ref-muntner2020htn"/>
    <w:p>
      <w:pPr>
        <w:pStyle w:val="Bibliography"/>
      </w:pPr>
      <w:r>
        <w:t xml:space="preserve">29.</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3"/>
    <w:bookmarkStart w:id="75" w:name="ref-laffin_rise_2022"/>
    <w:p>
      <w:pPr>
        <w:pStyle w:val="Bibliography"/>
      </w:pPr>
      <w:r>
        <w:t xml:space="preserve">30.</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74">
        <w:r>
          <w:rPr>
            <w:rStyle w:val="Hyperlink"/>
          </w:rPr>
          <w:t xml:space="preserve">10.1161/CIRCULATIONAHA.121.057075</w:t>
        </w:r>
      </w:hyperlink>
    </w:p>
    <w:bookmarkEnd w:id="75"/>
    <w:bookmarkEnd w:id="76"/>
    <w:bookmarkEnd w:id="7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64" Type="http://schemas.openxmlformats.org/officeDocument/2006/relationships/hyperlink" Target="https://CRAN.R-project.org/package=survival" TargetMode="External"/>
<Relationship Id="rId49" Type="http://schemas.openxmlformats.org/officeDocument/2006/relationships/hyperlink" Target="https://doi.org/10.1001/jamainternmed.2020.5028" TargetMode="External"/>
<Relationship Id="rId56"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7" Type="http://schemas.openxmlformats.org/officeDocument/2006/relationships/hyperlink" Target="https://doi.org/10.1056/NEJMoa2102953" TargetMode="External"/>
<Relationship Id="rId44" Type="http://schemas.openxmlformats.org/officeDocument/2006/relationships/hyperlink" Target="https://doi.org/10.1093/gerona/glv228" TargetMode="External"/>
<Relationship Id="rId39" Type="http://schemas.openxmlformats.org/officeDocument/2006/relationships/hyperlink" Target="https://doi.org/10.1111/j.1532-5415.2005.53221.x" TargetMode="External"/>
<Relationship Id="rId41" Type="http://schemas.openxmlformats.org/officeDocument/2006/relationships/hyperlink" Target="https://doi.org/10.1111/jgs.12195" TargetMode="External"/>
<Relationship Id="rId74" Type="http://schemas.openxmlformats.org/officeDocument/2006/relationships/hyperlink" Target="https://doi.org/10.1161/CIRCULATIONAHA.121.057075" TargetMode="External"/>
<Relationship Id="rId34" Type="http://schemas.openxmlformats.org/officeDocument/2006/relationships/hyperlink" Target="https://doi.org/10.1177/1740774514537404" TargetMode="External"/>
<Relationship Id="rId51" Type="http://schemas.openxmlformats.org/officeDocument/2006/relationships/hyperlink" Target="https://doi.org/10.21037/atm.2018.02.12" TargetMode="External"/>
<Relationship Id="rId62" Type="http://schemas.openxmlformats.org/officeDocument/2006/relationships/hyperlink" Target="https://doi.org/10.21105/joss.01686" TargetMode="External"/>
<Relationship Id="rId68" Type="http://schemas.openxmlformats.org/officeDocument/2006/relationships/hyperlink" Target="https://doi.org/10.21105/joss.02959" TargetMode="External"/>
<Relationship Id="rId60" Type="http://schemas.openxmlformats.org/officeDocument/2006/relationships/hyperlink" Target="https://github.com/bcjaeger/table.glue" TargetMode="External"/>
<Relationship Id="rId58" Type="http://schemas.openxmlformats.org/officeDocument/2006/relationships/hyperlink" Target="https://www.R-project.org/" TargetMode="External"/>
<Relationship Id="rId46" Type="http://schemas.openxmlformats.org/officeDocument/2006/relationships/hyperlink" Target="https://www.cdc.gov/nchs/data/ndi/ndi_users_guide.pdf" TargetMode="External"/>
<Relationship Id="rId66"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5" Type="http://schemas.openxmlformats.org/officeDocument/2006/relationships/image" Target="media/file5b105a267a7b.png"/>
<Relationship Id="rId76" Type="http://schemas.openxmlformats.org/officeDocument/2006/relationships/image" Target="media/file5b102ca96c14.png"/>
<Relationship Id="rId77" Type="http://schemas.openxmlformats.org/officeDocument/2006/relationships/image" Target="media/file5b103c2c2c40.png"/>
<Relationship Id="rId78" Type="http://schemas.openxmlformats.org/officeDocument/2006/relationships/image" Target="media/file5b1078952844.png"/>
<Relationship Id="rId79" Type="http://schemas.openxmlformats.org/officeDocument/2006/relationships/image" Target="media/file5b10140f5142.png"/>
<Relationship Id="rId80" Type="http://schemas.openxmlformats.org/officeDocument/2006/relationships/image" Target="media/file5b104dcd281b.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64" Type="http://schemas.openxmlformats.org/officeDocument/2006/relationships/hyperlink" Target="https://CRAN.R-project.org/package=survival" TargetMode="External"/>
<Relationship Id="rId49" Type="http://schemas.openxmlformats.org/officeDocument/2006/relationships/hyperlink" Target="https://doi.org/10.1001/jamainternmed.2020.5028" TargetMode="External"/>
<Relationship Id="rId56"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7" Type="http://schemas.openxmlformats.org/officeDocument/2006/relationships/hyperlink" Target="https://doi.org/10.1056/NEJMoa2102953" TargetMode="External"/>
<Relationship Id="rId44" Type="http://schemas.openxmlformats.org/officeDocument/2006/relationships/hyperlink" Target="https://doi.org/10.1093/gerona/glv228" TargetMode="External"/>
<Relationship Id="rId39" Type="http://schemas.openxmlformats.org/officeDocument/2006/relationships/hyperlink" Target="https://doi.org/10.1111/j.1532-5415.2005.53221.x" TargetMode="External"/>
<Relationship Id="rId41" Type="http://schemas.openxmlformats.org/officeDocument/2006/relationships/hyperlink" Target="https://doi.org/10.1111/jgs.12195" TargetMode="External"/>
<Relationship Id="rId74" Type="http://schemas.openxmlformats.org/officeDocument/2006/relationships/hyperlink" Target="https://doi.org/10.1161/CIRCULATIONAHA.121.057075" TargetMode="External"/>
<Relationship Id="rId34" Type="http://schemas.openxmlformats.org/officeDocument/2006/relationships/hyperlink" Target="https://doi.org/10.1177/1740774514537404" TargetMode="External"/>
<Relationship Id="rId51" Type="http://schemas.openxmlformats.org/officeDocument/2006/relationships/hyperlink" Target="https://doi.org/10.21037/atm.2018.02.12" TargetMode="External"/>
<Relationship Id="rId62" Type="http://schemas.openxmlformats.org/officeDocument/2006/relationships/hyperlink" Target="https://doi.org/10.21105/joss.01686" TargetMode="External"/>
<Relationship Id="rId68" Type="http://schemas.openxmlformats.org/officeDocument/2006/relationships/hyperlink" Target="https://doi.org/10.21105/joss.02959" TargetMode="External"/>
<Relationship Id="rId60" Type="http://schemas.openxmlformats.org/officeDocument/2006/relationships/hyperlink" Target="https://github.com/bcjaeger/table.glue" TargetMode="External"/>
<Relationship Id="rId58" Type="http://schemas.openxmlformats.org/officeDocument/2006/relationships/hyperlink" Target="https://www.R-project.org/" TargetMode="External"/>
<Relationship Id="rId46" Type="http://schemas.openxmlformats.org/officeDocument/2006/relationships/hyperlink" Target="https://www.cdc.gov/nchs/data/ndi/ndi_users_guide.pdf" TargetMode="External"/>
<Relationship Id="rId66"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2022-01-19T17:51:01Z</dcterms:created>
  <dcterms:modified xsi:type="dcterms:W3CDTF">2022-01-19T12:51:02Z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