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p>
    <w:p>
      <w:pPr>
        <w:pStyle w:val="FirstParagraph"/>
      </w:pPr>
      <w:r>
        <w:t xml:space="preserve">Byron C. Jaeger, PhD</w:t>
      </w:r>
      <w:r>
        <w:rPr>
          <w:vertAlign w:val="superscript"/>
        </w:rPr>
        <w:t xml:space="preserve">1</w:t>
      </w:r>
      <w:r>
        <w:t xml:space="preserve"> </w:t>
      </w:r>
      <w:r>
        <w:t xml:space="preserve">Paul E. Drawz, DEGREES</w:t>
      </w:r>
      <w:r>
        <w:rPr>
          <w:vertAlign w:val="superscript"/>
        </w:rPr>
        <w:t xml:space="preserve">2</w:t>
      </w:r>
      <w:r>
        <w:t xml:space="preserve"> </w:t>
      </w:r>
      <w:r>
        <w:t xml:space="preserve">Paul K. Whelton, DEGREES</w:t>
      </w:r>
      <w:r>
        <w:rPr>
          <w:vertAlign w:val="superscript"/>
        </w:rPr>
        <w:t xml:space="preserve">3</w:t>
      </w:r>
      <w:r>
        <w:t xml:space="preserve"> </w:t>
      </w:r>
      <w:r>
        <w:t xml:space="preserve">Mark A. Supiano, DEGREES</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DEGREES</w:t>
      </w:r>
      <w:r>
        <w:rPr>
          <w:vertAlign w:val="superscript"/>
        </w:rPr>
        <w:t xml:space="preserve">7</w:t>
      </w:r>
      <w:r>
        <w:t xml:space="preserve"> </w:t>
      </w:r>
      <w:r>
        <w:t xml:space="preserve">David M. Reboussin, DEGREES</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r>
        <w:br w:type="page"/>
      </w:r>
    </w:p>
    <w:bookmarkStart w:id="20" w:name="abstract"/>
    <w:p>
      <w:pPr>
        <w:pStyle w:val="Heading1"/>
      </w:pPr>
      <w:r>
        <w:t xml:space="preserve">ABSTRACT</w:t>
      </w:r>
    </w:p>
    <w:p>
      <w:pPr>
        <w:pStyle w:val="FirstParagraph"/>
      </w:pPr>
      <w:r>
        <w:rPr>
          <w:bCs/>
          <w:b/>
        </w:rPr>
        <w:t xml:space="preserve">Background</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legacy effect of intensive treatment on longer term cardiovascular and all-cause mortality is unknown.</w:t>
      </w:r>
    </w:p>
    <w:p>
      <w:pPr>
        <w:pStyle w:val="BodyText"/>
      </w:pPr>
      <w:r>
        <w:rPr>
          <w:bCs/>
          <w:b/>
        </w:rPr>
        <w:t xml:space="preserve">Methods</w:t>
      </w:r>
      <w:r>
        <w:t xml:space="preserve">. We linked participants in SPRINT to the National Death Index (NDI, 2016 to 2020), assessing cardiovascular mortality using the NDI plus system. Cox and competing risk regression models were used to model the effect of intensive treatment through the trial and during post-trial follow-up on all-cause and cardiovascular mortality respectively</w:t>
      </w:r>
    </w:p>
    <w:p>
      <w:pPr>
        <w:pStyle w:val="BodyText"/>
      </w:pPr>
      <w:r>
        <w:rPr>
          <w:bCs/>
          <w:b/>
        </w:rPr>
        <w:t xml:space="preserve">Results</w:t>
      </w:r>
      <w:r>
        <w:t xml:space="preserve">. Over a median follow-up of 8.76 years, there were 248 and 818 cardiovascular and all-cause deaths with intensive treatment respectively, and 273 cardiovascular / 826 all-cause deaths for standard treatment.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w:t>
      </w:r>
    </w:p>
    <w:p>
      <w:pPr>
        <w:pStyle w:val="BodyText"/>
      </w:pPr>
      <w:r>
        <w:rPr>
          <w:bCs/>
          <w:b/>
        </w:rPr>
        <w:t xml:space="preserve">Conclusions</w:t>
      </w:r>
      <w:r>
        <w:t xml:space="preserve">. Our results show a clear benefit for cardiovascular and all-cause mortality during the trial which was largely attenuated during post-trial observational follow-up. Given indications of increasing blood pressures in SPRINT participants randomized to intensive treatment following the trial, these results highlight the importance of consistent long-term management of hypertension in line with current guidelines.</w:t>
      </w:r>
      <w:r>
        <w:t xml:space="preserve"> </w:t>
      </w:r>
    </w:p>
    <w:bookmarkEnd w:id="20"/>
    <w:bookmarkStart w:id="21" w:name="introduction"/>
    <w:p>
      <w:pPr>
        <w:pStyle w:val="Heading1"/>
      </w:pPr>
      <w:r>
        <w:t xml:space="preserve">INTRODUCTION</w:t>
      </w:r>
    </w:p>
    <w:bookmarkEnd w:id="21"/>
    <w:bookmarkStart w:id="22" w:name="methods"/>
    <w:p>
      <w:pPr>
        <w:pStyle w:val="Heading1"/>
      </w:pPr>
      <w:r>
        <w:t xml:space="preserve">METHODS</w:t>
      </w:r>
    </w:p>
    <w:p>
      <w:pPr>
        <w:pStyle w:val="FirstParagraph"/>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1</w:t>
      </w:r>
      <w:r>
        <w:t xml:space="preserve"> The second approach estimated the cumulative time-dependent effect of randomization to intensive treatment.</w:t>
      </w:r>
      <w:r>
        <w:rPr>
          <w:vertAlign w:val="superscript"/>
        </w:rPr>
        <w:t xml:space="preserve">2</w:t>
      </w:r>
      <w:r>
        <w:t xml:space="preserve"> While the phase-specific estimate of the treatment effect treats the trial and cohort phases independently, the cumulative estimate enforces continuity of the treatment effect through time so that the effect of treatment during the trial phase is not</w:t>
      </w:r>
      <w:r>
        <w:t xml:space="preserve"> </w:t>
      </w:r>
      <w:r>
        <w:t xml:space="preserve">‘</w:t>
      </w:r>
      <w:r>
        <w:t xml:space="preserve">forgotten</w:t>
      </w:r>
      <w:r>
        <w:t xml:space="preserve">’</w:t>
      </w:r>
      <w:r>
        <w:t xml:space="preserve"> </w:t>
      </w:r>
      <w:r>
        <w:t xml:space="preserve">during the cohort phase. All analyses accounted for correlation within study sites,</w:t>
      </w:r>
      <w:r>
        <w:rPr>
          <w:vertAlign w:val="superscript"/>
        </w:rPr>
        <w:t xml:space="preserve">3</w:t>
      </w:r>
      <w:r>
        <w:t xml:space="preserve"> and analyses of cardiovascular mortality accounted for the competing risk of non-cardiovascular mortality.</w:t>
      </w:r>
      <w:r>
        <w:rPr>
          <w:vertAlign w:val="superscript"/>
        </w:rPr>
        <w:t xml:space="preserve">4</w:t>
      </w:r>
    </w:p>
    <w:bookmarkEnd w:id="22"/>
    <w:bookmarkStart w:id="23"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The cumulative time-varying effect of intensive versus standard treatment indicated lower risk for all-cause mortality during the trial phase and was attenuated during the cohort phase (</w:t>
      </w:r>
      <w:r>
        <w:rPr>
          <w:bCs/>
          <w:b/>
        </w:rPr>
        <w:t xml:space="preserve">Figure 1</w:t>
      </w:r>
      <w:r>
        <w:t xml:space="preserve">).</w:t>
      </w:r>
    </w:p>
    <w:bookmarkEnd w:id="23"/>
    <w:bookmarkStart w:id="24" w:name="discussion"/>
    <w:p>
      <w:pPr>
        <w:pStyle w:val="Heading1"/>
      </w:pPr>
      <w:r>
        <w:t xml:space="preserve">DISCUSSION</w:t>
      </w:r>
    </w:p>
    <w:p>
      <w:pPr>
        <w:sectPr>
          <w:pgSz w:h="16838" w:w="11906" w:orient="portrait"/>
          <w:type w:val="continuous"/>
          <w:cols/>
          <w:pgMar xmlns:w="http://schemas.openxmlformats.org/wordprocessingml/2006/main" w:header="720" w:bottom="1800" w:top="1800" w:right="720" w:left="720" w:footer="720" w:gutter="720"/>
        </w:sectPr>
      </w:pPr>
    </w:p>
    <w:p>
      <w:pPr>
        <w:pStyle w:val="FirstParagraph"/>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11.1</w:t>
              <w:br/>
              <w:t xml:space="preserve">(9.49, 13.0)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8.45</w:t>
              <w:br/>
              <w:t xml:space="preserve">(7.02, 10.1)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(0.58, 1.01)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302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22.3</w:t>
              <w:br/>
              <w:t xml:space="preserve">(19.8, 24.9)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br/>
              <w:t xml:space="preserve">(21.7, 26.9)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(0.90, 1.29)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25.8</w:t>
              <w:br/>
              <w:t xml:space="preserve">(21.6, 30.4)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23.0</w:t>
              <w:br/>
              <w:t xml:space="preserve">(19.1, 27.4)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234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248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52.3</w:t>
              <w:br/>
              <w:t xml:space="preserve">(45.9, 59.3)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55.0</w:t>
              <w:br/>
              <w:t xml:space="preserve">(48.4, 62.1)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1.03</w:t>
              <w:br/>
              <w:t xml:space="preserve">(0.84, 1.27)</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106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 / 88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(0.63, 1.15)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85 / 217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228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w:t>
              <w:br/>
              <w:t xml:space="preserve">(0.88, 1.61)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(0.84, 1.29)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91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 / 85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0.79</w:t>
              <w:br/>
              <w:t xml:space="preserve">(0.50, 1.23)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(0.65, 1.23)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96 / 138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165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(0.65, 1.11)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1.24</w:t>
              <w:br/>
              <w:t xml:space="preserve">(0.98, 1.56)</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8"/>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5</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9"/>
                    <a:srcRect/>
                    <a:stretch>
                      <a:fillRect/>
                    </a:stretch>
                  </pic:blipFill>
                  <pic:spPr bwMode="auto">
                    <a:xfrm>
                      <a:off x="0" y="0"/>
                      <a:ext cx="139700" cy="79375"/>
                    </a:xfrm>
                    <a:prstGeom prst="rect">
                      <a:avLst/>
                    </a:prstGeom>
                    <a:noFill/>
                  </pic:spPr>
                </pic:pic>
              </a:graphicData>
            </a:graphic>
          </wp:inline>
        </w:drawing>
      </w:r>
    </w:p>
    <w:bookmarkEnd w:id="24"/>
    <w:bookmarkStart w:id="25" w:name="supplement"/>
    <w:p>
      <w:pPr>
        <w:pStyle w:val="Heading1"/>
      </w:pPr>
      <w:r>
        <w:t xml:space="preserve">SUPPLEMENT</w:t>
      </w:r>
    </w:p>
    <w:p>
      <w:pPr>
        <w:pStyle w:val="FirstParagraph"/>
      </w:pPr>
      <w:r>
        <w:t xml:space="preserve">To be decided.</w:t>
      </w:r>
    </w:p>
    <w:p>
      <w:pPr>
        <w:sectPr>
          <w:pgMar w:header="720" w:bottom="180" w:top="180" w:right="360" w:left="360" w:footer="720" w:gutter="720"/>
          <w:pgSz w:h="11906" w:w="16838" w:orient="landscape"/>
          <w:type w:val="continuous"/>
          <w:cols/>
        </w:sectPr>
      </w:pPr>
    </w:p>
    <w:bookmarkEnd w:id="25"/>
    <w:bookmarkStart w:id="31" w:name="references"/>
    <w:p>
      <w:pPr>
        <w:pStyle w:val="Heading1"/>
      </w:pPr>
      <w:r>
        <w:t xml:space="preserve">REFERENCES</w:t>
      </w:r>
    </w:p>
    <w:bookmarkStart w:id="30" w:name="refs"/>
    <w:bookmarkStart w:id="26" w:name="ref-zhang_time_varying_2018"/>
    <w:p>
      <w:pPr>
        <w:pStyle w:val="Bibliography"/>
      </w:pPr>
      <w:r>
        <w:t xml:space="preserve">1</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26"/>
    <w:bookmarkStart w:id="27" w:name="ref-martinussen2007dynamic"/>
    <w:p>
      <w:pPr>
        <w:pStyle w:val="Bibliography"/>
      </w:pPr>
      <w:r>
        <w:t xml:space="preserve">2</w:t>
      </w:r>
      <w:r>
        <w:t xml:space="preserve"> </w:t>
      </w:r>
      <w:r>
        <w:t xml:space="preserve">	</w:t>
      </w:r>
      <w:r>
        <w:t xml:space="preserve">Martinussen T, Scheike TH. Dynamic regression models for survival data. Springer Science &amp; Business Media, 2007.</w:t>
      </w:r>
    </w:p>
    <w:bookmarkEnd w:id="27"/>
    <w:bookmarkStart w:id="28" w:name="ref-lin_robust_1989"/>
    <w:p>
      <w:pPr>
        <w:pStyle w:val="Bibliography"/>
      </w:pPr>
      <w:r>
        <w:t xml:space="preserve">3</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28"/>
    <w:bookmarkStart w:id="29" w:name="ref-scheike_flexible_2008"/>
    <w:p>
      <w:pPr>
        <w:pStyle w:val="Bibliography"/>
      </w:pPr>
      <w:r>
        <w:t xml:space="preserve">4</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29"/>
    <w:bookmarkEnd w:id="30"/>
    <w:bookmarkEnd w:id="3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image" Target="media/file3ab0120966fb.png"/>
<Relationship Id="rId16" Type="http://schemas.openxmlformats.org/officeDocument/2006/relationships/image" Target="media/file3ab0458352a.png"/>
<Relationship Id="rId17" Type="http://schemas.openxmlformats.org/officeDocument/2006/relationships/image" Target="media/file3ab0725f3ccd.png"/>
<Relationship Id="rId18" Type="http://schemas.openxmlformats.org/officeDocument/2006/relationships/image" Target="media/file3ab01a74204.png"/>
<Relationship Id="rId19" Type="http://schemas.openxmlformats.org/officeDocument/2006/relationships/image" Target="media/file3ab0661731ba.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dc:title>
  <dc:creator/>
  <cp:keywords/>
  <dcterms:created xsi:type="dcterms:W3CDTF">2021-12-30T21:58:15Z</dcterms:created>
  <dcterms:modified xsi:type="dcterms:W3CDTF">2021-12-30T16:58:16Z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