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Flotas solares/eólicas, cosechadoras de rejilla y acuicultura de peces</w:t>
      </w:r>
    </w:p>
    <w:p>
      <w:pPr>
        <w:jc w:val="center"/>
      </w:pPr>
      <w:r>
        <w:t>Extensión exploratoria para Costa Rica: supuestos, balances energéticos y márgenes anualizados</w:t>
      </w:r>
    </w:p>
    <w:p>
      <w:pPr>
        <w:pStyle w:val="Heading1"/>
      </w:pPr>
      <w:r>
        <w:t>Alcance y advertencias</w:t>
      </w:r>
    </w:p>
    <w:p>
      <w:pPr>
        <w:jc w:val="both"/>
      </w:pPr>
      <w:r>
        <w:t>Este estudio amplía la prueba de un sitio de 10 km² de Sargassum nativo (9 t secas/ha/año; 10 % de sólidos). Es un cribado de ingeniería sin meteorología horaria ni cotizaciones de astillero o granja; NO modifica el optimizador nacional ni certifica rentabilidad en Costa Rica. Todas las cifras monetarias son dólares estadounidenses de 2026 y emplean una tasa de descuento supuesta del 7 %.</w:t>
      </w:r>
    </w:p>
    <w:p>
      <w:pPr>
        <w:pStyle w:val="Heading1"/>
      </w:pPr>
      <w:r>
        <w:t>1. Transporte por grandes buques; los drones NO transportan algas</w:t>
      </w:r>
    </w:p>
    <w:p>
      <w:pPr>
        <w:jc w:val="both"/>
      </w:pPr>
      <w:r>
        <w:t>Un buque de 1 000 t húmedas de carga, con techo solar de 1 100 m² (231 kW fotovoltaicos), dos aerogeneradores de eje vertical de 40 kW cada uno (80 kW), propulsión eléctrica de 700 kW y batería de 9 MWh realiza 90 viajes redondos de 100 km/año. El retorno de 100 km, 12 km/h y la operación en puerto de 12 horas son supuestos editables. Se calcula una necesidad por viaje de 6.69 MWh, frente a 7.92 MWh útiles. La batería admite el viaje redondo en esta hipótesis, pero NO es una garantía de navegabilidad o reserva reglamentaria.</w:t>
      </w:r>
    </w:p>
    <w:p>
      <w:pPr>
        <w:jc w:val="both"/>
      </w:pPr>
      <w:r>
        <w:t>La producción eólica de las turbinas montadas a bordo se contabiliza como electricidad, no como empuje a vela. Se agrega una penalización explícita por resistencia aerodinámica (35 % de la producción eólica durante las horas navegadas como proxy). No se aprovecha la energía generada durante periodos no operativos: la producción potencial se limita por el ciclo útil del barco. Queda suministro desde tierra; no se asegura autosuficiencia nocturna.</w:t>
      </w:r>
    </w:p>
    <w:tbl>
      <w:tblPr>
        <w:tblStyle w:val="LightShading-Accent1"/>
        <w:tblW w:type="auto" w:w="0"/>
        <w:tblLayout w:type="autofit"/>
        <w:tblLook w:firstColumn="1" w:firstRow="1" w:lastColumn="0" w:lastRow="0" w:noHBand="0" w:noVBand="1" w:val="04A0"/>
      </w:tblPr>
      <w:tblGrid>
        <w:gridCol w:w="5040"/>
        <w:gridCol w:w="5040"/>
      </w:tblGrid>
      <w:tr>
        <w:tc>
          <w:tcPr>
            <w:tcW w:type="dxa" w:w="5040"/>
            <w:vAlign w:val="center"/>
          </w:tcPr>
          <w:p>
            <w:pPr>
              <w:spacing w:after="20" w:before="20" w:line="254" w:lineRule="auto"/>
            </w:pPr>
            <w:r>
              <w:rPr>
                <w:rFonts w:ascii="Times New Roman" w:hAnsi="Times New Roman"/>
                <w:sz w:val="18"/>
              </w:rPr>
              <w:t>Métrica</w:t>
            </w:r>
          </w:p>
        </w:tc>
        <w:tc>
          <w:tcPr>
            <w:tcW w:type="dxa" w:w="5040"/>
            <w:vAlign w:val="center"/>
          </w:tcPr>
          <w:p>
            <w:pPr>
              <w:spacing w:after="20" w:before="20" w:line="254" w:lineRule="auto"/>
            </w:pPr>
            <w:r>
              <w:rPr>
                <w:rFonts w:ascii="Times New Roman" w:hAnsi="Times New Roman"/>
                <w:sz w:val="18"/>
              </w:rPr>
              <w:t>Resultado</w:t>
            </w:r>
          </w:p>
        </w:tc>
      </w:tr>
      <w:tr>
        <w:tc>
          <w:tcPr>
            <w:tcW w:type="dxa" w:w="5040"/>
            <w:vAlign w:val="center"/>
          </w:tcPr>
          <w:p>
            <w:pPr>
              <w:spacing w:after="20" w:before="20" w:line="254" w:lineRule="auto"/>
            </w:pPr>
            <w:r>
              <w:rPr>
                <w:rFonts w:ascii="Times New Roman" w:hAnsi="Times New Roman"/>
                <w:sz w:val="18"/>
              </w:rPr>
              <w:t>Viajes / unidad</w:t>
            </w:r>
          </w:p>
        </w:tc>
        <w:tc>
          <w:tcPr>
            <w:tcW w:type="dxa" w:w="5040"/>
            <w:vAlign w:val="center"/>
          </w:tcPr>
          <w:p>
            <w:pPr>
              <w:spacing w:after="20" w:before="20" w:line="254" w:lineRule="auto"/>
            </w:pPr>
            <w:r>
              <w:rPr>
                <w:rFonts w:ascii="Times New Roman" w:hAnsi="Times New Roman"/>
                <w:sz w:val="18"/>
              </w:rPr>
              <w:t>90 / 1</w:t>
            </w:r>
          </w:p>
        </w:tc>
      </w:tr>
      <w:tr>
        <w:tc>
          <w:tcPr>
            <w:tcW w:type="dxa" w:w="5040"/>
            <w:vAlign w:val="center"/>
          </w:tcPr>
          <w:p>
            <w:pPr>
              <w:spacing w:after="20" w:before="20" w:line="254" w:lineRule="auto"/>
            </w:pPr>
            <w:r>
              <w:rPr>
                <w:rFonts w:ascii="Times New Roman" w:hAnsi="Times New Roman"/>
                <w:sz w:val="18"/>
              </w:rPr>
              <w:t>PV / VAWT instalados</w:t>
            </w:r>
          </w:p>
        </w:tc>
        <w:tc>
          <w:tcPr>
            <w:tcW w:type="dxa" w:w="5040"/>
            <w:vAlign w:val="center"/>
          </w:tcPr>
          <w:p>
            <w:pPr>
              <w:spacing w:after="20" w:before="20" w:line="254" w:lineRule="auto"/>
            </w:pPr>
            <w:r>
              <w:rPr>
                <w:rFonts w:ascii="Times New Roman" w:hAnsi="Times New Roman"/>
                <w:sz w:val="18"/>
              </w:rPr>
              <w:t>231 / 80 kW</w:t>
            </w:r>
          </w:p>
        </w:tc>
      </w:tr>
      <w:tr>
        <w:tc>
          <w:tcPr>
            <w:tcW w:type="dxa" w:w="5040"/>
            <w:vAlign w:val="center"/>
          </w:tcPr>
          <w:p>
            <w:pPr>
              <w:spacing w:after="20" w:before="20" w:line="254" w:lineRule="auto"/>
            </w:pPr>
            <w:r>
              <w:rPr>
                <w:rFonts w:ascii="Times New Roman" w:hAnsi="Times New Roman"/>
                <w:sz w:val="18"/>
              </w:rPr>
              <w:t>Demanda eléctrica anual total</w:t>
            </w:r>
          </w:p>
        </w:tc>
        <w:tc>
          <w:tcPr>
            <w:tcW w:type="dxa" w:w="5040"/>
            <w:vAlign w:val="center"/>
          </w:tcPr>
          <w:p>
            <w:pPr>
              <w:spacing w:after="20" w:before="20" w:line="254" w:lineRule="auto"/>
            </w:pPr>
            <w:r>
              <w:rPr>
                <w:rFonts w:ascii="Times New Roman" w:hAnsi="Times New Roman"/>
                <w:sz w:val="18"/>
              </w:rPr>
              <w:t>602.1 MWh</w:t>
            </w:r>
          </w:p>
        </w:tc>
      </w:tr>
      <w:tr>
        <w:tc>
          <w:tcPr>
            <w:tcW w:type="dxa" w:w="5040"/>
            <w:vAlign w:val="center"/>
          </w:tcPr>
          <w:p>
            <w:pPr>
              <w:spacing w:after="20" w:before="20" w:line="254" w:lineRule="auto"/>
            </w:pPr>
            <w:r>
              <w:rPr>
                <w:rFonts w:ascii="Times New Roman" w:hAnsi="Times New Roman"/>
                <w:sz w:val="18"/>
              </w:rPr>
              <w:t>Solar / viento útiles potenciales</w:t>
            </w:r>
          </w:p>
        </w:tc>
        <w:tc>
          <w:tcPr>
            <w:tcW w:type="dxa" w:w="5040"/>
            <w:vAlign w:val="center"/>
          </w:tcPr>
          <w:p>
            <w:pPr>
              <w:spacing w:after="20" w:before="20" w:line="254" w:lineRule="auto"/>
            </w:pPr>
            <w:r>
              <w:rPr>
                <w:rFonts w:ascii="Times New Roman" w:hAnsi="Times New Roman"/>
                <w:sz w:val="18"/>
              </w:rPr>
              <w:t>55.4 / 27.5 MWh</w:t>
            </w:r>
          </w:p>
        </w:tc>
      </w:tr>
      <w:tr>
        <w:tc>
          <w:tcPr>
            <w:tcW w:type="dxa" w:w="5040"/>
            <w:vAlign w:val="center"/>
          </w:tcPr>
          <w:p>
            <w:pPr>
              <w:spacing w:after="20" w:before="20" w:line="254" w:lineRule="auto"/>
            </w:pPr>
            <w:r>
              <w:rPr>
                <w:rFonts w:ascii="Times New Roman" w:hAnsi="Times New Roman"/>
                <w:sz w:val="18"/>
              </w:rPr>
              <w:t>Cobertura solar/eólica</w:t>
            </w:r>
          </w:p>
        </w:tc>
        <w:tc>
          <w:tcPr>
            <w:tcW w:type="dxa" w:w="5040"/>
            <w:vAlign w:val="center"/>
          </w:tcPr>
          <w:p>
            <w:pPr>
              <w:spacing w:after="20" w:before="20" w:line="254" w:lineRule="auto"/>
            </w:pPr>
            <w:r>
              <w:rPr>
                <w:rFonts w:ascii="Times New Roman" w:hAnsi="Times New Roman"/>
                <w:sz w:val="18"/>
              </w:rPr>
              <w:t>13.8 %</w:t>
            </w:r>
          </w:p>
        </w:tc>
      </w:tr>
      <w:tr>
        <w:tc>
          <w:tcPr>
            <w:tcW w:type="dxa" w:w="5040"/>
            <w:vAlign w:val="center"/>
          </w:tcPr>
          <w:p>
            <w:pPr>
              <w:spacing w:after="20" w:before="20" w:line="254" w:lineRule="auto"/>
            </w:pPr>
            <w:r>
              <w:rPr>
                <w:rFonts w:ascii="Times New Roman" w:hAnsi="Times New Roman"/>
                <w:sz w:val="18"/>
              </w:rPr>
              <w:t>Electricidad de tierra</w:t>
            </w:r>
          </w:p>
        </w:tc>
        <w:tc>
          <w:tcPr>
            <w:tcW w:type="dxa" w:w="5040"/>
            <w:vAlign w:val="center"/>
          </w:tcPr>
          <w:p>
            <w:pPr>
              <w:spacing w:after="20" w:before="20" w:line="254" w:lineRule="auto"/>
            </w:pPr>
            <w:r>
              <w:rPr>
                <w:rFonts w:ascii="Times New Roman" w:hAnsi="Times New Roman"/>
                <w:sz w:val="18"/>
              </w:rPr>
              <w:t>519.3 MWh/año</w:t>
            </w:r>
          </w:p>
        </w:tc>
      </w:tr>
      <w:tr>
        <w:tc>
          <w:tcPr>
            <w:tcW w:type="dxa" w:w="5040"/>
            <w:vAlign w:val="center"/>
          </w:tcPr>
          <w:p>
            <w:pPr>
              <w:spacing w:after="20" w:before="20" w:line="254" w:lineRule="auto"/>
            </w:pPr>
            <w:r>
              <w:rPr>
                <w:rFonts w:ascii="Times New Roman" w:hAnsi="Times New Roman"/>
                <w:sz w:val="18"/>
              </w:rPr>
              <w:t>Costo total anualizado híbrido</w:t>
            </w:r>
          </w:p>
        </w:tc>
        <w:tc>
          <w:tcPr>
            <w:tcW w:type="dxa" w:w="5040"/>
            <w:vAlign w:val="center"/>
          </w:tcPr>
          <w:p>
            <w:pPr>
              <w:spacing w:after="20" w:before="20" w:line="254" w:lineRule="auto"/>
            </w:pPr>
            <w:r>
              <w:rPr>
                <w:rFonts w:ascii="Times New Roman" w:hAnsi="Times New Roman"/>
                <w:sz w:val="18"/>
              </w:rPr>
              <w:t>US$1,592,976/año</w:t>
            </w:r>
          </w:p>
        </w:tc>
      </w:tr>
      <w:tr>
        <w:tc>
          <w:tcPr>
            <w:tcW w:type="dxa" w:w="5040"/>
            <w:vAlign w:val="center"/>
          </w:tcPr>
          <w:p>
            <w:pPr>
              <w:spacing w:after="20" w:before="20" w:line="254" w:lineRule="auto"/>
            </w:pPr>
            <w:r>
              <w:rPr>
                <w:rFonts w:ascii="Times New Roman" w:hAnsi="Times New Roman"/>
                <w:sz w:val="18"/>
              </w:rPr>
              <w:t>Incremento económico híbrido vs buque eléctrico cargado en puerto</w:t>
            </w:r>
          </w:p>
        </w:tc>
        <w:tc>
          <w:tcPr>
            <w:tcW w:type="dxa" w:w="5040"/>
            <w:vAlign w:val="center"/>
          </w:tcPr>
          <w:p>
            <w:pPr>
              <w:spacing w:after="20" w:before="20" w:line="254" w:lineRule="auto"/>
            </w:pPr>
            <w:r>
              <w:rPr>
                <w:rFonts w:ascii="Times New Roman" w:hAnsi="Times New Roman"/>
                <w:sz w:val="18"/>
              </w:rPr>
              <w:t>−US$74,344/año</w:t>
            </w:r>
          </w:p>
        </w:tc>
      </w:tr>
    </w:tbl>
    <w:p>
      <w:pPr>
        <w:pStyle w:val="Heading1"/>
      </w:pPr>
      <w:r>
        <w:t>2. Cosechadoras de rejilla solares y eólicas</w:t>
      </w:r>
    </w:p>
    <w:p>
      <w:pPr>
        <w:jc w:val="both"/>
      </w:pPr>
      <w:r>
        <w:t>Para una cosecha de 90 000 t húmedas/año, cinco cosechadoras de rejilla de 8 t/h y 60 kW requieren 675 MWh/año de manipulación. Cada unidad se ensaya con 30 kW fotovoltaicos, 20 kW eólicos y 300 kWh de batería amortiguadora. Las estructuras y las interacciones con las líneas de cultivo requieren verificación naval y ambiental. El cálculo aplica pérdidas por coincidencia/curtailment: no convierte automáticamente los recursos anuales en energía firme.</w:t>
      </w:r>
    </w:p>
    <w:tbl>
      <w:tblPr>
        <w:tblStyle w:val="LightShading-Accent1"/>
        <w:tblW w:type="auto" w:w="0"/>
        <w:tblLayout w:type="autofit"/>
        <w:tblLook w:firstColumn="1" w:firstRow="1" w:lastColumn="0" w:lastRow="0" w:noHBand="0" w:noVBand="1" w:val="04A0"/>
      </w:tblPr>
      <w:tblGrid>
        <w:gridCol w:w="5040"/>
        <w:gridCol w:w="5040"/>
      </w:tblGrid>
      <w:tr>
        <w:tc>
          <w:tcPr>
            <w:tcW w:type="dxa" w:w="5040"/>
            <w:vAlign w:val="center"/>
          </w:tcPr>
          <w:p>
            <w:pPr>
              <w:spacing w:after="20" w:before="20" w:line="254" w:lineRule="auto"/>
            </w:pPr>
            <w:r>
              <w:rPr>
                <w:rFonts w:ascii="Times New Roman" w:hAnsi="Times New Roman"/>
                <w:sz w:val="18"/>
              </w:rPr>
              <w:t>Métrica</w:t>
            </w:r>
          </w:p>
        </w:tc>
        <w:tc>
          <w:tcPr>
            <w:tcW w:type="dxa" w:w="5040"/>
            <w:vAlign w:val="center"/>
          </w:tcPr>
          <w:p>
            <w:pPr>
              <w:spacing w:after="20" w:before="20" w:line="254" w:lineRule="auto"/>
            </w:pPr>
            <w:r>
              <w:rPr>
                <w:rFonts w:ascii="Times New Roman" w:hAnsi="Times New Roman"/>
                <w:sz w:val="18"/>
              </w:rPr>
              <w:t>Resultado</w:t>
            </w:r>
          </w:p>
        </w:tc>
      </w:tr>
      <w:tr>
        <w:tc>
          <w:tcPr>
            <w:tcW w:type="dxa" w:w="5040"/>
            <w:vAlign w:val="center"/>
          </w:tcPr>
          <w:p>
            <w:pPr>
              <w:spacing w:after="20" w:before="20" w:line="254" w:lineRule="auto"/>
            </w:pPr>
            <w:r>
              <w:rPr>
                <w:rFonts w:ascii="Times New Roman" w:hAnsi="Times New Roman"/>
                <w:sz w:val="18"/>
              </w:rPr>
              <w:t>Unidades</w:t>
            </w:r>
          </w:p>
        </w:tc>
        <w:tc>
          <w:tcPr>
            <w:tcW w:type="dxa" w:w="5040"/>
            <w:vAlign w:val="center"/>
          </w:tcPr>
          <w:p>
            <w:pPr>
              <w:spacing w:after="20" w:before="20" w:line="254" w:lineRule="auto"/>
            </w:pPr>
            <w:r>
              <w:rPr>
                <w:rFonts w:ascii="Times New Roman" w:hAnsi="Times New Roman"/>
                <w:sz w:val="18"/>
              </w:rPr>
              <w:t>5</w:t>
            </w:r>
          </w:p>
        </w:tc>
      </w:tr>
      <w:tr>
        <w:tc>
          <w:tcPr>
            <w:tcW w:type="dxa" w:w="5040"/>
            <w:vAlign w:val="center"/>
          </w:tcPr>
          <w:p>
            <w:pPr>
              <w:spacing w:after="20" w:before="20" w:line="254" w:lineRule="auto"/>
            </w:pPr>
            <w:r>
              <w:rPr>
                <w:rFonts w:ascii="Times New Roman" w:hAnsi="Times New Roman"/>
                <w:sz w:val="18"/>
              </w:rPr>
              <w:t>PV / VAWT totales</w:t>
            </w:r>
          </w:p>
        </w:tc>
        <w:tc>
          <w:tcPr>
            <w:tcW w:type="dxa" w:w="5040"/>
            <w:vAlign w:val="center"/>
          </w:tcPr>
          <w:p>
            <w:pPr>
              <w:spacing w:after="20" w:before="20" w:line="254" w:lineRule="auto"/>
            </w:pPr>
            <w:r>
              <w:rPr>
                <w:rFonts w:ascii="Times New Roman" w:hAnsi="Times New Roman"/>
                <w:sz w:val="18"/>
              </w:rPr>
              <w:t>150 / 100 kW</w:t>
            </w:r>
          </w:p>
        </w:tc>
      </w:tr>
      <w:tr>
        <w:tc>
          <w:tcPr>
            <w:tcW w:type="dxa" w:w="5040"/>
            <w:vAlign w:val="center"/>
          </w:tcPr>
          <w:p>
            <w:pPr>
              <w:spacing w:after="20" w:before="20" w:line="254" w:lineRule="auto"/>
            </w:pPr>
            <w:r>
              <w:rPr>
                <w:rFonts w:ascii="Times New Roman" w:hAnsi="Times New Roman"/>
                <w:sz w:val="18"/>
              </w:rPr>
              <w:t>Electricidad consumida</w:t>
            </w:r>
          </w:p>
        </w:tc>
        <w:tc>
          <w:tcPr>
            <w:tcW w:type="dxa" w:w="5040"/>
            <w:vAlign w:val="center"/>
          </w:tcPr>
          <w:p>
            <w:pPr>
              <w:spacing w:after="20" w:before="20" w:line="254" w:lineRule="auto"/>
            </w:pPr>
            <w:r>
              <w:rPr>
                <w:rFonts w:ascii="Times New Roman" w:hAnsi="Times New Roman"/>
                <w:sz w:val="18"/>
              </w:rPr>
              <w:t>675.0 MWh/año</w:t>
            </w:r>
          </w:p>
        </w:tc>
      </w:tr>
      <w:tr>
        <w:tc>
          <w:tcPr>
            <w:tcW w:type="dxa" w:w="5040"/>
            <w:vAlign w:val="center"/>
          </w:tcPr>
          <w:p>
            <w:pPr>
              <w:spacing w:after="20" w:before="20" w:line="254" w:lineRule="auto"/>
            </w:pPr>
            <w:r>
              <w:rPr>
                <w:rFonts w:ascii="Times New Roman" w:hAnsi="Times New Roman"/>
                <w:sz w:val="18"/>
              </w:rPr>
              <w:t>Solar / eólica aprovechada</w:t>
            </w:r>
          </w:p>
        </w:tc>
        <w:tc>
          <w:tcPr>
            <w:tcW w:type="dxa" w:w="5040"/>
            <w:vAlign w:val="center"/>
          </w:tcPr>
          <w:p>
            <w:pPr>
              <w:spacing w:after="20" w:before="20" w:line="254" w:lineRule="auto"/>
            </w:pPr>
            <w:r>
              <w:rPr>
                <w:rFonts w:ascii="Times New Roman" w:hAnsi="Times New Roman"/>
                <w:sz w:val="18"/>
              </w:rPr>
              <w:t>168.0 / 148.9 MWh/año</w:t>
            </w:r>
          </w:p>
        </w:tc>
      </w:tr>
      <w:tr>
        <w:tc>
          <w:tcPr>
            <w:tcW w:type="dxa" w:w="5040"/>
            <w:vAlign w:val="center"/>
          </w:tcPr>
          <w:p>
            <w:pPr>
              <w:spacing w:after="20" w:before="20" w:line="254" w:lineRule="auto"/>
            </w:pPr>
            <w:r>
              <w:rPr>
                <w:rFonts w:ascii="Times New Roman" w:hAnsi="Times New Roman"/>
                <w:sz w:val="18"/>
              </w:rPr>
              <w:t>Autocobertura anual</w:t>
            </w:r>
          </w:p>
        </w:tc>
        <w:tc>
          <w:tcPr>
            <w:tcW w:type="dxa" w:w="5040"/>
            <w:vAlign w:val="center"/>
          </w:tcPr>
          <w:p>
            <w:pPr>
              <w:spacing w:after="20" w:before="20" w:line="254" w:lineRule="auto"/>
            </w:pPr>
            <w:r>
              <w:rPr>
                <w:rFonts w:ascii="Times New Roman" w:hAnsi="Times New Roman"/>
                <w:sz w:val="18"/>
              </w:rPr>
              <w:t>47.0 %</w:t>
            </w:r>
          </w:p>
        </w:tc>
      </w:tr>
      <w:tr>
        <w:tc>
          <w:tcPr>
            <w:tcW w:type="dxa" w:w="5040"/>
            <w:vAlign w:val="center"/>
          </w:tcPr>
          <w:p>
            <w:pPr>
              <w:spacing w:after="20" w:before="20" w:line="254" w:lineRule="auto"/>
            </w:pPr>
            <w:r>
              <w:rPr>
                <w:rFonts w:ascii="Times New Roman" w:hAnsi="Times New Roman"/>
                <w:sz w:val="18"/>
              </w:rPr>
              <w:t>Electricidad externa</w:t>
            </w:r>
          </w:p>
        </w:tc>
        <w:tc>
          <w:tcPr>
            <w:tcW w:type="dxa" w:w="5040"/>
            <w:vAlign w:val="center"/>
          </w:tcPr>
          <w:p>
            <w:pPr>
              <w:spacing w:after="20" w:before="20" w:line="254" w:lineRule="auto"/>
            </w:pPr>
            <w:r>
              <w:rPr>
                <w:rFonts w:ascii="Times New Roman" w:hAnsi="Times New Roman"/>
                <w:sz w:val="18"/>
              </w:rPr>
              <w:t>358.1 MWh/año</w:t>
            </w:r>
          </w:p>
        </w:tc>
      </w:tr>
      <w:tr>
        <w:tc>
          <w:tcPr>
            <w:tcW w:type="dxa" w:w="5040"/>
            <w:vAlign w:val="center"/>
          </w:tcPr>
          <w:p>
            <w:pPr>
              <w:spacing w:after="20" w:before="20" w:line="254" w:lineRule="auto"/>
            </w:pPr>
            <w:r>
              <w:rPr>
                <w:rFonts w:ascii="Times New Roman" w:hAnsi="Times New Roman"/>
                <w:sz w:val="18"/>
              </w:rPr>
              <w:t>Costo anualizado conexión terrestre</w:t>
            </w:r>
          </w:p>
        </w:tc>
        <w:tc>
          <w:tcPr>
            <w:tcW w:type="dxa" w:w="5040"/>
            <w:vAlign w:val="center"/>
          </w:tcPr>
          <w:p>
            <w:pPr>
              <w:spacing w:after="20" w:before="20" w:line="254" w:lineRule="auto"/>
            </w:pPr>
            <w:r>
              <w:rPr>
                <w:rFonts w:ascii="Times New Roman" w:hAnsi="Times New Roman"/>
                <w:sz w:val="18"/>
              </w:rPr>
              <w:t>US$480,009/año</w:t>
            </w:r>
          </w:p>
        </w:tc>
      </w:tr>
      <w:tr>
        <w:tc>
          <w:tcPr>
            <w:tcW w:type="dxa" w:w="5040"/>
            <w:vAlign w:val="center"/>
          </w:tcPr>
          <w:p>
            <w:pPr>
              <w:spacing w:after="20" w:before="20" w:line="254" w:lineRule="auto"/>
            </w:pPr>
            <w:r>
              <w:rPr>
                <w:rFonts w:ascii="Times New Roman" w:hAnsi="Times New Roman"/>
                <w:sz w:val="18"/>
              </w:rPr>
              <w:t>Costo anualizado solar/eólico</w:t>
            </w:r>
          </w:p>
        </w:tc>
        <w:tc>
          <w:tcPr>
            <w:tcW w:type="dxa" w:w="5040"/>
            <w:vAlign w:val="center"/>
          </w:tcPr>
          <w:p>
            <w:pPr>
              <w:spacing w:after="20" w:before="20" w:line="254" w:lineRule="auto"/>
            </w:pPr>
            <w:r>
              <w:rPr>
                <w:rFonts w:ascii="Times New Roman" w:hAnsi="Times New Roman"/>
                <w:sz w:val="18"/>
              </w:rPr>
              <w:t>US$607,977/año</w:t>
            </w:r>
          </w:p>
        </w:tc>
      </w:tr>
      <w:tr>
        <w:tc>
          <w:tcPr>
            <w:tcW w:type="dxa" w:w="5040"/>
            <w:vAlign w:val="center"/>
          </w:tcPr>
          <w:p>
            <w:pPr>
              <w:spacing w:after="20" w:before="20" w:line="254" w:lineRule="auto"/>
            </w:pPr>
            <w:r>
              <w:rPr>
                <w:rFonts w:ascii="Times New Roman" w:hAnsi="Times New Roman"/>
                <w:sz w:val="18"/>
              </w:rPr>
              <w:t>Ventaja (+) / sobrecosto (−) del híbrido</w:t>
            </w:r>
          </w:p>
        </w:tc>
        <w:tc>
          <w:tcPr>
            <w:tcW w:type="dxa" w:w="5040"/>
            <w:vAlign w:val="center"/>
          </w:tcPr>
          <w:p>
            <w:pPr>
              <w:spacing w:after="20" w:before="20" w:line="254" w:lineRule="auto"/>
            </w:pPr>
            <w:r>
              <w:rPr>
                <w:rFonts w:ascii="Times New Roman" w:hAnsi="Times New Roman"/>
                <w:sz w:val="18"/>
              </w:rPr>
              <w:t>−US$127,968/año</w:t>
            </w:r>
          </w:p>
        </w:tc>
      </w:tr>
    </w:tbl>
    <w:p>
      <w:r>
        <w:drawing>
          <wp:inline xmlns:a="http://schemas.openxmlformats.org/drawingml/2006/main" xmlns:pic="http://schemas.openxmlformats.org/drawingml/2006/picture">
            <wp:extent cx="6309360" cy="3198282"/>
            <wp:docPr id="1" name="Picture 1"/>
            <wp:cNvGraphicFramePr>
              <a:graphicFrameLocks noChangeAspect="1"/>
            </wp:cNvGraphicFramePr>
            <a:graphic>
              <a:graphicData uri="http://schemas.openxmlformats.org/drawingml/2006/picture">
                <pic:pic>
                  <pic:nvPicPr>
                    <pic:cNvPr id="0" name="balance_energia_ES_300dpi.jpg"/>
                    <pic:cNvPicPr/>
                  </pic:nvPicPr>
                  <pic:blipFill>
                    <a:blip r:embed="rId10"/>
                    <a:stretch>
                      <a:fillRect/>
                    </a:stretch>
                  </pic:blipFill>
                  <pic:spPr>
                    <a:xfrm>
                      <a:off x="0" y="0"/>
                      <a:ext cx="6309360" cy="3198282"/>
                    </a:xfrm>
                    <a:prstGeom prst="rect"/>
                  </pic:spPr>
                </pic:pic>
              </a:graphicData>
            </a:graphic>
          </wp:inline>
        </w:drawing>
      </w:r>
    </w:p>
    <w:p>
      <w:pPr>
        <w:jc w:val="center"/>
      </w:pPr>
      <w:r>
        <w:t>Fig. A. Balance anual de los equipos híbridos (supuestos).</w:t>
      </w:r>
    </w:p>
    <w:p>
      <w:pPr>
        <w:pStyle w:val="Heading1"/>
      </w:pPr>
      <w:r>
        <w:t>3. Peces comestibles junto al Sargassum</w:t>
      </w:r>
    </w:p>
    <w:p>
      <w:pPr>
        <w:jc w:val="both"/>
      </w:pPr>
      <w:r>
        <w:t>La opción técnicamente mejor respaldada para el Pacífico es el pargo manchado (Lutjanus guttatus), ya estudiado por la Universidad Nacional y cultivado en jaulas. Para la vertiente Caribe se incorpora cobia (Rachycentron canadum) únicamente como sensibilidad condicionada a autorización y ensayo local; la recomendación reglamentaria encontrada restringe su cultivo a la costa Caribe. Las jaulas están separadas de las líneas de Sargassum: no se supone que los peces silvestres atraídos estén «cultivados». La productividad y los precios incluidos NO son precios o rendimientos verificados del sistema propuesto.</w:t>
      </w:r>
    </w:p>
    <w:p>
      <w:pPr>
        <w:jc w:val="both"/>
      </w:pPr>
      <w:r>
        <w:t>Para el pargo de base se supone una hectárea de jaulas con 15 t vendibles/año, precio de US$5/kg, conversión alimenticia 1,6, pienso US$1,40/kg, otros costos US$2/kg, infraestructura US$250 000/ha durante 15 años y US$5 000/año de costos fijos. No se descuenta alimentación con Sargassum sin ensayos de formulación, contaminantes y desempeño. Se impone vigilancia sanitaria, oxígeno disuelto de noche, corrientes, cargas de N y P, fugas y zonas protegidas.</w:t>
      </w:r>
    </w:p>
    <w:tbl>
      <w:tblPr>
        <w:tblStyle w:val="LightShading-Accent1"/>
        <w:tblW w:type="auto" w:w="0"/>
        <w:tblLayout w:type="autofit"/>
        <w:tblLook w:firstColumn="1" w:firstRow="1" w:lastColumn="0" w:lastRow="0" w:noHBand="0" w:noVBand="1" w:val="04A0"/>
      </w:tblPr>
      <w:tblGrid>
        <w:gridCol w:w="2016"/>
        <w:gridCol w:w="2016"/>
        <w:gridCol w:w="2016"/>
        <w:gridCol w:w="2016"/>
        <w:gridCol w:w="2016"/>
      </w:tblGrid>
      <w:tr>
        <w:tc>
          <w:tcPr>
            <w:tcW w:type="dxa" w:w="2016"/>
            <w:vAlign w:val="center"/>
          </w:tcPr>
          <w:p>
            <w:pPr>
              <w:spacing w:after="20" w:before="20" w:line="254" w:lineRule="auto"/>
            </w:pPr>
            <w:r>
              <w:rPr>
                <w:rFonts w:ascii="Times New Roman" w:hAnsi="Times New Roman"/>
                <w:sz w:val="18"/>
              </w:rPr>
              <w:t>Escenario</w:t>
            </w:r>
          </w:p>
        </w:tc>
        <w:tc>
          <w:tcPr>
            <w:tcW w:type="dxa" w:w="2016"/>
            <w:vAlign w:val="center"/>
          </w:tcPr>
          <w:p>
            <w:pPr>
              <w:spacing w:after="20" w:before="20" w:line="254" w:lineRule="auto"/>
            </w:pPr>
            <w:r>
              <w:rPr>
                <w:rFonts w:ascii="Times New Roman" w:hAnsi="Times New Roman"/>
                <w:sz w:val="18"/>
              </w:rPr>
              <w:t>t/año</w:t>
            </w:r>
          </w:p>
        </w:tc>
        <w:tc>
          <w:tcPr>
            <w:tcW w:type="dxa" w:w="2016"/>
            <w:vAlign w:val="center"/>
          </w:tcPr>
          <w:p>
            <w:pPr>
              <w:spacing w:after="20" w:before="20" w:line="254" w:lineRule="auto"/>
            </w:pPr>
            <w:r>
              <w:rPr>
                <w:rFonts w:ascii="Times New Roman" w:hAnsi="Times New Roman"/>
                <w:sz w:val="18"/>
              </w:rPr>
              <w:t>Ingresos</w:t>
            </w:r>
          </w:p>
        </w:tc>
        <w:tc>
          <w:tcPr>
            <w:tcW w:type="dxa" w:w="2016"/>
            <w:vAlign w:val="center"/>
          </w:tcPr>
          <w:p>
            <w:pPr>
              <w:spacing w:after="20" w:before="20" w:line="254" w:lineRule="auto"/>
            </w:pPr>
            <w:r>
              <w:rPr>
                <w:rFonts w:ascii="Times New Roman" w:hAnsi="Times New Roman"/>
                <w:sz w:val="18"/>
              </w:rPr>
              <w:t>Costos</w:t>
            </w:r>
          </w:p>
        </w:tc>
        <w:tc>
          <w:tcPr>
            <w:tcW w:type="dxa" w:w="2016"/>
            <w:vAlign w:val="center"/>
          </w:tcPr>
          <w:p>
            <w:pPr>
              <w:spacing w:after="20" w:before="20" w:line="254" w:lineRule="auto"/>
            </w:pPr>
            <w:r>
              <w:rPr>
                <w:rFonts w:ascii="Times New Roman" w:hAnsi="Times New Roman"/>
                <w:sz w:val="18"/>
              </w:rPr>
              <w:t>Beneficio anualizado</w:t>
            </w:r>
          </w:p>
        </w:tc>
      </w:tr>
      <w:tr>
        <w:tc>
          <w:tcPr>
            <w:tcW w:type="dxa" w:w="2016"/>
            <w:vAlign w:val="center"/>
          </w:tcPr>
          <w:p>
            <w:pPr>
              <w:spacing w:after="20" w:before="20" w:line="254" w:lineRule="auto"/>
            </w:pPr>
            <w:r>
              <w:rPr>
                <w:rFonts w:ascii="Times New Roman" w:hAnsi="Times New Roman"/>
                <w:sz w:val="18"/>
              </w:rPr>
              <w:t>Pargo Pacífico: bajo precio</w:t>
            </w:r>
          </w:p>
        </w:tc>
        <w:tc>
          <w:tcPr>
            <w:tcW w:type="dxa" w:w="2016"/>
            <w:vAlign w:val="center"/>
          </w:tcPr>
          <w:p>
            <w:pPr>
              <w:spacing w:after="20" w:before="20" w:line="254" w:lineRule="auto"/>
            </w:pPr>
            <w:r>
              <w:rPr>
                <w:rFonts w:ascii="Times New Roman" w:hAnsi="Times New Roman"/>
                <w:sz w:val="18"/>
              </w:rPr>
              <w:t>15</w:t>
            </w:r>
          </w:p>
        </w:tc>
        <w:tc>
          <w:tcPr>
            <w:tcW w:type="dxa" w:w="2016"/>
            <w:vAlign w:val="center"/>
          </w:tcPr>
          <w:p>
            <w:pPr>
              <w:spacing w:after="20" w:before="20" w:line="254" w:lineRule="auto"/>
            </w:pPr>
            <w:r>
              <w:rPr>
                <w:rFonts w:ascii="Times New Roman" w:hAnsi="Times New Roman"/>
                <w:sz w:val="18"/>
              </w:rPr>
              <w:t>US$52,500</w:t>
            </w:r>
          </w:p>
        </w:tc>
        <w:tc>
          <w:tcPr>
            <w:tcW w:type="dxa" w:w="2016"/>
            <w:vAlign w:val="center"/>
          </w:tcPr>
          <w:p>
            <w:pPr>
              <w:spacing w:after="20" w:before="20" w:line="254" w:lineRule="auto"/>
            </w:pPr>
            <w:r>
              <w:rPr>
                <w:rFonts w:ascii="Times New Roman" w:hAnsi="Times New Roman"/>
                <w:sz w:val="18"/>
              </w:rPr>
              <w:t>US$96,049</w:t>
            </w:r>
          </w:p>
        </w:tc>
        <w:tc>
          <w:tcPr>
            <w:tcW w:type="dxa" w:w="2016"/>
            <w:vAlign w:val="center"/>
          </w:tcPr>
          <w:p>
            <w:pPr>
              <w:spacing w:after="20" w:before="20" w:line="254" w:lineRule="auto"/>
            </w:pPr>
            <w:r>
              <w:rPr>
                <w:rFonts w:ascii="Times New Roman" w:hAnsi="Times New Roman"/>
                <w:sz w:val="18"/>
              </w:rPr>
              <w:t>−US$43,549</w:t>
            </w:r>
          </w:p>
        </w:tc>
      </w:tr>
      <w:tr>
        <w:tc>
          <w:tcPr>
            <w:tcW w:type="dxa" w:w="2016"/>
            <w:vAlign w:val="center"/>
          </w:tcPr>
          <w:p>
            <w:pPr>
              <w:spacing w:after="20" w:before="20" w:line="254" w:lineRule="auto"/>
            </w:pPr>
            <w:r>
              <w:rPr>
                <w:rFonts w:ascii="Times New Roman" w:hAnsi="Times New Roman"/>
                <w:sz w:val="18"/>
              </w:rPr>
              <w:t>Pargo Pacífico: base</w:t>
            </w:r>
          </w:p>
        </w:tc>
        <w:tc>
          <w:tcPr>
            <w:tcW w:type="dxa" w:w="2016"/>
            <w:vAlign w:val="center"/>
          </w:tcPr>
          <w:p>
            <w:pPr>
              <w:spacing w:after="20" w:before="20" w:line="254" w:lineRule="auto"/>
            </w:pPr>
            <w:r>
              <w:rPr>
                <w:rFonts w:ascii="Times New Roman" w:hAnsi="Times New Roman"/>
                <w:sz w:val="18"/>
              </w:rPr>
              <w:t>15</w:t>
            </w:r>
          </w:p>
        </w:tc>
        <w:tc>
          <w:tcPr>
            <w:tcW w:type="dxa" w:w="2016"/>
            <w:vAlign w:val="center"/>
          </w:tcPr>
          <w:p>
            <w:pPr>
              <w:spacing w:after="20" w:before="20" w:line="254" w:lineRule="auto"/>
            </w:pPr>
            <w:r>
              <w:rPr>
                <w:rFonts w:ascii="Times New Roman" w:hAnsi="Times New Roman"/>
                <w:sz w:val="18"/>
              </w:rPr>
              <w:t>US$75,000</w:t>
            </w:r>
          </w:p>
        </w:tc>
        <w:tc>
          <w:tcPr>
            <w:tcW w:type="dxa" w:w="2016"/>
            <w:vAlign w:val="center"/>
          </w:tcPr>
          <w:p>
            <w:pPr>
              <w:spacing w:after="20" w:before="20" w:line="254" w:lineRule="auto"/>
            </w:pPr>
            <w:r>
              <w:rPr>
                <w:rFonts w:ascii="Times New Roman" w:hAnsi="Times New Roman"/>
                <w:sz w:val="18"/>
              </w:rPr>
              <w:t>US$96,049</w:t>
            </w:r>
          </w:p>
        </w:tc>
        <w:tc>
          <w:tcPr>
            <w:tcW w:type="dxa" w:w="2016"/>
            <w:vAlign w:val="center"/>
          </w:tcPr>
          <w:p>
            <w:pPr>
              <w:spacing w:after="20" w:before="20" w:line="254" w:lineRule="auto"/>
            </w:pPr>
            <w:r>
              <w:rPr>
                <w:rFonts w:ascii="Times New Roman" w:hAnsi="Times New Roman"/>
                <w:sz w:val="18"/>
              </w:rPr>
              <w:t>−US$21,049</w:t>
            </w:r>
          </w:p>
        </w:tc>
      </w:tr>
      <w:tr>
        <w:tc>
          <w:tcPr>
            <w:tcW w:type="dxa" w:w="2016"/>
            <w:vAlign w:val="center"/>
          </w:tcPr>
          <w:p>
            <w:pPr>
              <w:spacing w:after="20" w:before="20" w:line="254" w:lineRule="auto"/>
            </w:pPr>
            <w:r>
              <w:rPr>
                <w:rFonts w:ascii="Times New Roman" w:hAnsi="Times New Roman"/>
                <w:sz w:val="18"/>
              </w:rPr>
              <w:t>Pargo Pacífico: alto precio</w:t>
            </w:r>
          </w:p>
        </w:tc>
        <w:tc>
          <w:tcPr>
            <w:tcW w:type="dxa" w:w="2016"/>
            <w:vAlign w:val="center"/>
          </w:tcPr>
          <w:p>
            <w:pPr>
              <w:spacing w:after="20" w:before="20" w:line="254" w:lineRule="auto"/>
            </w:pPr>
            <w:r>
              <w:rPr>
                <w:rFonts w:ascii="Times New Roman" w:hAnsi="Times New Roman"/>
                <w:sz w:val="18"/>
              </w:rPr>
              <w:t>15</w:t>
            </w:r>
          </w:p>
        </w:tc>
        <w:tc>
          <w:tcPr>
            <w:tcW w:type="dxa" w:w="2016"/>
            <w:vAlign w:val="center"/>
          </w:tcPr>
          <w:p>
            <w:pPr>
              <w:spacing w:after="20" w:before="20" w:line="254" w:lineRule="auto"/>
            </w:pPr>
            <w:r>
              <w:rPr>
                <w:rFonts w:ascii="Times New Roman" w:hAnsi="Times New Roman"/>
                <w:sz w:val="18"/>
              </w:rPr>
              <w:t>US$112,500</w:t>
            </w:r>
          </w:p>
        </w:tc>
        <w:tc>
          <w:tcPr>
            <w:tcW w:type="dxa" w:w="2016"/>
            <w:vAlign w:val="center"/>
          </w:tcPr>
          <w:p>
            <w:pPr>
              <w:spacing w:after="20" w:before="20" w:line="254" w:lineRule="auto"/>
            </w:pPr>
            <w:r>
              <w:rPr>
                <w:rFonts w:ascii="Times New Roman" w:hAnsi="Times New Roman"/>
                <w:sz w:val="18"/>
              </w:rPr>
              <w:t>US$96,049</w:t>
            </w:r>
          </w:p>
        </w:tc>
        <w:tc>
          <w:tcPr>
            <w:tcW w:type="dxa" w:w="2016"/>
            <w:vAlign w:val="center"/>
          </w:tcPr>
          <w:p>
            <w:pPr>
              <w:spacing w:after="20" w:before="20" w:line="254" w:lineRule="auto"/>
            </w:pPr>
            <w:r>
              <w:rPr>
                <w:rFonts w:ascii="Times New Roman" w:hAnsi="Times New Roman"/>
                <w:sz w:val="18"/>
              </w:rPr>
              <w:t>US$16,451</w:t>
            </w:r>
          </w:p>
        </w:tc>
      </w:tr>
      <w:tr>
        <w:tc>
          <w:tcPr>
            <w:tcW w:type="dxa" w:w="2016"/>
            <w:vAlign w:val="center"/>
          </w:tcPr>
          <w:p>
            <w:pPr>
              <w:spacing w:after="20" w:before="20" w:line="254" w:lineRule="auto"/>
            </w:pPr>
            <w:r>
              <w:rPr>
                <w:rFonts w:ascii="Times New Roman" w:hAnsi="Times New Roman"/>
                <w:sz w:val="18"/>
              </w:rPr>
              <w:t>Pargo Pacífico: eficiencia alta</w:t>
            </w:r>
          </w:p>
        </w:tc>
        <w:tc>
          <w:tcPr>
            <w:tcW w:type="dxa" w:w="2016"/>
            <w:vAlign w:val="center"/>
          </w:tcPr>
          <w:p>
            <w:pPr>
              <w:spacing w:after="20" w:before="20" w:line="254" w:lineRule="auto"/>
            </w:pPr>
            <w:r>
              <w:rPr>
                <w:rFonts w:ascii="Times New Roman" w:hAnsi="Times New Roman"/>
                <w:sz w:val="18"/>
              </w:rPr>
              <w:t>15</w:t>
            </w:r>
          </w:p>
        </w:tc>
        <w:tc>
          <w:tcPr>
            <w:tcW w:type="dxa" w:w="2016"/>
            <w:vAlign w:val="center"/>
          </w:tcPr>
          <w:p>
            <w:pPr>
              <w:spacing w:after="20" w:before="20" w:line="254" w:lineRule="auto"/>
            </w:pPr>
            <w:r>
              <w:rPr>
                <w:rFonts w:ascii="Times New Roman" w:hAnsi="Times New Roman"/>
                <w:sz w:val="18"/>
              </w:rPr>
              <w:t>US$105,000</w:t>
            </w:r>
          </w:p>
        </w:tc>
        <w:tc>
          <w:tcPr>
            <w:tcW w:type="dxa" w:w="2016"/>
            <w:vAlign w:val="center"/>
          </w:tcPr>
          <w:p>
            <w:pPr>
              <w:spacing w:after="20" w:before="20" w:line="254" w:lineRule="auto"/>
            </w:pPr>
            <w:r>
              <w:rPr>
                <w:rFonts w:ascii="Times New Roman" w:hAnsi="Times New Roman"/>
                <w:sz w:val="18"/>
              </w:rPr>
              <w:t>US$80,224</w:t>
            </w:r>
          </w:p>
        </w:tc>
        <w:tc>
          <w:tcPr>
            <w:tcW w:type="dxa" w:w="2016"/>
            <w:vAlign w:val="center"/>
          </w:tcPr>
          <w:p>
            <w:pPr>
              <w:spacing w:after="20" w:before="20" w:line="254" w:lineRule="auto"/>
            </w:pPr>
            <w:r>
              <w:rPr>
                <w:rFonts w:ascii="Times New Roman" w:hAnsi="Times New Roman"/>
                <w:sz w:val="18"/>
              </w:rPr>
              <w:t>US$24,776</w:t>
            </w:r>
          </w:p>
        </w:tc>
      </w:tr>
      <w:tr>
        <w:tc>
          <w:tcPr>
            <w:tcW w:type="dxa" w:w="2016"/>
            <w:vAlign w:val="center"/>
          </w:tcPr>
          <w:p>
            <w:pPr>
              <w:spacing w:after="20" w:before="20" w:line="254" w:lineRule="auto"/>
            </w:pPr>
            <w:r>
              <w:rPr>
                <w:rFonts w:ascii="Times New Roman" w:hAnsi="Times New Roman"/>
                <w:sz w:val="18"/>
              </w:rPr>
              <w:t>Cobia Caribe: base sin validar</w:t>
            </w:r>
          </w:p>
        </w:tc>
        <w:tc>
          <w:tcPr>
            <w:tcW w:type="dxa" w:w="2016"/>
            <w:vAlign w:val="center"/>
          </w:tcPr>
          <w:p>
            <w:pPr>
              <w:spacing w:after="20" w:before="20" w:line="254" w:lineRule="auto"/>
            </w:pPr>
            <w:r>
              <w:rPr>
                <w:rFonts w:ascii="Times New Roman" w:hAnsi="Times New Roman"/>
                <w:sz w:val="18"/>
              </w:rPr>
              <w:t>25</w:t>
            </w:r>
          </w:p>
        </w:tc>
        <w:tc>
          <w:tcPr>
            <w:tcW w:type="dxa" w:w="2016"/>
            <w:vAlign w:val="center"/>
          </w:tcPr>
          <w:p>
            <w:pPr>
              <w:spacing w:after="20" w:before="20" w:line="254" w:lineRule="auto"/>
            </w:pPr>
            <w:r>
              <w:rPr>
                <w:rFonts w:ascii="Times New Roman" w:hAnsi="Times New Roman"/>
                <w:sz w:val="18"/>
              </w:rPr>
              <w:t>US$137,500</w:t>
            </w:r>
          </w:p>
        </w:tc>
        <w:tc>
          <w:tcPr>
            <w:tcW w:type="dxa" w:w="2016"/>
            <w:vAlign w:val="center"/>
          </w:tcPr>
          <w:p>
            <w:pPr>
              <w:spacing w:after="20" w:before="20" w:line="254" w:lineRule="auto"/>
            </w:pPr>
            <w:r>
              <w:rPr>
                <w:rFonts w:ascii="Times New Roman" w:hAnsi="Times New Roman"/>
                <w:sz w:val="18"/>
              </w:rPr>
              <w:t>US$170,428</w:t>
            </w:r>
          </w:p>
        </w:tc>
        <w:tc>
          <w:tcPr>
            <w:tcW w:type="dxa" w:w="2016"/>
            <w:vAlign w:val="center"/>
          </w:tcPr>
          <w:p>
            <w:pPr>
              <w:spacing w:after="20" w:before="20" w:line="254" w:lineRule="auto"/>
            </w:pPr>
            <w:r>
              <w:rPr>
                <w:rFonts w:ascii="Times New Roman" w:hAnsi="Times New Roman"/>
                <w:sz w:val="18"/>
              </w:rPr>
              <w:t>−US$32,928</w:t>
            </w:r>
          </w:p>
        </w:tc>
      </w:tr>
      <w:tr>
        <w:tc>
          <w:tcPr>
            <w:tcW w:type="dxa" w:w="2016"/>
            <w:vAlign w:val="center"/>
          </w:tcPr>
          <w:p>
            <w:pPr>
              <w:spacing w:after="20" w:before="20" w:line="254" w:lineRule="auto"/>
            </w:pPr>
            <w:r>
              <w:rPr>
                <w:rFonts w:ascii="Times New Roman" w:hAnsi="Times New Roman"/>
                <w:sz w:val="18"/>
              </w:rPr>
              <w:t>Cobia Caribe: precio alto sin validar</w:t>
            </w:r>
          </w:p>
        </w:tc>
        <w:tc>
          <w:tcPr>
            <w:tcW w:type="dxa" w:w="2016"/>
            <w:vAlign w:val="center"/>
          </w:tcPr>
          <w:p>
            <w:pPr>
              <w:spacing w:after="20" w:before="20" w:line="254" w:lineRule="auto"/>
            </w:pPr>
            <w:r>
              <w:rPr>
                <w:rFonts w:ascii="Times New Roman" w:hAnsi="Times New Roman"/>
                <w:sz w:val="18"/>
              </w:rPr>
              <w:t>25</w:t>
            </w:r>
          </w:p>
        </w:tc>
        <w:tc>
          <w:tcPr>
            <w:tcW w:type="dxa" w:w="2016"/>
            <w:vAlign w:val="center"/>
          </w:tcPr>
          <w:p>
            <w:pPr>
              <w:spacing w:after="20" w:before="20" w:line="254" w:lineRule="auto"/>
            </w:pPr>
            <w:r>
              <w:rPr>
                <w:rFonts w:ascii="Times New Roman" w:hAnsi="Times New Roman"/>
                <w:sz w:val="18"/>
              </w:rPr>
              <w:t>US$187,500</w:t>
            </w:r>
          </w:p>
        </w:tc>
        <w:tc>
          <w:tcPr>
            <w:tcW w:type="dxa" w:w="2016"/>
            <w:vAlign w:val="center"/>
          </w:tcPr>
          <w:p>
            <w:pPr>
              <w:spacing w:after="20" w:before="20" w:line="254" w:lineRule="auto"/>
            </w:pPr>
            <w:r>
              <w:rPr>
                <w:rFonts w:ascii="Times New Roman" w:hAnsi="Times New Roman"/>
                <w:sz w:val="18"/>
              </w:rPr>
              <w:t>US$152,428</w:t>
            </w:r>
          </w:p>
        </w:tc>
        <w:tc>
          <w:tcPr>
            <w:tcW w:type="dxa" w:w="2016"/>
            <w:vAlign w:val="center"/>
          </w:tcPr>
          <w:p>
            <w:pPr>
              <w:spacing w:after="20" w:before="20" w:line="254" w:lineRule="auto"/>
            </w:pPr>
            <w:r>
              <w:rPr>
                <w:rFonts w:ascii="Times New Roman" w:hAnsi="Times New Roman"/>
                <w:sz w:val="18"/>
              </w:rPr>
              <w:t>US$35,072</w:t>
            </w:r>
          </w:p>
        </w:tc>
      </w:tr>
    </w:tbl>
    <w:p>
      <w:pPr>
        <w:jc w:val="both"/>
      </w:pPr>
      <w:r>
        <w:t>En el caso base del pargo, el punto de equilibrio es US$6,403/t (≈ US$6.40/kg). En las hipótesis de precio y eficiencia altas puede existir beneficio, pero no se extrapola linealmente la densidad de jaulas a los 10 km² de algas sin un análisis de carga ecológica y demanda de mercado.</w:t>
      </w:r>
    </w:p>
    <w:p>
      <w:r>
        <w:drawing>
          <wp:inline xmlns:a="http://schemas.openxmlformats.org/drawingml/2006/main" xmlns:pic="http://schemas.openxmlformats.org/drawingml/2006/picture">
            <wp:extent cx="6217920" cy="3221697"/>
            <wp:docPr id="2" name="Picture 2"/>
            <wp:cNvGraphicFramePr>
              <a:graphicFrameLocks noChangeAspect="1"/>
            </wp:cNvGraphicFramePr>
            <a:graphic>
              <a:graphicData uri="http://schemas.openxmlformats.org/drawingml/2006/picture">
                <pic:pic>
                  <pic:nvPicPr>
                    <pic:cNvPr id="0" name="beneficio_peces_ES_300dpi.jpg"/>
                    <pic:cNvPicPr/>
                  </pic:nvPicPr>
                  <pic:blipFill>
                    <a:blip r:embed="rId11"/>
                    <a:stretch>
                      <a:fillRect/>
                    </a:stretch>
                  </pic:blipFill>
                  <pic:spPr>
                    <a:xfrm>
                      <a:off x="0" y="0"/>
                      <a:ext cx="6217920" cy="3221697"/>
                    </a:xfrm>
                    <a:prstGeom prst="rect"/>
                  </pic:spPr>
                </pic:pic>
              </a:graphicData>
            </a:graphic>
          </wp:inline>
        </w:drawing>
      </w:r>
    </w:p>
    <w:p>
      <w:pPr>
        <w:jc w:val="center"/>
      </w:pPr>
      <w:r>
        <w:t>Fig. B. Sensibilidad del beneficio anualizado de las jaulas.</w:t>
      </w:r>
    </w:p>
    <w:p>
      <w:pPr>
        <w:pStyle w:val="Heading1"/>
      </w:pPr>
      <w:r>
        <w:t>4. Dron utilitario y secado con calor residual</w:t>
      </w:r>
    </w:p>
    <w:p>
      <w:pPr>
        <w:jc w:val="both"/>
      </w:pPr>
      <w:r>
        <w:t>El dron lleva módulos de siembra y suministros; no transporta las 90 000 t de algas húmedas. Se calculan 254 vuelos y 1 dron(es) de apoyo/año para una carga de 30 kg, antes de auditar restricciones de vuelo y mareas. El secador solo recibe hasta 4,600 MWh/año de calor geotérmico calificado sobrante DESPUÉS del precalentamiento. No se seca el flujo principal de biomasa destinado a licuefacción hidrotermal.</w:t>
      </w:r>
    </w:p>
    <w:p>
      <w:pPr>
        <w:jc w:val="both"/>
      </w:pPr>
      <w:r>
        <w:t>El margen incremental de secado mostrado es US$71,211/año ÚNICAMENTE si esa potencia térmica ya está recuperada, disponible en la instalación y sin otra infraestructura. No incluye tubería adicional, servidumbres, intercambiadores ni pérdidas de generación geotérmica previamente no contabilizados. Por tanto, NO debe sumarse al beneficio total de una instalación sin revisar la contabilidad completa de calor residual. La hipótesis V25 de recuperación costosa a larga distancia sigue conservada y podría hacer negativa la inversión total.</w:t>
      </w:r>
    </w:p>
    <w:p>
      <w:pPr>
        <w:pStyle w:val="Heading1"/>
      </w:pPr>
      <w:r>
        <w:t>5. Condiciones para usar los resultados en el artículo</w:t>
      </w:r>
    </w:p>
    <w:p>
      <w:pPr>
        <w:jc w:val="both"/>
      </w:pPr>
      <w:r>
        <w:t>El módulo necesita velocidades de viento e irradiación reales cada hora, rutas marítimas y puertos, curvas hidrodinámicas de propulsión, polar eólica y penalización por arrastre de VAWT certificada, auditoría de estabilidad, costos de astillero, degradación de baterías, estudios de amarre y ensayos de acuicultura y alimentación. Las ecuaciones preservan masa y energía y 25 pruebas unitarias detectan fallos aritméticos, pero no validan la planta. Las estimaciones nacionales del manuscrito quedan intactas.</w:t>
      </w:r>
    </w:p>
    <w:p>
      <w:pPr>
        <w:pStyle w:val="Heading1"/>
      </w:pPr>
      <w:r>
        <w:t>Fuentes y alcance</w:t>
      </w:r>
    </w:p>
    <w:p>
      <w:pPr>
        <w:jc w:val="both"/>
      </w:pPr>
      <w:r>
        <w:t>Universidad Nacional — Laboratorio de Acuicultura y Biotecnología Marina: Lutjanus guttatus: https://www.biologia.una.ac.cr/index.php/produccion-organismos-marinos</w:t>
      </w:r>
    </w:p>
    <w:p>
      <w:pPr>
        <w:jc w:val="both"/>
      </w:pPr>
      <w:r>
        <w:t>INCOPESCA: maricultura de pargo mancha: https://www.incopesca.go.cr/acuicultura/</w:t>
      </w:r>
    </w:p>
    <w:p>
      <w:pPr>
        <w:jc w:val="both"/>
      </w:pPr>
      <w:r>
        <w:t>Costa Rica: listado de especies de interés acuícola y restricción de cobia: https://www.pgrweb.go.cr/DOCS/NORMAS/1/VIGENTE/S/2010-2019/2015-2019/2017/14AA8/181710.HTML</w:t>
      </w:r>
    </w:p>
    <w:p>
      <w:pPr>
        <w:jc w:val="both"/>
      </w:pPr>
      <w:r>
        <w:t>Ocean Engineering: conceptual VAWT marine-power study (2016): https://www.sciencedirect.com/science/article/pii/S0029801816301718</w:t>
      </w:r>
    </w:p>
    <w:p>
      <w:pPr>
        <w:jc w:val="both"/>
      </w:pPr>
      <w:r>
        <w:t>European Commission CORDIS WHISPER: wind/solar ship development: https://cordis.europa.eu/project/id/101096577/reporting</w:t>
      </w:r>
    </w:p>
    <w:p>
      <w:pPr>
        <w:jc w:val="both"/>
      </w:pPr>
      <w:r>
        <w:t>Universidad Nacional: pargo pilot performance and historic observed sale price: https://www.revistas.una.ac.cr/index.php/revmar/article/download/250/18585?inline=1</w:t>
      </w:r>
    </w:p>
    <w:p>
      <w:pPr>
        <w:jc w:val="both"/>
      </w:pPr>
      <w:r>
        <w:t>Seaweed and seagrass aquaculture ecological interactions; USDA compilation: https://www.ars.usda.gov/ARSUserFiles/np106/Seaweeds%20and%20Seagrasses/Aquaculture%20Congressional%20Report.v5_2024%2009-10%20MC_508%20compliance.pdf</w:t>
      </w:r>
    </w:p>
    <w:p>
      <w:pPr>
        <w:jc w:val="both"/>
      </w:pPr>
      <w:r>
        <w:t>Reproducción: python fleet_fish_v26.py. Entradas, 17 escenarios y salidas están en fleet_fish_v26_inputs_outputs.json y fleet_fish_v26_scenarios.csv; tests_v26.txt registra 25 pruebas superadas.</w:t>
      </w:r>
    </w:p>
    <w:sectPr w:rsidR="00FC693F" w:rsidRPr="0006063C" w:rsidSect="00034616">
      <w:footerReference w:type="default" r:id="rId9"/>
      <w:pgSz w:w="12240" w:h="15840"/>
      <w:pgMar w:top="1037" w:right="1080" w:bottom="1008"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Costa Rica | Exploratory engineering annex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