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Spain V20 | Complete archive restored</w:t>
      </w:r>
    </w:p>
    <w:p>
      <w:pPr>
        <w:pStyle w:val="Subtitle"/>
      </w:pPr>
      <w:r>
        <w:t>Additive restoration and corrected marine-fleet cost audit</w:t>
      </w:r>
    </w:p>
    <w:p>
      <w:pPr>
        <w:pStyle w:val="Heading1"/>
      </w:pPr>
      <w:r>
        <w:t>What is preserved</w:t>
      </w:r>
    </w:p>
    <w:p>
      <w:pPr>
        <w:pStyle w:val="ListBullet"/>
      </w:pPr>
      <w:r>
        <w:t>Original Spain V13 integrated archive — 201.38 MB, 428 entries, all art, code, figures and complete documents preserved in its unmodified ZIP.</w:t>
      </w:r>
    </w:p>
    <w:p>
      <w:pPr>
        <w:pStyle w:val="ListBullet"/>
      </w:pPr>
      <w:r>
        <w:t>Original V17 Nature Sustainability archive — 9.56 MB, 46 entries, unmodified.</w:t>
      </w:r>
    </w:p>
    <w:p>
      <w:pPr>
        <w:pStyle w:val="ListBullet"/>
      </w:pPr>
      <w:r>
        <w:t>Original V18 marine-hybrid and SMR archive — 12.63 MB, 68 entries, unmodified.</w:t>
      </w:r>
    </w:p>
    <w:p>
      <w:pPr>
        <w:pStyle w:val="ListBullet"/>
      </w:pPr>
      <w:r>
        <w:t>All V19 documents, model, figures, baseline and SHA-256 manifests retained unchanged.</w:t>
      </w:r>
    </w:p>
    <w:p>
      <w:r>
        <w:t>All 542 historic internal entries were verified against recorded SHA-256 hashes. ZIP CRC checks passed on the three originals and the outer package.</w:t>
      </w:r>
    </w:p>
    <w:p>
      <w:pPr>
        <w:pStyle w:val="Heading1"/>
      </w:pPr>
      <w:r>
        <w:t>Correction: charge the solar-plus-kite fleet for its kite</w:t>
      </w:r>
    </w:p>
    <w:p>
      <w:r>
        <w:t>The original V19 pv_kite option was credited with kite-induced fuel savings but omitted the cost of the kite module. V20 corrects that financial allocation without altering the older source archives.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Scenario</w:t>
            </w:r>
          </w:p>
        </w:tc>
        <w:tc>
          <w:tcPr>
            <w:tcW w:type="dxa" w:w="3331"/>
          </w:tcPr>
          <w:p>
            <w:r>
              <w:t>Fuel saved (TWh/yr)</w:t>
            </w:r>
          </w:p>
        </w:tc>
        <w:tc>
          <w:tcPr>
            <w:tcW w:type="dxa" w:w="3331"/>
          </w:tcPr>
          <w:p>
            <w:r>
              <w:t>Net annual saving (€M)</w:t>
            </w:r>
          </w:p>
        </w:tc>
      </w:tr>
      <w:tr>
        <w:tc>
          <w:tcPr>
            <w:tcW w:type="dxa" w:w="3331"/>
          </w:tcPr>
          <w:p>
            <w:r>
              <w:t>7-kn 100-y PV + kite, old V19</w:t>
            </w:r>
          </w:p>
        </w:tc>
        <w:tc>
          <w:tcPr>
            <w:tcW w:type="dxa" w:w="3331"/>
          </w:tcPr>
          <w:p>
            <w:r>
              <w:t>0.268</w:t>
            </w:r>
          </w:p>
        </w:tc>
        <w:tc>
          <w:tcPr>
            <w:tcW w:type="dxa" w:w="3331"/>
          </w:tcPr>
          <w:p>
            <w:r>
              <w:t>36.42 (superseded)</w:t>
            </w:r>
          </w:p>
        </w:tc>
      </w:tr>
      <w:tr>
        <w:tc>
          <w:tcPr>
            <w:tcW w:type="dxa" w:w="3331"/>
          </w:tcPr>
          <w:p>
            <w:r>
              <w:t>7-kn 100-y PV + kite, V20</w:t>
            </w:r>
          </w:p>
        </w:tc>
        <w:tc>
          <w:tcPr>
            <w:tcW w:type="dxa" w:w="3331"/>
          </w:tcPr>
          <w:p>
            <w:r>
              <w:t>0.268</w:t>
            </w:r>
          </w:p>
        </w:tc>
        <w:tc>
          <w:tcPr>
            <w:tcW w:type="dxa" w:w="3331"/>
          </w:tcPr>
          <w:p>
            <w:r>
              <w:t>29.86</w:t>
            </w:r>
          </w:p>
        </w:tc>
      </w:tr>
      <w:tr>
        <w:tc>
          <w:tcPr>
            <w:tcW w:type="dxa" w:w="3331"/>
          </w:tcPr>
          <w:p>
            <w:r>
              <w:t>6-kn 100-y existing kite, V20</w:t>
            </w:r>
          </w:p>
        </w:tc>
        <w:tc>
          <w:tcPr>
            <w:tcW w:type="dxa" w:w="3331"/>
          </w:tcPr>
          <w:p>
            <w:r>
              <w:t>0.336</w:t>
            </w:r>
          </w:p>
        </w:tc>
        <w:tc>
          <w:tcPr>
            <w:tcW w:type="dxa" w:w="3331"/>
          </w:tcPr>
          <w:p>
            <w:r>
              <w:t>36.31</w:t>
            </w:r>
          </w:p>
        </w:tc>
      </w:tr>
      <w:tr>
        <w:tc>
          <w:tcPr>
            <w:tcW w:type="dxa" w:w="3331"/>
          </w:tcPr>
          <w:p>
            <w:r>
              <w:t>4.5-kn 30-y full hybrid, V20</w:t>
            </w:r>
          </w:p>
        </w:tc>
        <w:tc>
          <w:tcPr>
            <w:tcW w:type="dxa" w:w="3331"/>
          </w:tcPr>
          <w:p>
            <w:r>
              <w:t>0.557</w:t>
            </w:r>
          </w:p>
        </w:tc>
        <w:tc>
          <w:tcPr>
            <w:tcW w:type="dxa" w:w="3331"/>
          </w:tcPr>
          <w:p>
            <w:r>
              <w:t>−21.72</w:t>
            </w:r>
          </w:p>
        </w:tc>
      </w:tr>
    </w:tbl>
    <w:p>
      <w:r>
        <w:t>A 100-year ship hull is an unvalidated sensitivity, not a demonstrated construction lifetime. The corrected model explores financing, replacement, maintenance and capital-premium ranges.</w:t>
      </w:r>
    </w:p>
    <w:p>
      <w:pPr>
        <w:pStyle w:val="Heading1"/>
      </w:pPr>
      <w:r>
        <w:t>Harvesting, seeding and maintenance</w:t>
      </w:r>
    </w:p>
    <w:p>
      <w:r>
        <w:t>The solar-charged utility drone performs initial seeding and condition-triggered spot replanting. The scenario does not require complete annual reseeding. Harvesters may operate in daylight or at night subject to wind, electricity storage and safe sea conditions.</w:t>
      </w:r>
    </w:p>
    <w:p>
      <w:r>
        <w:t>Solar and wind on the 280 modeled harvesters deliver about 51.84 GWh/year versus 32.82 GWh/year for small cutting heads. This does not eliminate the separate 3.545 TWh/year mixed harvesting/support fleet energy allowance. Under an illustrative 15% work-avoidance case, renewable power and electrification reduce fleet-fuel demand by 0.570 TWh/year; 2.975 TWh/year remains.</w:t>
      </w:r>
    </w:p>
    <w:p>
      <w:pPr>
        <w:pStyle w:val="Heading1"/>
      </w:pPr>
      <w:r>
        <w:t>Reproducibility</w:t>
      </w:r>
    </w:p>
    <w:p>
      <w:r>
        <w:t>Inside V20_Corrected_Marine_Model, run python model_v20.py and python test_v20.py. The corrected outputs are the files prefixed V20_. All prior original ZIPs and the V19 historical analysis remain within this delivery.</w:t>
      </w:r>
    </w:p>
    <w:p>
      <w:r>
        <w:t>This marine-fleet sensitivity does not constitute a complete national system rerun, field-tested 100-year vessel design, or confirmed round-the-clock renewable propulsion. Measurements and engineering validation remain necessary.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