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Grid>
        <w:gridCol w:w="9072"/>
      </w:tblGrid>
      <w:tblPr>
        <w:tblW w:type="auto" w:w="0"/>
        <w:tblLook w:firstColumn="1" w:firstRow="1" w:lastColumn="0" w:lastRow="0" w:noHBand="0" w:noVBand="1" w:val="04A0"/>
        <w:tblLayout w:type="fixed"/>
        <w:tblW w:w="9072" w:type="dxa"/>
        <w:tblInd w:w="0" w:type="dxa"/>
      </w:tblPr>
      <w:tblGrid>
        <w:gridCol w:w="9072"/>
      </w:tblGrid>
      <w:tr>
        <w:tc>
          <w:tcPr>
            <w:tcW w:type="dxa" w:w="9072"/>
            <w:tcBorders>
              <w:top w:val="nil"/>
              <w:left w:val="nil"/>
              <w:bottom w:val="nil"/>
              <w:right w:val="nil"/>
              <w:insideH w:val="nil"/>
              <w:insideV w:val="nil"/>
            </w:tcBorders>
            <w:tcW w:w="9072" w:type="dxa"/>
            <w:shd w:val="clear" w:color="auto" w:fill="0C1E3C"/>
            <w:tcBorders>
              <w:top w:val="nil"/>
              <w:left w:val="nil"/>
              <w:bottom w:val="nil"/>
              <w:right w:val="nil"/>
              <w:insideH w:val="nil"/>
              <w:insideV w:val="nil"/>
            </w:tcBorders>
          </w:tcPr>
          <w:p>
            <w:pPr>
              <w:spacing w:before="440" w:after="20"/>
              <w:ind w:left="432"/>
            </w:pPr>
            <w:r>
              <w:rPr>
                <w:rFonts w:ascii="Calibri" w:hAnsi="Calibri"/>
                <w:b/>
                <w:i w:val="0"/>
                <w:caps/>
                <w:color w:val="88B4E2"/>
                <w:sz w:val="18"/>
              </w:rPr>
              <w:t>MANUSIGHTS</w:t>
            </w:r>
          </w:p>
          <w:p>
            <w:pPr>
              <w:spacing w:before="0" w:after="60"/>
              <w:ind w:left="432"/>
            </w:pPr>
            <w:r>
              <w:rPr>
                <w:rFonts w:ascii="Calibri" w:hAnsi="Calibri"/>
                <w:b/>
                <w:i w:val="0"/>
                <w:color w:val="FFFFFF"/>
                <w:sz w:val="44"/>
              </w:rPr>
              <w:t>AI Diagnostic Report</w:t>
            </w:r>
          </w:p>
          <w:p>
            <w:pPr>
              <w:ind w:left="432"/>
              <w:pBdr>
                <w:bottom w:val="single" w:sz="3" w:space="1" w:color="008290"/>
              </w:pBdr>
            </w:pPr>
          </w:p>
          <w:p>
            <w:pPr>
              <w:spacing w:before="120" w:after="440"/>
              <w:ind w:left="432"/>
            </w:pPr>
            <w:r>
              <w:rPr>
                <w:rFonts w:ascii="Calibri" w:hAnsi="Calibri"/>
                <w:b w:val="0"/>
                <w:i/>
                <w:color w:val="9CBBD9"/>
                <w:sz w:val="19"/>
              </w:rPr>
              <w:t>AI-powered pre-submission diagnostic · Powered by the Manusights review system</w:t>
            </w:r>
          </w:p>
        </w:tc>
      </w:tr>
    </w:tbl>
    <w:p>
      <w:pPr>
        <w:spacing w:after="360" w:line="20" w:lineRule="exact"/>
      </w:pPr>
      <w:r>
        <w:rPr>
          <w:sz w:val="2"/>
        </w:rPr>
        <w:t xml:space="preserve"> </w:t>
      </w:r>
    </w:p>
    <w:p>
      <w:pPr>
        <w:spacing w:after="320"/>
        <w:pBdr>
          <w:bottom w:val="single" w:sz="6" w:space="1" w:color="008290"/>
        </w:pBdr>
      </w:pPr>
      <w:r>
        <w:rPr>
          <w:rFonts w:ascii="Calibri" w:hAnsi="Calibri"/>
          <w:b/>
          <w:i w:val="0"/>
          <w:color w:val="0C1E3C"/>
          <w:sz w:val="30"/>
        </w:rPr>
        <w:t>Crusher to the Bridge: Agent-Based Simulation of Shipboard Biosurveillance Interventions and Their Cost-Effectiveness</w:t>
      </w:r>
    </w:p>
    <w:tbl>
      <w:tblGrid>
        <w:gridCol w:w="2232"/>
        <w:gridCol w:w="6840"/>
      </w:tblGrid>
      <w:tblPr>
        <w:tblW w:type="auto" w:w="0"/>
        <w:tblLook w:firstColumn="1" w:firstRow="1" w:lastColumn="0" w:lastRow="0" w:noHBand="0" w:noVBand="1" w:val="04A0"/>
        <w:tblLayout w:type="fixed"/>
        <w:tblW w:w="9072" w:type="dxa"/>
        <w:tblInd w:w="0" w:type="dxa"/>
      </w:tblPr>
      <w:tblGrid>
        <w:gridCol w:w="4536"/>
        <w:gridCol w:w="4536"/>
      </w:tblGrid>
      <w:tr>
        <w:tc>
          <w:tcPr>
            <w:tcW w:type="dxa" w:w="4536"/>
            <w:tcBorders>
              <w:top w:val="nil"/>
              <w:left w:val="nil"/>
              <w:bottom w:val="nil"/>
              <w:right w:val="nil"/>
              <w:insideH w:val="nil"/>
              <w:insideV w:val="nil"/>
            </w:tcBorders>
            <w:tcW w:w="2232" w:type="dxa"/>
            <w:shd w:val="clear" w:color="auto" w:fill="F8F9FC"/>
            <w:tcBorders>
              <w:top w:val="nil"/>
              <w:left w:val="nil"/>
              <w:bottom w:val="nil"/>
              <w:right w:val="nil"/>
              <w:insideH w:val="nil"/>
              <w:insideV w:val="nil"/>
            </w:tcBorders>
          </w:tcPr>
          <w:p>
            <w:pPr>
              <w:spacing w:before="100" w:after="100"/>
              <w:ind w:left="115"/>
            </w:pPr>
            <w:r>
              <w:rPr>
                <w:rFonts w:ascii="Calibri" w:hAnsi="Calibri"/>
                <w:b/>
                <w:i w:val="0"/>
                <w:color w:val="566678"/>
                <w:sz w:val="16"/>
              </w:rPr>
              <w:t>REVIEW DATE</w:t>
            </w:r>
          </w:p>
        </w:tc>
        <w:tc>
          <w:tcPr>
            <w:tcW w:type="dxa" w:w="4536"/>
            <w:tcBorders>
              <w:top w:val="nil"/>
              <w:left w:val="nil"/>
              <w:bottom w:val="nil"/>
              <w:right w:val="nil"/>
              <w:insideH w:val="nil"/>
              <w:insideV w:val="nil"/>
            </w:tcBorders>
            <w:tcW w:w="6840" w:type="dxa"/>
            <w:shd w:val="clear" w:color="auto" w:fill="F8F9FC"/>
            <w:tcBorders>
              <w:top w:val="nil"/>
              <w:left w:val="nil"/>
              <w:bottom w:val="nil"/>
              <w:right w:val="nil"/>
              <w:insideH w:val="nil"/>
              <w:insideV w:val="nil"/>
            </w:tcBorders>
          </w:tcPr>
          <w:p>
            <w:pPr>
              <w:spacing w:before="100" w:after="100"/>
            </w:pPr>
            <w:r>
              <w:rPr>
                <w:rFonts w:ascii="Calibri" w:hAnsi="Calibri"/>
                <w:b w:val="0"/>
                <w:i w:val="0"/>
                <w:color w:val="161829"/>
                <w:sz w:val="21"/>
              </w:rPr>
              <w:t>2026-06-30</w:t>
            </w:r>
          </w:p>
        </w:tc>
      </w:tr>
      <w:tr>
        <w:tc>
          <w:tcPr>
            <w:tcW w:type="dxa" w:w="4536"/>
            <w:tcBorders>
              <w:top w:val="nil"/>
              <w:left w:val="nil"/>
              <w:bottom w:val="nil"/>
              <w:right w:val="nil"/>
              <w:insideH w:val="nil"/>
              <w:insideV w:val="nil"/>
            </w:tcBorders>
            <w:tcW w:w="2232" w:type="dxa"/>
            <w:shd w:val="clear" w:color="auto" w:fill="FFFFFF"/>
            <w:tcBorders>
              <w:top w:val="nil"/>
              <w:left w:val="nil"/>
              <w:bottom w:val="nil"/>
              <w:right w:val="nil"/>
              <w:insideH w:val="nil"/>
              <w:insideV w:val="nil"/>
            </w:tcBorders>
          </w:tcPr>
          <w:p>
            <w:pPr>
              <w:spacing w:before="100" w:after="100"/>
              <w:ind w:left="115"/>
            </w:pPr>
            <w:r>
              <w:rPr>
                <w:rFonts w:ascii="Calibri" w:hAnsi="Calibri"/>
                <w:b/>
                <w:i w:val="0"/>
                <w:color w:val="566678"/>
                <w:sz w:val="16"/>
              </w:rPr>
              <w:t>REVIEW TYPE</w:t>
            </w:r>
          </w:p>
        </w:tc>
        <w:tc>
          <w:tcPr>
            <w:tcW w:type="dxa" w:w="4536"/>
            <w:tcBorders>
              <w:top w:val="nil"/>
              <w:left w:val="nil"/>
              <w:bottom w:val="nil"/>
              <w:right w:val="nil"/>
              <w:insideH w:val="nil"/>
              <w:insideV w:val="nil"/>
            </w:tcBorders>
            <w:tcW w:w="6840" w:type="dxa"/>
            <w:shd w:val="clear" w:color="auto" w:fill="FFFFFF"/>
            <w:tcBorders>
              <w:top w:val="nil"/>
              <w:left w:val="nil"/>
              <w:bottom w:val="nil"/>
              <w:right w:val="nil"/>
              <w:insideH w:val="nil"/>
              <w:insideV w:val="nil"/>
            </w:tcBorders>
          </w:tcPr>
          <w:p>
            <w:pPr>
              <w:spacing w:before="100" w:after="100"/>
            </w:pPr>
            <w:r>
              <w:rPr>
                <w:rFonts w:ascii="Calibri" w:hAnsi="Calibri"/>
                <w:b w:val="0"/>
                <w:i w:val="0"/>
                <w:color w:val="161829"/>
                <w:sz w:val="21"/>
              </w:rPr>
              <w:t>AI Pre-Submission Diagnostic</w:t>
            </w:r>
          </w:p>
        </w:tc>
      </w:tr>
      <w:tr>
        <w:tc>
          <w:tcPr>
            <w:tcW w:type="dxa" w:w="4536"/>
            <w:tcBorders>
              <w:top w:val="nil"/>
              <w:left w:val="nil"/>
              <w:bottom w:val="nil"/>
              <w:right w:val="nil"/>
              <w:insideH w:val="nil"/>
              <w:insideV w:val="nil"/>
            </w:tcBorders>
            <w:tcW w:w="2232" w:type="dxa"/>
            <w:shd w:val="clear" w:color="auto" w:fill="F8F9FC"/>
            <w:tcBorders>
              <w:top w:val="nil"/>
              <w:left w:val="nil"/>
              <w:bottom w:val="nil"/>
              <w:right w:val="nil"/>
              <w:insideH w:val="nil"/>
              <w:insideV w:val="nil"/>
            </w:tcBorders>
          </w:tcPr>
          <w:p>
            <w:pPr>
              <w:spacing w:before="100" w:after="100"/>
              <w:ind w:left="115"/>
            </w:pPr>
            <w:r>
              <w:rPr>
                <w:rFonts w:ascii="Calibri" w:hAnsi="Calibri"/>
                <w:b/>
                <w:i w:val="0"/>
                <w:color w:val="566678"/>
                <w:sz w:val="16"/>
              </w:rPr>
              <w:t>PREPARED BY</w:t>
            </w:r>
          </w:p>
        </w:tc>
        <w:tc>
          <w:tcPr>
            <w:tcW w:type="dxa" w:w="4536"/>
            <w:tcBorders>
              <w:top w:val="nil"/>
              <w:left w:val="nil"/>
              <w:bottom w:val="nil"/>
              <w:right w:val="nil"/>
              <w:insideH w:val="nil"/>
              <w:insideV w:val="nil"/>
            </w:tcBorders>
            <w:tcW w:w="6840" w:type="dxa"/>
            <w:shd w:val="clear" w:color="auto" w:fill="F8F9FC"/>
            <w:tcBorders>
              <w:top w:val="nil"/>
              <w:left w:val="nil"/>
              <w:bottom w:val="nil"/>
              <w:right w:val="nil"/>
              <w:insideH w:val="nil"/>
              <w:insideV w:val="nil"/>
            </w:tcBorders>
          </w:tcPr>
          <w:p>
            <w:pPr>
              <w:spacing w:before="100" w:after="100"/>
            </w:pPr>
            <w:r>
              <w:rPr>
                <w:rFonts w:ascii="Calibri" w:hAnsi="Calibri"/>
                <w:b w:val="0"/>
                <w:i w:val="0"/>
                <w:color w:val="161829"/>
                <w:sz w:val="21"/>
              </w:rPr>
              <w:t>Manusights AI Diagnostic System</w:t>
            </w:r>
          </w:p>
        </w:tc>
      </w:tr>
      <w:tr>
        <w:tc>
          <w:tcPr>
            <w:tcW w:type="dxa" w:w="4536"/>
            <w:tcBorders>
              <w:top w:val="nil"/>
              <w:left w:val="nil"/>
              <w:bottom w:val="nil"/>
              <w:right w:val="nil"/>
              <w:insideH w:val="nil"/>
              <w:insideV w:val="nil"/>
            </w:tcBorders>
            <w:tcW w:w="2232" w:type="dxa"/>
            <w:shd w:val="clear" w:color="auto" w:fill="FFFFFF"/>
            <w:tcBorders>
              <w:top w:val="nil"/>
              <w:left w:val="nil"/>
              <w:bottom w:val="nil"/>
              <w:right w:val="nil"/>
              <w:insideH w:val="nil"/>
              <w:insideV w:val="nil"/>
            </w:tcBorders>
          </w:tcPr>
          <w:p>
            <w:pPr>
              <w:spacing w:before="100" w:after="100"/>
              <w:ind w:left="115"/>
            </w:pPr>
            <w:r>
              <w:rPr>
                <w:rFonts w:ascii="Calibri" w:hAnsi="Calibri"/>
                <w:b/>
                <w:i w:val="0"/>
                <w:color w:val="566678"/>
                <w:sz w:val="16"/>
              </w:rPr>
              <w:t>CONFIDENTIALITY</w:t>
            </w:r>
          </w:p>
        </w:tc>
        <w:tc>
          <w:tcPr>
            <w:tcW w:type="dxa" w:w="4536"/>
            <w:tcBorders>
              <w:top w:val="nil"/>
              <w:left w:val="nil"/>
              <w:bottom w:val="nil"/>
              <w:right w:val="nil"/>
              <w:insideH w:val="nil"/>
              <w:insideV w:val="nil"/>
            </w:tcBorders>
            <w:tcW w:w="6840" w:type="dxa"/>
            <w:shd w:val="clear" w:color="auto" w:fill="FFFFFF"/>
            <w:tcBorders>
              <w:top w:val="nil"/>
              <w:left w:val="nil"/>
              <w:bottom w:val="nil"/>
              <w:right w:val="nil"/>
              <w:insideH w:val="nil"/>
              <w:insideV w:val="nil"/>
            </w:tcBorders>
          </w:tcPr>
          <w:p>
            <w:pPr>
              <w:spacing w:before="100" w:after="100"/>
            </w:pPr>
            <w:r>
              <w:rPr>
                <w:rFonts w:ascii="Calibri" w:hAnsi="Calibri"/>
                <w:b w:val="0"/>
                <w:i w:val="0"/>
                <w:color w:val="161829"/>
                <w:sz w:val="21"/>
              </w:rPr>
              <w:t>For author use only, do not distribute</w:t>
            </w:r>
          </w:p>
        </w:tc>
      </w:tr>
    </w:tbl>
    <w:p>
      <w:pPr>
        <w:spacing w:after="360" w:line="20" w:lineRule="exact"/>
      </w:pPr>
      <w:r>
        <w:rPr>
          <w:sz w:val="2"/>
        </w:rPr>
        <w:t xml:space="preserve"> </w:t>
      </w:r>
    </w:p>
    <w:p>
      <w:pPr>
        <w:spacing w:after="140"/>
      </w:pPr>
      <w:r>
        <w:rPr>
          <w:rFonts w:ascii="Calibri" w:hAnsi="Calibri"/>
          <w:b/>
          <w:i w:val="0"/>
          <w:caps/>
          <w:color w:val="566678"/>
          <w:sz w:val="17"/>
        </w:rPr>
        <w:t>THIS REPORT COVERS</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Quality Scorecard</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1. Scope &amp; Organizing Thesis</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2. Strengths of the Synthesis</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3. Major Gaps, Omissions, or Imbalances</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4. Structural Revisions Needed</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5. Journal Fit &amp; Publication Potential</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6. Figures, Tables, and Scholarly Apparatus</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References</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Verification Receipt</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Reference Integrity Check</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Citation Accuracy Analysis</w:t>
      </w:r>
    </w:p>
    <w:p>
      <w:r>
        <w:br w:type="page"/>
      </w:r>
    </w:p>
    <w:p>
      <w:pPr>
        <w:spacing w:before="0" w:after="160"/>
        <w:pBdr>
          <w:bottom w:val="single" w:sz="5" w:space="1" w:color="008290"/>
        </w:pBdr>
      </w:pPr>
      <w:r>
        <w:rPr>
          <w:rFonts w:ascii="Calibri" w:hAnsi="Calibri"/>
          <w:b/>
          <w:i w:val="0"/>
          <w:color w:val="0C1E3C"/>
          <w:sz w:val="30"/>
        </w:rPr>
        <w:t>EXTERNAL ASSESSMENT</w:t>
      </w:r>
    </w:p>
    <w:p>
      <w:pPr>
        <w:spacing w:before="280" w:after="120"/>
      </w:pPr>
      <w:r>
        <w:rPr>
          <w:rFonts w:ascii="Calibri" w:hAnsi="Calibri"/>
          <w:b/>
          <w:i w:val="0"/>
          <w:color w:val="163666"/>
          <w:sz w:val="25"/>
        </w:rPr>
        <w:t>Quality Scorecard</w:t>
      </w:r>
    </w:p>
    <w:p>
      <w:pPr>
        <w:spacing w:before="0" w:after="120"/>
      </w:pPr>
      <w:r>
        <w:rPr>
          <w:rFonts w:ascii="Calibri" w:hAnsi="Calibri"/>
          <w:b/>
          <w:i w:val="0"/>
          <w:color w:val="161829"/>
          <w:sz w:val="22"/>
        </w:rPr>
        <w:t>Scope definition</w:t>
      </w:r>
      <w:r>
        <w:rPr>
          <w:rFonts w:ascii="Calibri" w:hAnsi="Calibri"/>
          <w:b w:val="0"/>
          <w:i w:val="0"/>
          <w:color w:val="161829"/>
          <w:sz w:val="22"/>
        </w:rPr>
        <w:t>: 3/5, The "prevalence-versus-rarity paradox" gives the paper a genuine organizing question, but the manuscript is confused about whether it is a software-platform description, a calibration study, or a cost-effectiveness analysis, and it is mislabeled as a meta-analysis when it is in fact an original simulation/modeling report.</w:t>
      </w:r>
    </w:p>
    <w:p>
      <w:pPr>
        <w:spacing w:before="0" w:after="120"/>
      </w:pPr>
      <w:r>
        <w:rPr>
          <w:rFonts w:ascii="Calibri" w:hAnsi="Calibri"/>
          <w:b/>
          <w:i w:val="0"/>
          <w:color w:val="161829"/>
          <w:sz w:val="22"/>
        </w:rPr>
        <w:t>Synthesis quality</w:t>
      </w:r>
      <w:r>
        <w:rPr>
          <w:rFonts w:ascii="Calibri" w:hAnsi="Calibri"/>
          <w:b w:val="0"/>
          <w:i w:val="0"/>
          <w:color w:val="161829"/>
          <w:sz w:val="22"/>
        </w:rPr>
        <w:t>: 3/5, The three-filter decomposition (transmission-competent phase × overdispersion × immunity) is a genuinely useful conceptual frame, but most "synthesis" is the authors' own fitted model rather than an integration of the existing modeling literature.</w:t>
      </w:r>
    </w:p>
    <w:p>
      <w:pPr>
        <w:spacing w:before="0" w:after="120"/>
      </w:pPr>
      <w:r>
        <w:rPr>
          <w:rFonts w:ascii="Calibri" w:hAnsi="Calibri"/>
          <w:b/>
          <w:i w:val="0"/>
          <w:color w:val="161829"/>
          <w:sz w:val="22"/>
        </w:rPr>
        <w:t>Literature coverage</w:t>
      </w:r>
      <w:r>
        <w:rPr>
          <w:rFonts w:ascii="Calibri" w:hAnsi="Calibri"/>
          <w:b w:val="0"/>
          <w:i w:val="0"/>
          <w:color w:val="161829"/>
          <w:sz w:val="22"/>
        </w:rPr>
        <w:t>: 3/5, Norovirus biology, VSP surveillance, and pooling are well covered, but the agent-based modeling and superspreading literatures that should anchor the methods are conspicuously thin.</w:t>
      </w:r>
    </w:p>
    <w:p>
      <w:pPr>
        <w:spacing w:before="0" w:after="120"/>
      </w:pPr>
      <w:r>
        <w:rPr>
          <w:rFonts w:ascii="Calibri" w:hAnsi="Calibri"/>
          <w:b/>
          <w:i w:val="0"/>
          <w:color w:val="161829"/>
          <w:sz w:val="22"/>
        </w:rPr>
        <w:t>Balance and fairness</w:t>
      </w:r>
      <w:r>
        <w:rPr>
          <w:rFonts w:ascii="Calibri" w:hAnsi="Calibri"/>
          <w:b w:val="0"/>
          <w:i w:val="0"/>
          <w:color w:val="161829"/>
          <w:sz w:val="22"/>
        </w:rPr>
        <w:t>: 4/5, The manuscript is admirably explicit about the fitted-not-measured status of its parameters and the absence of empirical pooled-norovirus validation; this self-criticism is a real strength.</w:t>
      </w:r>
    </w:p>
    <w:p>
      <w:pPr>
        <w:spacing w:before="0" w:after="120"/>
      </w:pPr>
      <w:r>
        <w:rPr>
          <w:rFonts w:ascii="Calibri" w:hAnsi="Calibri"/>
          <w:b/>
          <w:i w:val="0"/>
          <w:color w:val="161829"/>
          <w:sz w:val="22"/>
        </w:rPr>
        <w:t>Clarity of structure</w:t>
      </w:r>
      <w:r>
        <w:rPr>
          <w:rFonts w:ascii="Calibri" w:hAnsi="Calibri"/>
          <w:b w:val="0"/>
          <w:i w:val="0"/>
          <w:color w:val="161829"/>
          <w:sz w:val="22"/>
        </w:rPr>
        <w:t>: 3/5, Logical macro-structure, but the wearable/enhanced-response/screening material is scattered and the executive summary substantially duplicates the discussion.</w:t>
      </w:r>
    </w:p>
    <w:p>
      <w:pPr>
        <w:spacing w:before="0" w:after="120"/>
      </w:pPr>
      <w:r>
        <w:rPr>
          <w:rFonts w:ascii="Calibri" w:hAnsi="Calibri"/>
          <w:b/>
          <w:i w:val="0"/>
          <w:color w:val="161829"/>
          <w:sz w:val="22"/>
        </w:rPr>
        <w:t>Citation rigor</w:t>
      </w:r>
      <w:r>
        <w:rPr>
          <w:rFonts w:ascii="Calibri" w:hAnsi="Calibri"/>
          <w:b w:val="0"/>
          <w:i w:val="0"/>
          <w:color w:val="161829"/>
          <w:sz w:val="22"/>
        </w:rPr>
        <w:t>: 3/5, Claims are mostly anchored, but the document leans heavily on internal "Edison trajectory" identifiers in place of citable evidence, which is not acceptable for an external publication.</w:t>
      </w:r>
    </w:p>
    <w:p>
      <w:pPr>
        <w:spacing w:before="0" w:after="120"/>
      </w:pPr>
      <w:r>
        <w:rPr>
          <w:rFonts w:ascii="Calibri" w:hAnsi="Calibri"/>
          <w:b/>
          <w:i w:val="0"/>
          <w:color w:val="161829"/>
          <w:sz w:val="22"/>
        </w:rPr>
        <w:t>Value to community</w:t>
      </w:r>
      <w:r>
        <w:rPr>
          <w:rFonts w:ascii="Calibri" w:hAnsi="Calibri"/>
          <w:b w:val="0"/>
          <w:i w:val="0"/>
          <w:color w:val="161829"/>
          <w:sz w:val="22"/>
        </w:rPr>
        <w:t>: 3/5, Decision-makers in maritime public health and ABM methodologists would find the effective-index framing useful, but the value is undercut by the genre confusion and the unreviewable internal-trajectory apparatus.</w:t>
      </w:r>
    </w:p>
    <w:p>
      <w:pPr>
        <w:spacing w:before="0" w:after="120"/>
      </w:pPr>
      <w:r>
        <w:rPr>
          <w:rFonts w:ascii="Calibri" w:hAnsi="Calibri"/>
          <w:b/>
          <w:i w:val="0"/>
          <w:color w:val="161829"/>
          <w:sz w:val="22"/>
        </w:rPr>
        <w:t>Overall</w:t>
      </w:r>
      <w:r>
        <w:rPr>
          <w:rFonts w:ascii="Calibri" w:hAnsi="Calibri"/>
          <w:b w:val="0"/>
          <w:i w:val="0"/>
          <w:color w:val="161829"/>
          <w:sz w:val="22"/>
        </w:rPr>
        <w:t>: This is a competent and unusually honest modeling report dressed up with the wrong genre label. Its realistic home is a methods-and-modeling venue such as PLOS ONE; the single largest weakness is that it is submitted as a "meta_analysis" when it presents no pooled quantitative synthesis, and its evidentiary backbone rests on non-citable internal execution traces.</w:t>
      </w:r>
    </w:p>
    <w:p>
      <w:pPr>
        <w:spacing w:before="280" w:after="120"/>
      </w:pPr>
      <w:r>
        <w:rPr>
          <w:rFonts w:ascii="Calibri" w:hAnsi="Calibri"/>
          <w:b/>
          <w:i w:val="0"/>
          <w:color w:val="163666"/>
          <w:sz w:val="25"/>
        </w:rPr>
        <w:t>1. Scope &amp; Organizing Thesis</w:t>
      </w:r>
    </w:p>
    <w:p>
      <w:pPr>
        <w:spacing w:before="0" w:after="120"/>
      </w:pPr>
      <w:r>
        <w:rPr>
          <w:rFonts w:ascii="Calibri" w:hAnsi="Calibri"/>
          <w:b w:val="0"/>
          <w:i w:val="0"/>
          <w:color w:val="161829"/>
          <w:sz w:val="22"/>
        </w:rPr>
        <w:t>The manuscript has a real and well-posed central question: why does common community norovirus PCR positivity not translate into frequent reportable cruise outbreaks? The "approximately 400-fold paradox" is a legitimate organizing thesis, and the three-filter resolution (rare acute transmission-competent phase, overdispersion, partial immunity) is a clean conceptual spine that recurs coherently through calibration, interventions, and the cost-effectiveness conclusions. When the paper stays on this thesis, it reads well.</w:t>
      </w:r>
    </w:p>
    <w:p>
      <w:pPr>
        <w:spacing w:before="0" w:after="120"/>
      </w:pPr>
      <w:r>
        <w:rPr>
          <w:rFonts w:ascii="Calibri" w:hAnsi="Calibri"/>
          <w:b w:val="0"/>
          <w:i w:val="0"/>
          <w:color w:val="161829"/>
          <w:sz w:val="22"/>
        </w:rPr>
        <w:t xml:space="preserve">The problem is genre. The document is submitted as a meta-analysis but contains none of the machinery a meta-analysis requires: there is no search strategy, no inclusion/exclusion flow, no pooled effect estimate with heterogeneity statistics, no risk-of-bias assessment. What it actually is is an original agent-based simulation and branching-process calibration study with an embedded narrative literature review. I want to be explicit that I am </w:t>
      </w:r>
      <w:r>
        <w:rPr>
          <w:rFonts w:ascii="Calibri" w:hAnsi="Calibri"/>
          <w:b w:val="0"/>
          <w:i/>
          <w:color w:val="161829"/>
          <w:sz w:val="22"/>
        </w:rPr>
        <w:t>not</w:t>
      </w:r>
      <w:r>
        <w:rPr>
          <w:rFonts w:ascii="Calibri" w:hAnsi="Calibri"/>
          <w:b w:val="0"/>
          <w:i w:val="0"/>
          <w:color w:val="161829"/>
          <w:sz w:val="22"/>
        </w:rPr>
        <w:t xml:space="preserve"> faulting it for lacking wet-lab work, that would be inappropriate. But the manuscript should either (a) be honestly relabeled as a modeling/technical report, or (b) if the authors truly want a systematic-review component (e.g., pooling the norovirus attack-rate or household-SAR literature), build that component properly. As written, the "meta_analysis" subtype is simply incorrect, and a reader arriving with meta-analysis expectations will be misled.</w:t>
      </w:r>
    </w:p>
    <w:p>
      <w:pPr>
        <w:spacing w:before="0" w:after="120"/>
      </w:pPr>
      <w:r>
        <w:rPr>
          <w:rFonts w:ascii="Calibri" w:hAnsi="Calibri"/>
          <w:b w:val="0"/>
          <w:i w:val="0"/>
          <w:color w:val="161829"/>
          <w:sz w:val="22"/>
        </w:rPr>
        <w:t>A secondary scope problem is that the manuscript repeatedly oscillates between "CTB the platform" and "CTB the cruise norovirus result." The authors deserve credit for repeatedly disclaiming that naval/offshore conclusions are not supported, but the platform-generalizability material (Section 6, Tables 3-4) reads as software documentation grafted onto a scientific argument. I would tighten the boundary: this is a cruise-norovirus calibration and intervention-economics paper, and the platform should be a brief enabling description, not a co-equal subject.</w:t>
      </w:r>
    </w:p>
    <w:p>
      <w:pPr>
        <w:spacing w:before="280" w:after="120"/>
      </w:pPr>
      <w:r>
        <w:rPr>
          <w:rFonts w:ascii="Calibri" w:hAnsi="Calibri"/>
          <w:b/>
          <w:i w:val="0"/>
          <w:color w:val="163666"/>
          <w:sz w:val="25"/>
        </w:rPr>
        <w:t>2. Strengths of the Synthesis</w:t>
      </w:r>
    </w:p>
    <w:p>
      <w:pPr>
        <w:ind w:left="259" w:hanging="259"/>
      </w:pPr>
      <w:r>
        <w:rPr>
          <w:rFonts w:ascii="Calibri" w:hAnsi="Calibri"/>
          <w:b/>
          <w:i w:val="0"/>
          <w:color w:val="161829"/>
          <w:sz w:val="22"/>
        </w:rPr>
        <w:t xml:space="preserve">1. </w:t>
      </w:r>
      <w:r>
        <w:rPr>
          <w:rFonts w:ascii="Calibri" w:hAnsi="Calibri"/>
          <w:b w:val="0"/>
          <w:i w:val="0"/>
          <w:color w:val="161829"/>
          <w:sz w:val="22"/>
        </w:rPr>
        <w:t>The effective-index reframing is the paper's best contribution. Distinguishing PCR positivity from transmission competence from operational effectiveness (Section 3.1) is a genuinely useful conceptual move that reorganizes how one should think about embarkation screening. This is the kind of framework that justifies a review-style synthesis.</w:t>
      </w:r>
    </w:p>
    <w:p>
      <w:pPr>
        <w:ind w:left="259" w:hanging="259"/>
      </w:pPr>
      <w:r>
        <w:rPr>
          <w:rFonts w:ascii="Calibri" w:hAnsi="Calibri"/>
          <w:b/>
          <w:i w:val="0"/>
          <w:color w:val="161829"/>
          <w:sz w:val="22"/>
        </w:rPr>
        <w:t xml:space="preserve">2. </w:t>
      </w:r>
      <w:r>
        <w:rPr>
          <w:rFonts w:ascii="Calibri" w:hAnsi="Calibri"/>
          <w:b w:val="0"/>
          <w:i w:val="0"/>
          <w:color w:val="161829"/>
          <w:sz w:val="22"/>
        </w:rPr>
        <w:t xml:space="preserve">Honest epistemics about fitted parameters. The manuscript repeatedly and correctly flags that n_eff, k, R0, and susceptibility are </w:t>
      </w:r>
      <w:r>
        <w:rPr>
          <w:rFonts w:ascii="Calibri" w:hAnsi="Calibri"/>
          <w:b w:val="0"/>
          <w:i/>
          <w:color w:val="161829"/>
          <w:sz w:val="22"/>
        </w:rPr>
        <w:t>fitted to outbreak rarity</w:t>
      </w:r>
      <w:r>
        <w:rPr>
          <w:rFonts w:ascii="Calibri" w:hAnsi="Calibri"/>
          <w:b w:val="0"/>
          <w:i w:val="0"/>
          <w:color w:val="161829"/>
          <w:sz w:val="22"/>
        </w:rPr>
        <w:t>, not measured. The discussion's limitations section and the "validation priorities" subsection are unusually candid. This is exactly the balance I want to see and it is rare.</w:t>
      </w:r>
    </w:p>
    <w:p>
      <w:pPr>
        <w:ind w:left="259" w:hanging="259"/>
      </w:pPr>
      <w:r>
        <w:rPr>
          <w:rFonts w:ascii="Calibri" w:hAnsi="Calibri"/>
          <w:b/>
          <w:i w:val="0"/>
          <w:color w:val="161829"/>
          <w:sz w:val="22"/>
        </w:rPr>
        <w:t xml:space="preserve">3. </w:t>
      </w:r>
      <w:r>
        <w:rPr>
          <w:rFonts w:ascii="Calibri" w:hAnsi="Calibri"/>
          <w:b w:val="0"/>
          <w:i w:val="0"/>
          <w:color w:val="161829"/>
          <w:sz w:val="22"/>
        </w:rPr>
        <w:t>The pooling section refuses to overclaim. The explicit statement that no empirical pooled-norovirus PCR/LAMP validation exists, and that the analysis is a SARS-CoV-2-derived extrapolation, is the correct scientific posture. The breakeven-cost framing (sub-dollar fully loaded assay) gives a concrete, falsifiable target.</w:t>
      </w:r>
    </w:p>
    <w:p>
      <w:pPr>
        <w:ind w:left="259" w:hanging="259"/>
      </w:pPr>
      <w:r>
        <w:rPr>
          <w:rFonts w:ascii="Calibri" w:hAnsi="Calibri"/>
          <w:b/>
          <w:i w:val="0"/>
          <w:color w:val="161829"/>
          <w:sz w:val="22"/>
        </w:rPr>
        <w:t xml:space="preserve">4. </w:t>
      </w:r>
      <w:r>
        <w:rPr>
          <w:rFonts w:ascii="Calibri" w:hAnsi="Calibri"/>
          <w:b w:val="0"/>
          <w:i w:val="0"/>
          <w:color w:val="161829"/>
          <w:sz w:val="22"/>
        </w:rPr>
        <w:t>Seasonal and gated enrichment logic is well integrated. Connecting the ~43% Jan-March concentration to a conditional-screening recommendation, and tying cabin/travel-group structure to post-signal enrichment rather than universal screening, is a coherent synthesis that maps cleanly onto the cited cruise outbreak literature.</w:t>
      </w:r>
    </w:p>
    <w:p>
      <w:pPr>
        <w:spacing w:before="280" w:after="120"/>
      </w:pPr>
      <w:r>
        <w:rPr>
          <w:rFonts w:ascii="Calibri" w:hAnsi="Calibri"/>
          <w:b/>
          <w:i w:val="0"/>
          <w:color w:val="163666"/>
          <w:sz w:val="25"/>
        </w:rPr>
        <w:t>3. Major Gaps, Omissions, or Imbalances</w:t>
      </w:r>
    </w:p>
    <w:p>
      <w:pPr>
        <w:ind w:left="259" w:hanging="259"/>
      </w:pPr>
      <w:r>
        <w:rPr>
          <w:rFonts w:ascii="Calibri" w:hAnsi="Calibri"/>
          <w:b/>
          <w:i w:val="0"/>
          <w:color w:val="161829"/>
          <w:sz w:val="22"/>
        </w:rPr>
        <w:t xml:space="preserve">1. </w:t>
      </w:r>
      <w:r>
        <w:rPr>
          <w:rFonts w:ascii="Calibri" w:hAnsi="Calibri"/>
          <w:b w:val="0"/>
          <w:i w:val="0"/>
          <w:color w:val="161829"/>
          <w:sz w:val="22"/>
        </w:rPr>
        <w:t xml:space="preserve">The overdispersion methodology is under-cited relative to its centrality. The entire reconciliation hinges on a negative-binomial offspring model with k≈0.10, yet the synthesis does not engage Endo et al. (2020, doi:10.12688/wellcomeopenres.15842.1), whose branching-process estimation of k from outbreak </w:t>
      </w:r>
      <w:r>
        <w:rPr>
          <w:rFonts w:ascii="Calibri" w:hAnsi="Calibri"/>
          <w:b w:val="0"/>
          <w:i/>
          <w:color w:val="161829"/>
          <w:sz w:val="22"/>
        </w:rPr>
        <w:t>sizes</w:t>
      </w:r>
      <w:r>
        <w:rPr>
          <w:rFonts w:ascii="Calibri" w:hAnsi="Calibri"/>
          <w:b w:val="0"/>
          <w:i w:val="0"/>
          <w:color w:val="161829"/>
          <w:sz w:val="22"/>
        </w:rPr>
        <w:t xml:space="preserve"> is essentially the methodological template the authors are using. This paper should be cited where you justify estimating k from VSP outbreak data, because it establishes both the feasibility and the pitfalls of inferring dispersion from aggregate outbreak counts. Omitting it leaves your central inference looking ad hoc.</w:t>
      </w:r>
    </w:p>
    <w:p>
      <w:pPr>
        <w:ind w:left="259" w:hanging="259"/>
      </w:pPr>
      <w:r>
        <w:rPr>
          <w:rFonts w:ascii="Calibri" w:hAnsi="Calibri"/>
          <w:b/>
          <w:i w:val="0"/>
          <w:color w:val="161829"/>
          <w:sz w:val="22"/>
        </w:rPr>
        <w:t xml:space="preserve">2. </w:t>
      </w:r>
      <w:r>
        <w:rPr>
          <w:rFonts w:ascii="Calibri" w:hAnsi="Calibri"/>
          <w:b w:val="0"/>
          <w:i w:val="0"/>
          <w:color w:val="161829"/>
          <w:sz w:val="22"/>
        </w:rPr>
        <w:t>No engagement with critiques of the negative-binomial offspring assumption. You commit to NB with a single k, but Zhao et al. (2022, doi:10.1371/journal.pcbi.1010281) argue the NB imposes unrealistic structure (forcing some individuals to near-zero infectiousness) and propose the Delaporte decomposition into fixed and variable components. Given that your whole filter cascade multiplies an extinction factor derived from k, the choice of offspring distribution is not a detail, it materially changes the extinction probability. A balanced review must at least acknowledge this alternative and state why NB is adequate here.</w:t>
      </w:r>
    </w:p>
    <w:p>
      <w:pPr>
        <w:ind w:left="259" w:hanging="259"/>
      </w:pPr>
      <w:r>
        <w:rPr>
          <w:rFonts w:ascii="Calibri" w:hAnsi="Calibri"/>
          <w:b/>
          <w:i w:val="0"/>
          <w:color w:val="161829"/>
          <w:sz w:val="22"/>
        </w:rPr>
        <w:t xml:space="preserve">3. </w:t>
      </w:r>
      <w:r>
        <w:rPr>
          <w:rFonts w:ascii="Calibri" w:hAnsi="Calibri"/>
          <w:b w:val="0"/>
          <w:i w:val="0"/>
          <w:color w:val="161829"/>
          <w:sz w:val="22"/>
        </w:rPr>
        <w:t>The superspreading framing is asserted without its conceptual anchor. You invoke clustered, overdispersed transmission as filter #2, but you do not cite Althouse et al. (2020, doi:10.1371/journal.pbio.3000897), which specifically characterizes cruise ships as a canonical superspreading setting and argues for targeting SSEs rather than uniform interventions. This is precisely your policy conclusion (enrich the target, don't screen everyone), so its absence is a missed opportunity to ground your recommendation in the field's own framework.</w:t>
      </w:r>
    </w:p>
    <w:p>
      <w:pPr>
        <w:ind w:left="259" w:hanging="259"/>
      </w:pPr>
      <w:r>
        <w:rPr>
          <w:rFonts w:ascii="Calibri" w:hAnsi="Calibri"/>
          <w:b/>
          <w:i w:val="0"/>
          <w:color w:val="161829"/>
          <w:sz w:val="22"/>
        </w:rPr>
        <w:t xml:space="preserve">4. </w:t>
      </w:r>
      <w:r>
        <w:rPr>
          <w:rFonts w:ascii="Calibri" w:hAnsi="Calibri"/>
          <w:b/>
          <w:i w:val="0"/>
          <w:color w:val="161829"/>
          <w:sz w:val="22"/>
        </w:rPr>
        <w:t>The ABM literature is almost entirely absent, which is indefensible for a paper whose platform *is* an ABM.</w:t>
      </w:r>
      <w:r>
        <w:rPr>
          <w:rFonts w:ascii="Calibri" w:hAnsi="Calibri"/>
          <w:b w:val="0"/>
          <w:i w:val="0"/>
          <w:color w:val="161829"/>
          <w:sz w:val="22"/>
        </w:rPr>
        <w:t xml:space="preserve"> You cite none of the comparable infectious-disease ABMs. Kerkmann et al. (2024, arXiv:2410.08050) is a direct methodological precedent for evaluating test-and-isolation strategies with realistic contact behavior; Hunter et al. (2018, doi:10.1371/journal.pone.0208775) is an open-data ABM with extensive validation discussion. Most damaging, Pan et al. (2026, doi:10.1016/j.tbs.2026.101232) appears to be an agent-based model of cruise-ship design for health outcomes, a near-neighbor you do not engage at all. A review-style synthesis cannot position itself in the field while ignoring the field's own modeling output.</w:t>
      </w:r>
    </w:p>
    <w:p>
      <w:pPr>
        <w:ind w:left="259" w:hanging="259"/>
      </w:pPr>
      <w:r>
        <w:rPr>
          <w:rFonts w:ascii="Calibri" w:hAnsi="Calibri"/>
          <w:b/>
          <w:i w:val="0"/>
          <w:color w:val="161829"/>
          <w:sz w:val="22"/>
        </w:rPr>
        <w:t xml:space="preserve">5. </w:t>
      </w:r>
      <w:r>
        <w:rPr>
          <w:rFonts w:ascii="Calibri" w:hAnsi="Calibri"/>
          <w:b w:val="0"/>
          <w:i w:val="0"/>
          <w:color w:val="161829"/>
          <w:sz w:val="22"/>
        </w:rPr>
        <w:t>No methodological grounding for calibration and identifiability. You fit four interacting parameters (R0, k, s, n_eff) to two summary constraints (baseline rate, emergence spike). This is structurally underdetermined, many parameter combinations will hit two targets, yet there is no identifiability discussion. Chowell (2017, doi:10.1016/j.idm.2017.08.001) is the natural reference for parameter identifiability and uncertainty propagation in outbreak-model calibration and should be cited where you present the "best practical parameter set." As written, the grid showing two near-equivalent fits (k=0.10 vs k=0.05, n_eff=0.035 vs 0.06) is itself evidence of non-identifiability that you note but do not formally address.</w:t>
      </w:r>
    </w:p>
    <w:p>
      <w:pPr>
        <w:ind w:left="259" w:hanging="259"/>
      </w:pPr>
      <w:r>
        <w:rPr>
          <w:rFonts w:ascii="Calibri" w:hAnsi="Calibri"/>
          <w:b/>
          <w:i w:val="0"/>
          <w:color w:val="161829"/>
          <w:sz w:val="22"/>
        </w:rPr>
        <w:t xml:space="preserve">6. </w:t>
      </w:r>
      <w:r>
        <w:rPr>
          <w:rFonts w:ascii="Calibri" w:hAnsi="Calibri"/>
          <w:b w:val="0"/>
          <w:i w:val="0"/>
          <w:color w:val="161829"/>
          <w:sz w:val="22"/>
        </w:rPr>
        <w:t>The "Edison trajectory" apparatus is not citable evidence. A large fraction of the load-bearing quantitative claims (n_eff, the 0.03% transmission-competent fraction, all cost-effectiveness numbers) are sourced to internal identifiers like "Edison: 017ace52." For external publication these are unreviewable. Every such claim must be re-anchored to either the manuscript's own reproducible methods/code or to a citable source. This is the single biggest barrier to taking the numbers at face value.</w:t>
      </w:r>
    </w:p>
    <w:p>
      <w:pPr>
        <w:ind w:left="259" w:hanging="259"/>
      </w:pPr>
      <w:r>
        <w:rPr>
          <w:rFonts w:ascii="Calibri" w:hAnsi="Calibri"/>
          <w:b/>
          <w:i w:val="0"/>
          <w:color w:val="161829"/>
          <w:sz w:val="22"/>
        </w:rPr>
        <w:t xml:space="preserve">7. </w:t>
      </w:r>
      <w:r>
        <w:rPr>
          <w:rFonts w:ascii="Calibri" w:hAnsi="Calibri"/>
          <w:b w:val="0"/>
          <w:i w:val="0"/>
          <w:color w:val="161829"/>
          <w:sz w:val="22"/>
        </w:rPr>
        <w:t>Genotype-specific severity is under-exploited despite being available. You cite Preston et al. (2026) only as a surveillance abstract, but its core finding, GII.4 causes more severe symptoms and longer duration than GII.17, bears directly on your cost model, since cost-per-case depends on severity. Folding genotype-conditional severity into the cost-effectiveness layer would strengthen the emergence-period analysis rather than treating GII.4 emergence purely as a susceptibility increase.</w:t>
      </w:r>
    </w:p>
    <w:p>
      <w:pPr>
        <w:ind w:left="259" w:hanging="259"/>
      </w:pPr>
      <w:r>
        <w:rPr>
          <w:rFonts w:ascii="Calibri" w:hAnsi="Calibri"/>
          <w:b/>
          <w:i w:val="0"/>
          <w:color w:val="161829"/>
          <w:sz w:val="22"/>
        </w:rPr>
        <w:t xml:space="preserve">8. </w:t>
      </w:r>
      <w:r>
        <w:rPr>
          <w:rFonts w:ascii="Calibri" w:hAnsi="Calibri"/>
          <w:b w:val="0"/>
          <w:i w:val="0"/>
          <w:color w:val="161829"/>
          <w:sz w:val="22"/>
        </w:rPr>
        <w:t>Norovirus pathogenesis synthesis is thin. Karst (2010, doi:10.3390/v2030748) is a foundational review of norovirus transmission biology in semi-closed communities. Your shedding-phase model would be better grounded by engaging the pathogenesis literature explicitly rather than relying primarily on challenge-study shedding curves.</w:t>
      </w:r>
    </w:p>
    <w:p>
      <w:pPr>
        <w:spacing w:before="280" w:after="120"/>
      </w:pPr>
      <w:r>
        <w:rPr>
          <w:rFonts w:ascii="Calibri" w:hAnsi="Calibri"/>
          <w:b/>
          <w:i w:val="0"/>
          <w:color w:val="163666"/>
          <w:sz w:val="25"/>
        </w:rPr>
        <w:t>4. Structural Revisions Needed</w:t>
      </w:r>
    </w:p>
    <w:p>
      <w:pPr>
        <w:ind w:left="432" w:hanging="259"/>
      </w:pPr>
      <w:r>
        <w:rPr>
          <w:rFonts w:ascii="Calibri" w:hAnsi="Calibri"/>
          <w:b/>
          <w:i w:val="0"/>
          <w:color w:val="161829"/>
          <w:sz w:val="22"/>
        </w:rPr>
        <w:t xml:space="preserve">A. </w:t>
      </w:r>
      <w:r>
        <w:rPr>
          <w:rFonts w:ascii="Calibri" w:hAnsi="Calibri"/>
          <w:b w:val="0"/>
          <w:i w:val="0"/>
          <w:color w:val="161829"/>
          <w:sz w:val="22"/>
        </w:rPr>
        <w:t>Relabel the article type. Drop "meta-analysis." This is a modeling/technical report with an embedded narrative review. If you want a systematic component, formally pool one quantity (e.g., norovirus household secondary attack rate, or cruise passenger attack rate) with a documented search and heterogeneity assessment, otherwise remove the meta-analysis claim entirely.</w:t>
      </w:r>
    </w:p>
    <w:p>
      <w:pPr>
        <w:ind w:left="432" w:hanging="259"/>
      </w:pPr>
      <w:r>
        <w:rPr>
          <w:rFonts w:ascii="Calibri" w:hAnsi="Calibri"/>
          <w:b/>
          <w:i w:val="0"/>
          <w:color w:val="161829"/>
          <w:sz w:val="22"/>
        </w:rPr>
        <w:t xml:space="preserve">B. </w:t>
      </w:r>
      <w:r>
        <w:rPr>
          <w:rFonts w:ascii="Calibri" w:hAnsi="Calibri"/>
          <w:b w:val="0"/>
          <w:i w:val="0"/>
          <w:color w:val="161829"/>
          <w:sz w:val="22"/>
        </w:rPr>
        <w:t>Replace internal trajectory identifiers with reproducible anchors. Either cite the public repository commit/script that generates each number, or move the methods detail into a proper Methods section. No externally published claim should depend on "Edison: 45145a15."</w:t>
      </w:r>
    </w:p>
    <w:p>
      <w:pPr>
        <w:ind w:left="432" w:hanging="259"/>
      </w:pPr>
      <w:r>
        <w:rPr>
          <w:rFonts w:ascii="Calibri" w:hAnsi="Calibri"/>
          <w:b/>
          <w:i w:val="0"/>
          <w:color w:val="161829"/>
          <w:sz w:val="22"/>
        </w:rPr>
        <w:t xml:space="preserve">C. </w:t>
      </w:r>
      <w:r>
        <w:rPr>
          <w:rFonts w:ascii="Calibri" w:hAnsi="Calibri"/>
          <w:b w:val="0"/>
          <w:i w:val="0"/>
          <w:color w:val="161829"/>
          <w:sz w:val="22"/>
        </w:rPr>
        <w:t>Add an identifiability/uncertainty subsection to Section 3.4. Show the parameter space consistent with your two calibration targets, not a single point. Cite Chowell (2017) and present the two competing grid solutions as a sensitivity range, not a footnote.</w:t>
      </w:r>
    </w:p>
    <w:p>
      <w:pPr>
        <w:ind w:left="432" w:hanging="259"/>
      </w:pPr>
      <w:r>
        <w:rPr>
          <w:rFonts w:ascii="Calibri" w:hAnsi="Calibri"/>
          <w:b/>
          <w:i w:val="0"/>
          <w:color w:val="161829"/>
          <w:sz w:val="22"/>
        </w:rPr>
        <w:t xml:space="preserve">D. </w:t>
      </w:r>
      <w:r>
        <w:rPr>
          <w:rFonts w:ascii="Calibri" w:hAnsi="Calibri"/>
          <w:b w:val="0"/>
          <w:i w:val="0"/>
          <w:color w:val="161829"/>
          <w:sz w:val="22"/>
        </w:rPr>
        <w:t>Integrate the ABM and superspreading literature into a proper "prior work" frame. A short comparative table positioning CTB against Kerkmann, Hunter, Kou, and Pan (contact structure, calibration target, interventions modeled, validation status) would do more for the paper's credibility than the current platform-capability tables. This is the synthesis move the manuscript is currently missing.</w:t>
      </w:r>
    </w:p>
    <w:p>
      <w:pPr>
        <w:ind w:left="432" w:hanging="259"/>
      </w:pPr>
      <w:r>
        <w:rPr>
          <w:rFonts w:ascii="Calibri" w:hAnsi="Calibri"/>
          <w:b/>
          <w:i w:val="0"/>
          <w:color w:val="161829"/>
          <w:sz w:val="22"/>
        </w:rPr>
        <w:t xml:space="preserve">E. </w:t>
      </w:r>
      <w:r>
        <w:rPr>
          <w:rFonts w:ascii="Calibri" w:hAnsi="Calibri"/>
          <w:b w:val="0"/>
          <w:i w:val="0"/>
          <w:color w:val="161829"/>
          <w:sz w:val="22"/>
        </w:rPr>
        <w:t>Consolidate the intervention sections. Wearables (4.1), enhanced response (4.2), and screening (4.3-5.x) are interleaved with the executive summary and discussion in a way that forces re-reading. Present one intervention-comparison table with effect, cost, and evidence-strength columns, and let the prose discuss tradeoffs.</w:t>
      </w:r>
    </w:p>
    <w:p>
      <w:pPr>
        <w:ind w:left="432" w:hanging="259"/>
      </w:pPr>
      <w:r>
        <w:rPr>
          <w:rFonts w:ascii="Calibri" w:hAnsi="Calibri"/>
          <w:b/>
          <w:i w:val="0"/>
          <w:color w:val="161829"/>
          <w:sz w:val="22"/>
        </w:rPr>
        <w:t xml:space="preserve">F. </w:t>
      </w:r>
      <w:r>
        <w:rPr>
          <w:rFonts w:ascii="Calibri" w:hAnsi="Calibri"/>
          <w:b w:val="0"/>
          <w:i w:val="0"/>
          <w:color w:val="161829"/>
          <w:sz w:val="22"/>
        </w:rPr>
        <w:t>Tighten the executive summary. It currently restates the discussion almost verbatim. Either make it a true one-paragraph abstract-of-the-abstract or remove it.</w:t>
      </w:r>
    </w:p>
    <w:p>
      <w:pPr>
        <w:spacing w:before="280" w:after="120"/>
      </w:pPr>
      <w:r>
        <w:rPr>
          <w:rFonts w:ascii="Calibri" w:hAnsi="Calibri"/>
          <w:b/>
          <w:i w:val="0"/>
          <w:color w:val="163666"/>
          <w:sz w:val="25"/>
        </w:rPr>
        <w:t>5. Journal Fit &amp; Publication Potential</w:t>
      </w:r>
    </w:p>
    <w:p>
      <w:pPr>
        <w:spacing w:before="0" w:after="120"/>
      </w:pPr>
      <w:r>
        <w:rPr>
          <w:rFonts w:ascii="Calibri" w:hAnsi="Calibri"/>
          <w:b w:val="0"/>
          <w:i w:val="0"/>
          <w:color w:val="161829"/>
          <w:sz w:val="22"/>
        </w:rPr>
        <w:t xml:space="preserve">For the stated target, PLOS ONE is a realistic and appropriate home, </w:t>
      </w:r>
      <w:r>
        <w:rPr>
          <w:rFonts w:ascii="Calibri" w:hAnsi="Calibri"/>
          <w:b w:val="0"/>
          <w:i/>
          <w:color w:val="161829"/>
          <w:sz w:val="22"/>
        </w:rPr>
        <w:t>provided</w:t>
      </w:r>
      <w:r>
        <w:rPr>
          <w:rFonts w:ascii="Calibri" w:hAnsi="Calibri"/>
          <w:b w:val="0"/>
          <w:i w:val="0"/>
          <w:color w:val="161829"/>
          <w:sz w:val="22"/>
        </w:rPr>
        <w:t xml:space="preserve"> the genre is corrected and the internal-trajectory numbers are made reproducible. PLOS ONE judges technical soundness and reproducibility rather than novelty, and a well-documented open-source ABM with an honest calibration and explicit limitations fits that mandate well. The crucial precondition is that every quantitative claim be reconstructable from public code or a citable source, PLOS ONE's data-availability standards will not tolerate "Edison trajectory" sourcing.</w:t>
      </w:r>
    </w:p>
    <w:p>
      <w:pPr>
        <w:spacing w:before="0" w:after="120"/>
      </w:pPr>
      <w:r>
        <w:rPr>
          <w:rFonts w:ascii="Calibri" w:hAnsi="Calibri"/>
          <w:b w:val="0"/>
          <w:i w:val="0"/>
          <w:color w:val="161829"/>
          <w:sz w:val="22"/>
        </w:rPr>
        <w:t xml:space="preserve">Realistic ceiling with focused revision: a specialist modeling venue (e.g., </w:t>
      </w:r>
      <w:r>
        <w:rPr>
          <w:rFonts w:ascii="Calibri" w:hAnsi="Calibri"/>
          <w:b w:val="0"/>
          <w:i/>
          <w:color w:val="161829"/>
          <w:sz w:val="22"/>
        </w:rPr>
        <w:t>Epidemics</w:t>
      </w:r>
      <w:r>
        <w:rPr>
          <w:rFonts w:ascii="Calibri" w:hAnsi="Calibri"/>
          <w:b w:val="0"/>
          <w:i w:val="0"/>
          <w:color w:val="161829"/>
          <w:sz w:val="22"/>
        </w:rPr>
        <w:t xml:space="preserve">, </w:t>
      </w:r>
      <w:r>
        <w:rPr>
          <w:rFonts w:ascii="Calibri" w:hAnsi="Calibri"/>
          <w:b w:val="0"/>
          <w:i/>
          <w:color w:val="161829"/>
          <w:sz w:val="22"/>
        </w:rPr>
        <w:t>Infectious Disease Modelling</w:t>
      </w:r>
      <w:r>
        <w:rPr>
          <w:rFonts w:ascii="Calibri" w:hAnsi="Calibri"/>
          <w:b w:val="0"/>
          <w:i w:val="0"/>
          <w:color w:val="161829"/>
          <w:sz w:val="22"/>
        </w:rPr>
        <w:t xml:space="preserve">, or </w:t>
      </w:r>
      <w:r>
        <w:rPr>
          <w:rFonts w:ascii="Calibri" w:hAnsi="Calibri"/>
          <w:b w:val="0"/>
          <w:i/>
          <w:color w:val="161829"/>
          <w:sz w:val="22"/>
        </w:rPr>
        <w:t>BMC Infectious Diseases</w:t>
      </w:r>
      <w:r>
        <w:rPr>
          <w:rFonts w:ascii="Calibri" w:hAnsi="Calibri"/>
          <w:b w:val="0"/>
          <w:i w:val="0"/>
          <w:color w:val="161829"/>
          <w:sz w:val="22"/>
        </w:rPr>
        <w:t>) is reachable if you (1) add the identifiability analysis, (2) properly position the work against the ABM/superspreading literature, and (3) formalize the calibration as a documented fitting procedure with uncertainty propagation. A higher tier would require something this paper cannot currently offer without new empirical input, namely, the embarkation-cohort validation of n_eff that the authors themselves identify as the key missing study. Fallback if the reproducibility issues cannot be resolved: reframe explicitly as a methods/software descriptor (the platform plus worked cruise example), which lowers the evidentiary bar to "is the tool correctly described and available."</w:t>
      </w:r>
    </w:p>
    <w:p>
      <w:pPr>
        <w:spacing w:before="280" w:after="120"/>
      </w:pPr>
      <w:r>
        <w:rPr>
          <w:rFonts w:ascii="Calibri" w:hAnsi="Calibri"/>
          <w:b/>
          <w:i w:val="0"/>
          <w:color w:val="163666"/>
          <w:sz w:val="25"/>
        </w:rPr>
        <w:t>6. Figures, Tables, and Scholarly Apparatus</w:t>
      </w:r>
    </w:p>
    <w:p>
      <w:pPr>
        <w:spacing w:before="0" w:after="120"/>
      </w:pPr>
      <w:r>
        <w:rPr>
          <w:rFonts w:ascii="Calibri" w:hAnsi="Calibri"/>
          <w:b w:val="0"/>
          <w:i w:val="0"/>
          <w:color w:val="161829"/>
          <w:sz w:val="22"/>
        </w:rPr>
        <w:t>The figures are adequate as illustrations but several do double-duty as evidence without the rigor that requires. Figure 1 (boarding distributions) is fine as binomial arithmetic but should state explicitly that it is deterministic PMF, not simulation output, and the "13 infected threshold" line needs justification. Figure 3 (the filter cascade) is the conceptual heart of the paper, yet the vision analysis correctly flags that the annotated fold-reductions (−100×, −5-10×) lack defined meaning and uncertainty bounds; this figure must carry plausible ranges, not point estimates, since the entire argument is that these filters multiply. Figures 6 and 8 (cost-effectiveness and breakeven) drive the policy conclusions and therefore need uncertainty representation, the current bars and curves imply a precision the fitted model does not have.</w:t>
      </w:r>
    </w:p>
    <w:p>
      <w:pPr>
        <w:spacing w:before="0" w:after="120"/>
      </w:pPr>
      <w:r>
        <w:rPr>
          <w:rFonts w:ascii="Calibri" w:hAnsi="Calibri"/>
          <w:b w:val="0"/>
          <w:i w:val="0"/>
          <w:color w:val="161829"/>
          <w:sz w:val="22"/>
        </w:rPr>
        <w:t>On apparatus: the two genuinely useful tables are the calibration-parameter table (Table 2) and the diagnostic cascade (Table 1); keep and foreground these. Tables 3-4 (platform configuration) read as documentation and could move to supplement. What the manuscript most needs and lacks is (a) a prior-work comparison table situating CTB among existing infectious-disease ABMs, and (b) an evidence-strength column on the intervention comparison distinguishing simulation-derived claims from literature-anchored ones. Finally, the "Edison Platform Data Sources" table is the clearest symptom of the genre problem: it lists internal execution traces as if they were a bibliography. For an external venue this must be replaced by a reproducible methods/code reference, or the associated claims cannot stand.</w:t>
      </w:r>
    </w:p>
    <w:p>
      <w:pPr>
        <w:spacing w:before="280" w:after="120"/>
      </w:pPr>
      <w:r>
        <w:rPr>
          <w:rFonts w:ascii="Calibri" w:hAnsi="Calibri"/>
          <w:b/>
          <w:i w:val="0"/>
          <w:color w:val="163666"/>
          <w:sz w:val="25"/>
        </w:rPr>
        <w:t>References</w:t>
      </w:r>
    </w:p>
    <w:p>
      <w:pPr>
        <w:spacing w:before="0" w:after="120"/>
      </w:pPr>
      <w:r>
        <w:rPr>
          <w:rFonts w:ascii="Calibri" w:hAnsi="Calibri"/>
          <w:b w:val="0"/>
          <w:i w:val="0"/>
          <w:color w:val="161829"/>
          <w:sz w:val="22"/>
        </w:rPr>
        <w:t>_The literature this review draws on. These are the reviewer's sources, not your manuscript's own reference list (which is screened separately in the Reference Integrity Check)._</w:t>
      </w:r>
    </w:p>
    <w:p>
      <w:pPr>
        <w:ind w:left="259" w:hanging="259"/>
      </w:pPr>
      <w:r>
        <w:rPr>
          <w:rFonts w:ascii="Calibri" w:hAnsi="Calibri"/>
          <w:b/>
          <w:i w:val="0"/>
          <w:color w:val="161829"/>
          <w:sz w:val="22"/>
        </w:rPr>
        <w:t xml:space="preserve">1. </w:t>
      </w:r>
      <w:r>
        <w:rPr>
          <w:rFonts w:ascii="Calibri" w:hAnsi="Calibri"/>
          <w:b w:val="0"/>
          <w:i w:val="0"/>
          <w:color w:val="161829"/>
          <w:sz w:val="22"/>
        </w:rPr>
        <w:t>Stephanie M. Karst (2010). Pathogenesis of Noroviruses, Emerging RNA Viruses. doi:10.3390/v2030748</w:t>
      </w:r>
    </w:p>
    <w:p>
      <w:pPr>
        <w:ind w:left="259" w:hanging="259"/>
      </w:pPr>
      <w:r>
        <w:rPr>
          <w:rFonts w:ascii="Calibri" w:hAnsi="Calibri"/>
          <w:b/>
          <w:i w:val="0"/>
          <w:color w:val="161829"/>
          <w:sz w:val="22"/>
        </w:rPr>
        <w:t xml:space="preserve">2. </w:t>
      </w:r>
      <w:r>
        <w:rPr>
          <w:rFonts w:ascii="Calibri" w:hAnsi="Calibri"/>
          <w:b w:val="0"/>
          <w:i w:val="0"/>
          <w:color w:val="161829"/>
          <w:sz w:val="22"/>
        </w:rPr>
        <w:t>G. Chowell (2017). Fitting dynamic models to epidemic outbreaks with quantified uncertainty: A Primer for parameter uncertainty, identifiability, and forecasts. doi:10.1016/j.idm.2017.08.001</w:t>
      </w:r>
    </w:p>
    <w:p>
      <w:pPr>
        <w:ind w:left="259" w:hanging="259"/>
      </w:pPr>
      <w:r>
        <w:rPr>
          <w:rFonts w:ascii="Calibri" w:hAnsi="Calibri"/>
          <w:b/>
          <w:i w:val="0"/>
          <w:color w:val="161829"/>
          <w:sz w:val="22"/>
        </w:rPr>
        <w:t xml:space="preserve">3. </w:t>
      </w:r>
      <w:r>
        <w:rPr>
          <w:rFonts w:ascii="Calibri" w:hAnsi="Calibri"/>
          <w:b w:val="0"/>
          <w:i w:val="0"/>
          <w:color w:val="161829"/>
          <w:sz w:val="22"/>
        </w:rPr>
        <w:t>Elizabeth Hunter et al. (2018). An open-data-driven agent-based model to simulate infectious disease outbreaks. doi:10.1371/journal.pone.0208775</w:t>
      </w:r>
    </w:p>
    <w:p>
      <w:pPr>
        <w:ind w:left="259" w:hanging="259"/>
      </w:pPr>
      <w:r>
        <w:rPr>
          <w:rFonts w:ascii="Calibri" w:hAnsi="Calibri"/>
          <w:b/>
          <w:i w:val="0"/>
          <w:color w:val="161829"/>
          <w:sz w:val="22"/>
        </w:rPr>
        <w:t xml:space="preserve">4. </w:t>
      </w:r>
      <w:r>
        <w:rPr>
          <w:rFonts w:ascii="Calibri" w:hAnsi="Calibri"/>
          <w:b w:val="0"/>
          <w:i w:val="0"/>
          <w:color w:val="161829"/>
          <w:sz w:val="22"/>
        </w:rPr>
        <w:t>Rui (2018). In: EClinicalMedicine 2-3 (2018), pp. doi:10.1016/j.eclinm.2018.09.001</w:t>
      </w:r>
    </w:p>
    <w:p>
      <w:pPr>
        <w:ind w:left="259" w:hanging="259"/>
      </w:pPr>
      <w:r>
        <w:rPr>
          <w:rFonts w:ascii="Calibri" w:hAnsi="Calibri"/>
          <w:b/>
          <w:i w:val="0"/>
          <w:color w:val="161829"/>
          <w:sz w:val="22"/>
        </w:rPr>
        <w:t xml:space="preserve">5. </w:t>
      </w:r>
      <w:r>
        <w:rPr>
          <w:rFonts w:ascii="Calibri" w:hAnsi="Calibri"/>
          <w:b w:val="0"/>
          <w:i w:val="0"/>
          <w:color w:val="161829"/>
          <w:sz w:val="22"/>
        </w:rPr>
        <w:t>Akira Endo et al. (2020). Estimating the overdispersion in COVID-19 transmission using outbreak sizes outside China. doi:10.12688/wellcomeopenres.15842.1</w:t>
      </w:r>
    </w:p>
    <w:p>
      <w:pPr>
        <w:ind w:left="259" w:hanging="259"/>
      </w:pPr>
      <w:r>
        <w:rPr>
          <w:rFonts w:ascii="Calibri" w:hAnsi="Calibri"/>
          <w:b/>
          <w:i w:val="0"/>
          <w:color w:val="161829"/>
          <w:sz w:val="22"/>
        </w:rPr>
        <w:t xml:space="preserve">6. </w:t>
      </w:r>
      <w:r>
        <w:rPr>
          <w:rFonts w:ascii="Calibri" w:hAnsi="Calibri"/>
          <w:b w:val="0"/>
          <w:i w:val="0"/>
          <w:color w:val="161829"/>
          <w:sz w:val="22"/>
        </w:rPr>
        <w:t>Benjamin M. Althouse et al. (2020). Superspreading events in the transmission dynamics of SARS-CoV-2: Opportunities for interventions and control. doi:10.1371/journal.pbio.3000897</w:t>
      </w:r>
    </w:p>
    <w:p>
      <w:pPr>
        <w:ind w:left="259" w:hanging="259"/>
      </w:pPr>
      <w:r>
        <w:rPr>
          <w:rFonts w:ascii="Calibri" w:hAnsi="Calibri"/>
          <w:b/>
          <w:i w:val="0"/>
          <w:color w:val="161829"/>
          <w:sz w:val="22"/>
        </w:rPr>
        <w:t xml:space="preserve">7. </w:t>
      </w:r>
      <w:r>
        <w:rPr>
          <w:rFonts w:ascii="Calibri" w:hAnsi="Calibri"/>
          <w:b w:val="0"/>
          <w:i w:val="0"/>
          <w:color w:val="161829"/>
          <w:sz w:val="22"/>
        </w:rPr>
        <w:t>K. Jenkins et al. (2021). Acute Gastroenteritis on Cruise Ships — Maritime Illness Database and Reporting System, United States, 2006–2019. doi:10.15585/mmwr.ss7006a1</w:t>
      </w:r>
    </w:p>
    <w:p>
      <w:pPr>
        <w:ind w:left="259" w:hanging="259"/>
      </w:pPr>
      <w:r>
        <w:rPr>
          <w:rFonts w:ascii="Calibri" w:hAnsi="Calibri"/>
          <w:b/>
          <w:i w:val="0"/>
          <w:color w:val="161829"/>
          <w:sz w:val="22"/>
        </w:rPr>
        <w:t xml:space="preserve">8. </w:t>
      </w:r>
      <w:r>
        <w:rPr>
          <w:rFonts w:ascii="Calibri" w:hAnsi="Calibri"/>
          <w:b w:val="0"/>
          <w:i w:val="0"/>
          <w:color w:val="161829"/>
          <w:sz w:val="22"/>
        </w:rPr>
        <w:t>L. Kou et al. (2021). A multi-scale agent-based model of infectious disease transmission to assess the impact of vaccination and non-pharmaceutical interventions: The COVID-19 case. doi:10.1016/j.jnlssr.2021.08.005</w:t>
      </w:r>
    </w:p>
    <w:p>
      <w:pPr>
        <w:ind w:left="259" w:hanging="259"/>
      </w:pPr>
      <w:r>
        <w:rPr>
          <w:rFonts w:ascii="Calibri" w:hAnsi="Calibri"/>
          <w:b/>
          <w:i w:val="0"/>
          <w:color w:val="161829"/>
          <w:sz w:val="22"/>
        </w:rPr>
        <w:t xml:space="preserve">9. </w:t>
      </w:r>
      <w:r>
        <w:rPr>
          <w:rFonts w:ascii="Calibri" w:hAnsi="Calibri"/>
          <w:b w:val="0"/>
          <w:i w:val="0"/>
          <w:color w:val="161829"/>
          <w:sz w:val="22"/>
        </w:rPr>
        <w:t>Daiki (2022). “Factors associated with the detection of norovirus among asymptomatic adults”. doi:10.1016/j.cmi.2021.06.004</w:t>
      </w:r>
    </w:p>
    <w:p>
      <w:pPr>
        <w:ind w:left="259" w:hanging="259"/>
      </w:pPr>
      <w:r>
        <w:rPr>
          <w:rFonts w:ascii="Calibri" w:hAnsi="Calibri"/>
          <w:b/>
          <w:i w:val="0"/>
          <w:color w:val="161829"/>
          <w:sz w:val="22"/>
        </w:rPr>
        <w:t xml:space="preserve">10. </w:t>
      </w:r>
      <w:r>
        <w:rPr>
          <w:rFonts w:ascii="Calibri" w:hAnsi="Calibri"/>
          <w:b w:val="0"/>
          <w:i w:val="0"/>
          <w:color w:val="161829"/>
          <w:sz w:val="22"/>
        </w:rPr>
        <w:t>Lmr Baille and D. Zitterbart (2022). Effectiveness of surface-based detection methods for vessel strike mitigation of North Atlantic right whales. doi:10.3354/esr01202</w:t>
      </w:r>
    </w:p>
    <w:p>
      <w:pPr>
        <w:ind w:left="259" w:hanging="259"/>
      </w:pPr>
      <w:r>
        <w:rPr>
          <w:rFonts w:ascii="Calibri" w:hAnsi="Calibri"/>
          <w:b/>
          <w:i w:val="0"/>
          <w:color w:val="161829"/>
          <w:sz w:val="22"/>
        </w:rPr>
        <w:t xml:space="preserve">11. </w:t>
      </w:r>
      <w:r>
        <w:rPr>
          <w:rFonts w:ascii="Calibri" w:hAnsi="Calibri"/>
          <w:b w:val="0"/>
          <w:i w:val="0"/>
          <w:color w:val="161829"/>
          <w:sz w:val="22"/>
        </w:rPr>
        <w:t>Shi Zhao et al. (2022). Characterizing superspreading potential of infectious disease: Decomposition of individual transmissibility. doi:10.1371/journal.pcbi.1010281</w:t>
      </w:r>
    </w:p>
    <w:p>
      <w:pPr>
        <w:ind w:left="259" w:hanging="259"/>
      </w:pPr>
      <w:r>
        <w:rPr>
          <w:rFonts w:ascii="Calibri" w:hAnsi="Calibri"/>
          <w:b/>
          <w:i w:val="0"/>
          <w:color w:val="161829"/>
          <w:sz w:val="22"/>
        </w:rPr>
        <w:t xml:space="preserve">12. </w:t>
      </w:r>
      <w:r>
        <w:rPr>
          <w:rFonts w:ascii="Calibri" w:hAnsi="Calibri"/>
          <w:b w:val="0"/>
          <w:i w:val="0"/>
          <w:color w:val="161829"/>
          <w:sz w:val="22"/>
        </w:rPr>
        <w:t>David Kerkmann et al. (2024). Agent-based modeling for realistic reproduction of human mobility and contact behavior to evaluate test and isolation strategies in epidemic infectious disease spread. arXiv:2410.08050</w:t>
      </w:r>
    </w:p>
    <w:p>
      <w:pPr>
        <w:ind w:left="259" w:hanging="259"/>
      </w:pPr>
      <w:r>
        <w:rPr>
          <w:rFonts w:ascii="Calibri" w:hAnsi="Calibri"/>
          <w:b/>
          <w:i w:val="0"/>
          <w:color w:val="161829"/>
          <w:sz w:val="22"/>
        </w:rPr>
        <w:t xml:space="preserve">13. </w:t>
      </w:r>
      <w:r>
        <w:rPr>
          <w:rFonts w:ascii="Calibri" w:hAnsi="Calibri"/>
          <w:b w:val="0"/>
          <w:i w:val="0"/>
          <w:color w:val="161829"/>
          <w:sz w:val="22"/>
        </w:rPr>
        <w:t>David Carramiñana et al. (2025). Enhancing healthcare infrastructure resilience through agent-based simulation methods. doi:10.1016/j.comcom.2025.108070</w:t>
      </w:r>
    </w:p>
    <w:p>
      <w:pPr>
        <w:ind w:left="259" w:hanging="259"/>
      </w:pPr>
      <w:r>
        <w:rPr>
          <w:rFonts w:ascii="Calibri" w:hAnsi="Calibri"/>
          <w:b/>
          <w:i w:val="0"/>
          <w:color w:val="161829"/>
          <w:sz w:val="22"/>
        </w:rPr>
        <w:t xml:space="preserve">14. </w:t>
      </w:r>
      <w:r>
        <w:rPr>
          <w:rFonts w:ascii="Calibri" w:hAnsi="Calibri"/>
          <w:b w:val="0"/>
          <w:i w:val="0"/>
          <w:color w:val="161829"/>
          <w:sz w:val="22"/>
        </w:rPr>
        <w:t>T. Chantanasaro et al. (2025). Modeling the effectiveness of RT-PCR, RT-LAMP, and antigen testing strategies for COVID-19 control. doi:10.1186/s12879-025-11793-7</w:t>
      </w:r>
    </w:p>
    <w:p>
      <w:pPr>
        <w:ind w:left="259" w:hanging="259"/>
      </w:pPr>
      <w:r>
        <w:rPr>
          <w:rFonts w:ascii="Calibri" w:hAnsi="Calibri"/>
          <w:b/>
          <w:i w:val="0"/>
          <w:color w:val="161829"/>
          <w:sz w:val="22"/>
        </w:rPr>
        <w:t xml:space="preserve">15. </w:t>
      </w:r>
      <w:r>
        <w:rPr>
          <w:rFonts w:ascii="Calibri" w:hAnsi="Calibri"/>
          <w:b w:val="0"/>
          <w:i w:val="0"/>
          <w:color w:val="161829"/>
          <w:sz w:val="22"/>
        </w:rPr>
        <w:t>Tianyu Du et al. (2025). Numerical simulation and analytical study of ship-bridge collision based on fluid-structure interaction. doi:10.1016/j.oceaneng.2025.121850</w:t>
      </w:r>
    </w:p>
    <w:p>
      <w:pPr>
        <w:ind w:left="259" w:hanging="259"/>
      </w:pPr>
      <w:r>
        <w:rPr>
          <w:rFonts w:ascii="Calibri" w:hAnsi="Calibri"/>
          <w:b/>
          <w:i w:val="0"/>
          <w:color w:val="161829"/>
          <w:sz w:val="22"/>
        </w:rPr>
        <w:t xml:space="preserve">16. </w:t>
      </w:r>
      <w:r>
        <w:rPr>
          <w:rFonts w:ascii="Calibri" w:hAnsi="Calibri"/>
          <w:b w:val="0"/>
          <w:i w:val="0"/>
          <w:color w:val="161829"/>
          <w:sz w:val="22"/>
        </w:rPr>
        <w:t>A. Wolpers et al. (2026). Optimizing Interventions for Agent-Based Infectious Disease Simulations. arXiv:Optimizing Interventions for Agent-Based Infectious Disease</w:t>
      </w:r>
    </w:p>
    <w:p>
      <w:pPr>
        <w:ind w:left="259" w:hanging="259"/>
      </w:pPr>
      <w:r>
        <w:rPr>
          <w:rFonts w:ascii="Calibri" w:hAnsi="Calibri"/>
          <w:b/>
          <w:i w:val="0"/>
          <w:color w:val="161829"/>
          <w:sz w:val="22"/>
        </w:rPr>
        <w:t xml:space="preserve">17. </w:t>
      </w:r>
      <w:r>
        <w:rPr>
          <w:rFonts w:ascii="Calibri" w:hAnsi="Calibri"/>
          <w:b w:val="0"/>
          <w:i w:val="0"/>
          <w:color w:val="161829"/>
          <w:sz w:val="22"/>
        </w:rPr>
        <w:t>Jiayu Pan et al. (2026). Spatial and operational interventions for healthy cruise ship design using agent-based modelling. doi:10.1016/j.tbs.2026.101232</w:t>
      </w:r>
    </w:p>
    <w:p>
      <w:pPr>
        <w:ind w:left="259" w:hanging="259"/>
      </w:pPr>
      <w:r>
        <w:rPr>
          <w:rFonts w:ascii="Calibri" w:hAnsi="Calibri"/>
          <w:b/>
          <w:i w:val="0"/>
          <w:color w:val="161829"/>
          <w:sz w:val="22"/>
        </w:rPr>
        <w:t xml:space="preserve">18. </w:t>
      </w:r>
      <w:r>
        <w:rPr>
          <w:rFonts w:ascii="Calibri" w:hAnsi="Calibri"/>
          <w:b w:val="0"/>
          <w:i w:val="0"/>
          <w:color w:val="161829"/>
          <w:sz w:val="22"/>
        </w:rPr>
        <w:t>Leigh Ellyn Preston et al. (2026). P-2196. Key Differences in Norovirus Genotypes during Cruise Ship Outbreaks, September 1, 2020 to March 31, 2025. doi:10.1093/ofid/ofaf695.2359</w:t>
      </w:r>
    </w:p>
    <w:p>
      <w:pPr>
        <w:ind w:left="259" w:hanging="259"/>
      </w:pPr>
      <w:r>
        <w:rPr>
          <w:rFonts w:ascii="Calibri" w:hAnsi="Calibri"/>
          <w:b/>
          <w:i w:val="0"/>
          <w:color w:val="161829"/>
          <w:sz w:val="22"/>
        </w:rPr>
        <w:t xml:space="preserve">19. </w:t>
      </w:r>
      <w:r>
        <w:rPr>
          <w:rFonts w:ascii="Calibri" w:hAnsi="Calibri"/>
          <w:b w:val="0"/>
          <w:i w:val="0"/>
          <w:color w:val="161829"/>
          <w:sz w:val="22"/>
        </w:rPr>
        <w:t>Nayeon Kim et al. (2026). Agent-Based Simulation Platform for Effectiveness Analysis of Maritime Engagements. doi:10.31818/jknst.2026.3.9.1.44</w:t>
      </w:r>
    </w:p>
    <w:p>
      <w:pPr>
        <w:spacing w:before="280" w:after="120"/>
      </w:pPr>
      <w:r>
        <w:rPr>
          <w:rFonts w:ascii="Calibri" w:hAnsi="Calibri"/>
          <w:b/>
          <w:i w:val="0"/>
          <w:color w:val="163666"/>
          <w:sz w:val="25"/>
        </w:rPr>
        <w:t>Verification Receipt</w:t>
      </w:r>
    </w:p>
    <w:p>
      <w:pPr>
        <w:spacing w:before="0" w:after="120"/>
      </w:pPr>
      <w:r>
        <w:rPr>
          <w:rFonts w:ascii="Calibri" w:hAnsi="Calibri"/>
          <w:b w:val="0"/>
          <w:i w:val="0"/>
          <w:color w:val="161829"/>
          <w:sz w:val="22"/>
        </w:rPr>
        <w:t>What we machine-checked on your submission. These are deterministic checks (not opinions); the detail behind each is in the sections below.</w:t>
      </w:r>
    </w:p>
    <w:p>
      <w:pPr>
        <w:spacing w:before="0" w:after="120"/>
      </w:pPr>
      <w:r>
        <w:rPr>
          <w:rFonts w:ascii="Calibri" w:hAnsi="Calibri"/>
          <w:b w:val="0"/>
          <w:i w:val="0"/>
          <w:color w:val="161829"/>
          <w:sz w:val="22"/>
        </w:rPr>
        <w:t>- No retracted, expression-of-concern, or hijacked-journal references were detected among the 43 reference(s) we could resolve and screen.</w:t>
      </w:r>
    </w:p>
    <w:p>
      <w:pPr>
        <w:spacing w:before="0" w:after="120"/>
      </w:pPr>
      <w:r>
        <w:rPr>
          <w:rFonts w:ascii="Calibri" w:hAnsi="Calibri"/>
          <w:b w:val="0"/>
          <w:i w:val="0"/>
          <w:color w:val="161829"/>
          <w:sz w:val="22"/>
        </w:rPr>
        <w:t>- 1 claim(s) where a cited source may not fully support the statement as written, please review (detail in Citation Accuracy Analysis below).</w:t>
      </w:r>
    </w:p>
    <w:p>
      <w:pPr>
        <w:spacing w:before="0" w:after="120"/>
      </w:pPr>
      <w:r>
        <w:rPr>
          <w:rFonts w:ascii="Calibri" w:hAnsi="Calibri"/>
          <w:b w:val="0"/>
          <w:i w:val="0"/>
          <w:color w:val="161829"/>
          <w:sz w:val="22"/>
        </w:rPr>
        <w:t>_Resolved and screened 43 of 57 references (only references that resolve to a bibliographic record can be auto-screened) and 4 citation-claim pair(s). Items marked to verify are signals for your attention, not verdicts._</w:t>
      </w:r>
    </w:p>
    <w:p>
      <w:pPr>
        <w:spacing w:before="280" w:after="120"/>
      </w:pPr>
      <w:r>
        <w:rPr>
          <w:rFonts w:ascii="Calibri" w:hAnsi="Calibri"/>
          <w:b/>
          <w:i w:val="0"/>
          <w:color w:val="163666"/>
          <w:sz w:val="25"/>
        </w:rPr>
        <w:t>Reference Integrity Check</w:t>
      </w:r>
    </w:p>
    <w:p>
      <w:pPr>
        <w:spacing w:before="0" w:after="120"/>
      </w:pPr>
      <w:r>
        <w:rPr>
          <w:rFonts w:ascii="Calibri" w:hAnsi="Calibri"/>
          <w:b w:val="0"/>
          <w:i w:val="0"/>
          <w:color w:val="161829"/>
          <w:sz w:val="22"/>
        </w:rPr>
        <w:t>_We screen your manuscript's own reference list below; the numbers here are your manuscript's own bibliography, not the sources cited in the review's References list above._</w:t>
      </w:r>
    </w:p>
    <w:p>
      <w:pPr>
        <w:spacing w:before="0" w:after="120"/>
      </w:pPr>
      <w:r>
        <w:rPr>
          <w:rFonts w:ascii="Calibri" w:hAnsi="Calibri"/>
          <w:b/>
          <w:i w:val="0"/>
          <w:color w:val="161829"/>
          <w:sz w:val="22"/>
        </w:rPr>
        <w:t>57 references analyzed</w:t>
      </w:r>
      <w:r>
        <w:rPr>
          <w:rFonts w:ascii="Calibri" w:hAnsi="Calibri"/>
          <w:b w:val="0"/>
          <w:i w:val="0"/>
          <w:color w:val="161829"/>
          <w:sz w:val="22"/>
        </w:rPr>
        <w:t xml:space="preserve"> | 40 verified | 3 minor mismatch(es) | 0 abstract-only | 14 could not confidently match | 0 retracted</w:t>
      </w:r>
    </w:p>
    <w:p>
      <w:pPr>
        <w:spacing w:before="0" w:after="120"/>
      </w:pPr>
      <w:r>
        <w:rPr>
          <w:rFonts w:ascii="Calibri" w:hAnsi="Calibri"/>
          <w:b w:val="0"/>
          <w:i w:val="0"/>
          <w:color w:val="161829"/>
          <w:sz w:val="22"/>
        </w:rPr>
        <w:t>### References Needing Correction or Confirmation</w:t>
      </w:r>
    </w:p>
    <w:p>
      <w:pPr>
        <w:spacing w:before="0" w:after="120"/>
      </w:pPr>
      <w:r>
        <w:rPr>
          <w:rFonts w:ascii="Calibri" w:hAnsi="Calibri"/>
          <w:b w:val="0"/>
          <w:i w:val="0"/>
          <w:color w:val="161829"/>
          <w:sz w:val="22"/>
        </w:rPr>
        <w:t>These entries should be checked manually before submission because the automated matcher could not cleanly confirm the bibliographic record or citation type. A low-confidence match often just means the reference is a book, preprint, thesis, or non-indexed source, not that it is wrong.</w:t>
      </w:r>
    </w:p>
    <w:p>
      <w:pPr>
        <w:spacing w:before="0" w:after="120"/>
      </w:pPr>
      <w:r>
        <w:rPr>
          <w:rFonts w:ascii="Calibri" w:hAnsi="Calibri"/>
          <w:b w:val="0"/>
          <w:i w:val="0"/>
          <w:color w:val="161829"/>
          <w:sz w:val="22"/>
        </w:rPr>
        <w:t>- [5] Rooney, Elaine H - Could not confidently match, please verify</w:t>
      </w:r>
    </w:p>
    <w:p>
      <w:pPr>
        <w:spacing w:before="0" w:after="120"/>
      </w:pPr>
      <w:r>
        <w:rPr>
          <w:rFonts w:ascii="Calibri" w:hAnsi="Calibri"/>
          <w:b w:val="0"/>
          <w:i w:val="0"/>
          <w:color w:val="161829"/>
          <w:sz w:val="22"/>
        </w:rPr>
        <w:t>DOI: 10.1016/j.phr</w:t>
      </w:r>
    </w:p>
    <w:p>
      <w:pPr>
        <w:spacing w:before="0" w:after="120"/>
      </w:pPr>
      <w:r>
        <w:rPr>
          <w:rFonts w:ascii="Calibri" w:hAnsi="Calibri"/>
          <w:b w:val="0"/>
          <w:i w:val="0"/>
          <w:color w:val="161829"/>
          <w:sz w:val="22"/>
        </w:rPr>
        <w:t>Note: DOI not found in CrossRef</w:t>
      </w:r>
    </w:p>
    <w:p>
      <w:pPr>
        <w:spacing w:before="0" w:after="120"/>
      </w:pPr>
      <w:r>
        <w:rPr>
          <w:rFonts w:ascii="Calibri" w:hAnsi="Calibri"/>
          <w:b w:val="0"/>
          <w:i w:val="0"/>
          <w:color w:val="161829"/>
          <w:sz w:val="22"/>
        </w:rPr>
        <w:t>- [7] ” In: Journal of travel medicine 15 3 (3 2008), pp - Could not confidently match, please verify</w:t>
      </w:r>
    </w:p>
    <w:p>
      <w:pPr>
        <w:spacing w:before="0" w:after="120"/>
      </w:pPr>
      <w:r>
        <w:rPr>
          <w:rFonts w:ascii="Calibri" w:hAnsi="Calibri"/>
          <w:b w:val="0"/>
          <w:i w:val="0"/>
          <w:color w:val="161829"/>
          <w:sz w:val="22"/>
        </w:rPr>
        <w:t>DOI: 10.1111/j</w:t>
      </w:r>
    </w:p>
    <w:p>
      <w:pPr>
        <w:spacing w:before="0" w:after="120"/>
      </w:pPr>
      <w:r>
        <w:rPr>
          <w:rFonts w:ascii="Calibri" w:hAnsi="Calibri"/>
          <w:b w:val="0"/>
          <w:i w:val="0"/>
          <w:color w:val="161829"/>
          <w:sz w:val="22"/>
        </w:rPr>
        <w:t>Note: DOI not found in CrossRef</w:t>
      </w:r>
    </w:p>
    <w:p>
      <w:pPr>
        <w:spacing w:before="0" w:after="120"/>
      </w:pPr>
      <w:r>
        <w:rPr>
          <w:rFonts w:ascii="Calibri" w:hAnsi="Calibri"/>
          <w:b w:val="0"/>
          <w:i w:val="0"/>
          <w:color w:val="161829"/>
          <w:sz w:val="22"/>
        </w:rPr>
        <w:t>- [9] Park, Everardo Vega, A - Could not confidently match, please verify</w:t>
      </w:r>
    </w:p>
    <w:p>
      <w:pPr>
        <w:spacing w:before="0" w:after="120"/>
      </w:pPr>
      <w:r>
        <w:rPr>
          <w:rFonts w:ascii="Calibri" w:hAnsi="Calibri"/>
          <w:b w:val="0"/>
          <w:i w:val="0"/>
          <w:color w:val="161829"/>
          <w:sz w:val="22"/>
        </w:rPr>
        <w:t>Note: low_confidence_match</w:t>
      </w:r>
    </w:p>
    <w:p>
      <w:pPr>
        <w:spacing w:before="0" w:after="120"/>
      </w:pPr>
      <w:r>
        <w:rPr>
          <w:rFonts w:ascii="Calibri" w:hAnsi="Calibri"/>
          <w:b w:val="0"/>
          <w:i w:val="0"/>
          <w:color w:val="161829"/>
          <w:sz w:val="22"/>
        </w:rPr>
        <w:t>- [12] In: Clinical Infectious Diseases 65 (5 2017), pp - Could not confidently match, please verify</w:t>
      </w:r>
    </w:p>
    <w:p>
      <w:pPr>
        <w:spacing w:before="0" w:after="120"/>
      </w:pPr>
      <w:r>
        <w:rPr>
          <w:rFonts w:ascii="Calibri" w:hAnsi="Calibri"/>
          <w:b w:val="0"/>
          <w:i w:val="0"/>
          <w:color w:val="161829"/>
          <w:sz w:val="22"/>
        </w:rPr>
        <w:t>Note: low_confidence_match</w:t>
      </w:r>
    </w:p>
    <w:p>
      <w:pPr>
        <w:spacing w:before="0" w:after="120"/>
      </w:pPr>
      <w:r>
        <w:rPr>
          <w:rFonts w:ascii="Calibri" w:hAnsi="Calibri"/>
          <w:b w:val="0"/>
          <w:i w:val="0"/>
          <w:color w:val="161829"/>
          <w:sz w:val="22"/>
        </w:rPr>
        <w:t>- [15] In: Royal Society Open Science 5 (2018) - Could not confidently match, please verify</w:t>
      </w:r>
    </w:p>
    <w:p>
      <w:pPr>
        <w:spacing w:before="0" w:after="120"/>
      </w:pPr>
      <w:r>
        <w:rPr>
          <w:rFonts w:ascii="Calibri" w:hAnsi="Calibri"/>
          <w:b w:val="0"/>
          <w:i w:val="0"/>
          <w:color w:val="161829"/>
          <w:sz w:val="22"/>
        </w:rPr>
        <w:t>DOI: 10.48550/arxiv.1705.10441</w:t>
      </w:r>
    </w:p>
    <w:p>
      <w:pPr>
        <w:spacing w:before="0" w:after="120"/>
      </w:pPr>
      <w:r>
        <w:rPr>
          <w:rFonts w:ascii="Calibri" w:hAnsi="Calibri"/>
          <w:b w:val="0"/>
          <w:i w:val="0"/>
          <w:color w:val="161829"/>
          <w:sz w:val="22"/>
        </w:rPr>
        <w:t>Note: DOI not found in CrossRef</w:t>
      </w:r>
    </w:p>
    <w:p>
      <w:pPr>
        <w:spacing w:before="0" w:after="120"/>
      </w:pPr>
      <w:r>
        <w:rPr>
          <w:rFonts w:ascii="Calibri" w:hAnsi="Calibri"/>
          <w:b w:val="0"/>
          <w:i w:val="0"/>
          <w:color w:val="161829"/>
          <w:sz w:val="22"/>
        </w:rPr>
        <w:t>- [20] Zane Billings, Antone Opekun, Mary Estes, David Graham, Juan Leon, et al. Eﬀect of Norovirus Inoculum Dose on Virus Kinetics, Shedding, and Symptoms - Could not confidently match, please verify</w:t>
      </w:r>
    </w:p>
    <w:p>
      <w:pPr>
        <w:spacing w:before="0" w:after="120"/>
      </w:pPr>
      <w:r>
        <w:rPr>
          <w:rFonts w:ascii="Calibri" w:hAnsi="Calibri"/>
          <w:b w:val="0"/>
          <w:i w:val="0"/>
          <w:color w:val="161829"/>
          <w:sz w:val="22"/>
        </w:rPr>
        <w:t>DOI: 10.3201/eid2907</w:t>
      </w:r>
    </w:p>
    <w:p>
      <w:pPr>
        <w:spacing w:before="0" w:after="120"/>
      </w:pPr>
      <w:r>
        <w:rPr>
          <w:rFonts w:ascii="Calibri" w:hAnsi="Calibri"/>
          <w:b w:val="0"/>
          <w:i w:val="0"/>
          <w:color w:val="161829"/>
          <w:sz w:val="22"/>
        </w:rPr>
        <w:t>Note: DOI not found in CrossRef</w:t>
      </w:r>
    </w:p>
    <w:p>
      <w:pPr>
        <w:spacing w:before="0" w:after="120"/>
      </w:pPr>
      <w:r>
        <w:rPr>
          <w:rFonts w:ascii="Calibri" w:hAnsi="Calibri"/>
          <w:b w:val="0"/>
          <w:i w:val="0"/>
          <w:color w:val="161829"/>
          <w:sz w:val="22"/>
        </w:rPr>
        <w:t>- [28] Lindesmith, Florencia A - Could not confidently match, please verify</w:t>
      </w:r>
    </w:p>
    <w:p>
      <w:pPr>
        <w:spacing w:before="0" w:after="120"/>
      </w:pPr>
      <w:r>
        <w:rPr>
          <w:rFonts w:ascii="Calibri" w:hAnsi="Calibri"/>
          <w:b w:val="0"/>
          <w:i w:val="0"/>
          <w:color w:val="161829"/>
          <w:sz w:val="22"/>
        </w:rPr>
        <w:t>Note: low_confidence_match</w:t>
      </w:r>
    </w:p>
    <w:p>
      <w:pPr>
        <w:spacing w:before="0" w:after="120"/>
      </w:pPr>
      <w:r>
        <w:rPr>
          <w:rFonts w:ascii="Calibri" w:hAnsi="Calibri"/>
          <w:b w:val="0"/>
          <w:i w:val="0"/>
          <w:color w:val="161829"/>
          <w:sz w:val="22"/>
        </w:rPr>
        <w:t>- [32] Lindesmith, Eric F - Could not confidently match, please verify</w:t>
      </w:r>
    </w:p>
    <w:p>
      <w:pPr>
        <w:spacing w:before="0" w:after="120"/>
      </w:pPr>
      <w:r>
        <w:rPr>
          <w:rFonts w:ascii="Calibri" w:hAnsi="Calibri"/>
          <w:b w:val="0"/>
          <w:i w:val="0"/>
          <w:color w:val="161829"/>
          <w:sz w:val="22"/>
        </w:rPr>
        <w:t>Note: low_confidence_match</w:t>
      </w:r>
    </w:p>
    <w:p>
      <w:pPr>
        <w:spacing w:before="0" w:after="120"/>
      </w:pPr>
      <w:r>
        <w:rPr>
          <w:rFonts w:ascii="Calibri" w:hAnsi="Calibri"/>
          <w:b w:val="0"/>
          <w:i w:val="0"/>
          <w:color w:val="161829"/>
          <w:sz w:val="22"/>
        </w:rPr>
        <w:t>- [47] In: The Lancet Public Health - Could not confidently match, please verify</w:t>
      </w:r>
    </w:p>
    <w:p>
      <w:pPr>
        <w:spacing w:before="0" w:after="120"/>
      </w:pPr>
      <w:r>
        <w:rPr>
          <w:rFonts w:ascii="Calibri" w:hAnsi="Calibri"/>
          <w:b w:val="0"/>
          <w:i w:val="0"/>
          <w:color w:val="161829"/>
          <w:sz w:val="22"/>
        </w:rPr>
        <w:t>DOI: 10.1016/s2468-</w:t>
      </w:r>
    </w:p>
    <w:p>
      <w:pPr>
        <w:spacing w:before="0" w:after="120"/>
      </w:pPr>
      <w:r>
        <w:rPr>
          <w:rFonts w:ascii="Calibri" w:hAnsi="Calibri"/>
          <w:b w:val="0"/>
          <w:i w:val="0"/>
          <w:color w:val="161829"/>
          <w:sz w:val="22"/>
        </w:rPr>
        <w:t>Note: DOI not found in CrossRef</w:t>
      </w:r>
    </w:p>
    <w:p>
      <w:pPr>
        <w:spacing w:before="0" w:after="120"/>
      </w:pPr>
      <w:r>
        <w:rPr>
          <w:rFonts w:ascii="Calibri" w:hAnsi="Calibri"/>
          <w:b w:val="0"/>
          <w:i w:val="0"/>
          <w:color w:val="161829"/>
          <w:sz w:val="22"/>
        </w:rPr>
        <w:t>- [53] Ed- uardo Palma, et al. “Person-to-Person Household and Nosocomial Transmission of Andes Hantavirus, Southern Chile, 2011” - Could not confidently match, please verify</w:t>
      </w:r>
    </w:p>
    <w:p>
      <w:pPr>
        <w:spacing w:before="0" w:after="120"/>
      </w:pPr>
      <w:r>
        <w:rPr>
          <w:rFonts w:ascii="Calibri" w:hAnsi="Calibri"/>
          <w:b w:val="0"/>
          <w:i w:val="0"/>
          <w:color w:val="161829"/>
          <w:sz w:val="22"/>
        </w:rPr>
        <w:t>Note: low_confidence_match</w:t>
      </w:r>
    </w:p>
    <w:p>
      <w:pPr>
        <w:spacing w:before="0" w:after="120"/>
      </w:pPr>
      <w:r>
        <w:rPr>
          <w:rFonts w:ascii="Calibri" w:hAnsi="Calibri"/>
          <w:b w:val="0"/>
          <w:i w:val="0"/>
          <w:color w:val="161829"/>
          <w:sz w:val="22"/>
        </w:rPr>
        <w:t>- [4] to 2020: calling for behaviour change strategies of travellers” - Needs metadata correction</w:t>
      </w:r>
    </w:p>
    <w:p>
      <w:pPr>
        <w:spacing w:before="0" w:after="120"/>
      </w:pPr>
      <w:r>
        <w:rPr>
          <w:rFonts w:ascii="Calibri" w:hAnsi="Calibri"/>
          <w:b w:val="0"/>
          <w:i w:val="0"/>
          <w:color w:val="161829"/>
          <w:sz w:val="22"/>
        </w:rPr>
        <w:t>Resolved title: Systematic literature review and meta-analysis on preventing and controlling norovirus outbreaks on cruise ships, 1990 to 2020: calling for behaviour change strategies of travellers</w:t>
      </w:r>
    </w:p>
    <w:p>
      <w:pPr>
        <w:spacing w:before="0" w:after="120"/>
      </w:pPr>
      <w:r>
        <w:rPr>
          <w:rFonts w:ascii="Calibri" w:hAnsi="Calibri"/>
          <w:b w:val="0"/>
          <w:i w:val="0"/>
          <w:color w:val="161829"/>
          <w:sz w:val="22"/>
        </w:rPr>
        <w:t>Journal/source: Eurosurveillance</w:t>
      </w:r>
    </w:p>
    <w:p>
      <w:pPr>
        <w:spacing w:before="0" w:after="120"/>
      </w:pPr>
      <w:r>
        <w:rPr>
          <w:rFonts w:ascii="Calibri" w:hAnsi="Calibri"/>
          <w:b w:val="0"/>
          <w:i w:val="0"/>
          <w:color w:val="161829"/>
          <w:sz w:val="22"/>
        </w:rPr>
        <w:t>DOI: 10.2807/1560-7917.es.2024.29.10.2300345</w:t>
      </w:r>
    </w:p>
    <w:p>
      <w:pPr>
        <w:spacing w:before="0" w:after="120"/>
      </w:pPr>
      <w:r>
        <w:rPr>
          <w:rFonts w:ascii="Calibri" w:hAnsi="Calibri"/>
          <w:b w:val="0"/>
          <w:i w:val="0"/>
          <w:color w:val="161829"/>
          <w:sz w:val="22"/>
        </w:rPr>
        <w:t>Note: resolved record differs from manuscript title and should be checked</w:t>
      </w:r>
    </w:p>
    <w:p>
      <w:pPr>
        <w:spacing w:before="0" w:after="120"/>
      </w:pPr>
      <w:r>
        <w:rPr>
          <w:rFonts w:ascii="Calibri" w:hAnsi="Calibri"/>
          <w:b w:val="0"/>
          <w:i w:val="0"/>
          <w:color w:val="161829"/>
          <w:sz w:val="22"/>
        </w:rPr>
        <w:t>- [21] Ed. by Adriana Calderaro,</w:t>
      </w:r>
    </w:p>
    <w:p>
      <w:pPr>
        <w:spacing w:before="0" w:after="120"/>
      </w:pPr>
      <w:r>
        <w:rPr>
          <w:rFonts w:ascii="Calibri" w:hAnsi="Calibri"/>
          <w:b w:val="0"/>
          <w:i w:val="0"/>
          <w:color w:val="161829"/>
          <w:sz w:val="22"/>
        </w:rPr>
        <w:t>e0236502. doi: 10.1371/journal.pone.0236502 - Needs metadata correction</w:t>
      </w:r>
    </w:p>
    <w:p>
      <w:pPr>
        <w:spacing w:before="0" w:after="120"/>
      </w:pPr>
      <w:r>
        <w:rPr>
          <w:rFonts w:ascii="Calibri" w:hAnsi="Calibri"/>
          <w:b w:val="0"/>
          <w:i w:val="0"/>
          <w:color w:val="161829"/>
          <w:sz w:val="22"/>
        </w:rPr>
        <w:t>Resolved title: Norovirus transmission mediated by asymptomatic family members in households</w:t>
      </w:r>
    </w:p>
    <w:p>
      <w:pPr>
        <w:spacing w:before="0" w:after="120"/>
      </w:pPr>
      <w:r>
        <w:rPr>
          <w:rFonts w:ascii="Calibri" w:hAnsi="Calibri"/>
          <w:b w:val="0"/>
          <w:i w:val="0"/>
          <w:color w:val="161829"/>
          <w:sz w:val="22"/>
        </w:rPr>
        <w:t>Journal/source: PLOS ONE</w:t>
      </w:r>
    </w:p>
    <w:p>
      <w:pPr>
        <w:spacing w:before="0" w:after="120"/>
      </w:pPr>
      <w:r>
        <w:rPr>
          <w:rFonts w:ascii="Calibri" w:hAnsi="Calibri"/>
          <w:b w:val="0"/>
          <w:i w:val="0"/>
          <w:color w:val="161829"/>
          <w:sz w:val="22"/>
        </w:rPr>
        <w:t>DOI: 10.1371/journal.pone.0236502</w:t>
      </w:r>
    </w:p>
    <w:p>
      <w:pPr>
        <w:spacing w:before="0" w:after="120"/>
      </w:pPr>
      <w:r>
        <w:rPr>
          <w:rFonts w:ascii="Calibri" w:hAnsi="Calibri"/>
          <w:b w:val="0"/>
          <w:i w:val="0"/>
          <w:color w:val="161829"/>
          <w:sz w:val="22"/>
        </w:rPr>
        <w:t>Note: resolved record differs from manuscript title and should be checked</w:t>
      </w:r>
    </w:p>
    <w:p>
      <w:pPr>
        <w:spacing w:before="0" w:after="120"/>
      </w:pPr>
      <w:r>
        <w:rPr>
          <w:rFonts w:ascii="Calibri" w:hAnsi="Calibri"/>
          <w:b w:val="0"/>
          <w:i w:val="0"/>
          <w:color w:val="161829"/>
          <w:sz w:val="22"/>
        </w:rPr>
        <w:t>- [45] In: Clinical Infectious Diseases 71 (16 2020), pp - Needs metadata correction</w:t>
      </w:r>
    </w:p>
    <w:p>
      <w:pPr>
        <w:spacing w:before="0" w:after="120"/>
      </w:pPr>
      <w:r>
        <w:rPr>
          <w:rFonts w:ascii="Calibri" w:hAnsi="Calibri"/>
          <w:b w:val="0"/>
          <w:i w:val="0"/>
          <w:color w:val="161829"/>
          <w:sz w:val="22"/>
        </w:rPr>
        <w:t>Resolved title: Evaluation of COVID-19 RT-qPCR Test in Multi sample Pools</w:t>
      </w:r>
    </w:p>
    <w:p>
      <w:pPr>
        <w:spacing w:before="0" w:after="120"/>
      </w:pPr>
      <w:r>
        <w:rPr>
          <w:rFonts w:ascii="Calibri" w:hAnsi="Calibri"/>
          <w:b w:val="0"/>
          <w:i w:val="0"/>
          <w:color w:val="161829"/>
          <w:sz w:val="22"/>
        </w:rPr>
        <w:t>Journal/source: Clinical Infectious Diseases</w:t>
      </w:r>
    </w:p>
    <w:p>
      <w:pPr>
        <w:spacing w:before="0" w:after="120"/>
      </w:pPr>
      <w:r>
        <w:rPr>
          <w:rFonts w:ascii="Calibri" w:hAnsi="Calibri"/>
          <w:b w:val="0"/>
          <w:i w:val="0"/>
          <w:color w:val="161829"/>
          <w:sz w:val="22"/>
        </w:rPr>
        <w:t>DOI: 10.1093/cid/ciaa531</w:t>
      </w:r>
    </w:p>
    <w:p>
      <w:pPr>
        <w:spacing w:before="0" w:after="120"/>
      </w:pPr>
      <w:r>
        <w:rPr>
          <w:rFonts w:ascii="Calibri" w:hAnsi="Calibri"/>
          <w:b w:val="0"/>
          <w:i w:val="0"/>
          <w:color w:val="161829"/>
          <w:sz w:val="22"/>
        </w:rPr>
        <w:t>Note: resolved record differs from manuscript title and should be checked</w:t>
      </w:r>
    </w:p>
    <w:p>
      <w:pPr>
        <w:spacing w:before="0" w:after="120"/>
      </w:pPr>
      <w:r>
        <w:rPr>
          <w:rFonts w:ascii="Calibri" w:hAnsi="Calibri"/>
          <w:b/>
          <w:i w:val="0"/>
          <w:color w:val="161829"/>
          <w:sz w:val="22"/>
        </w:rPr>
        <w:t>Citation recency:</w:t>
      </w:r>
      <w:r>
        <w:rPr>
          <w:rFonts w:ascii="Calibri" w:hAnsi="Calibri"/>
          <w:b w:val="0"/>
          <w:i w:val="0"/>
          <w:color w:val="161829"/>
          <w:sz w:val="22"/>
        </w:rPr>
        <w:t xml:space="preserve"> 12 refs from last 5 years, 20 from 5-10 years, 20 older than 10 years</w:t>
      </w:r>
    </w:p>
    <w:p>
      <w:pPr>
        <w:spacing w:before="0" w:after="120"/>
      </w:pPr>
      <w:r>
        <w:rPr>
          <w:rFonts w:ascii="Calibri" w:hAnsi="Calibri"/>
          <w:b w:val="0"/>
          <w:i w:val="0"/>
          <w:color w:val="161829"/>
          <w:sz w:val="22"/>
        </w:rPr>
        <w:t>Median citation year: 2018</w:t>
      </w:r>
    </w:p>
    <w:p>
      <w:pPr>
        <w:spacing w:before="280" w:after="120"/>
      </w:pPr>
      <w:r>
        <w:rPr>
          <w:rFonts w:ascii="Calibri" w:hAnsi="Calibri"/>
          <w:b/>
          <w:i w:val="0"/>
          <w:color w:val="163666"/>
          <w:sz w:val="25"/>
        </w:rPr>
        <w:t>Citation Accuracy Analysis</w:t>
      </w:r>
    </w:p>
    <w:p>
      <w:pPr>
        <w:spacing w:before="0" w:after="120"/>
      </w:pPr>
      <w:r>
        <w:rPr>
          <w:rFonts w:ascii="Calibri" w:hAnsi="Calibri"/>
          <w:b/>
          <w:i w:val="0"/>
          <w:color w:val="161829"/>
          <w:sz w:val="22"/>
        </w:rPr>
        <w:t>4 claim-citation pairs checked</w:t>
      </w:r>
      <w:r>
        <w:rPr>
          <w:rFonts w:ascii="Calibri" w:hAnsi="Calibri"/>
          <w:b w:val="0"/>
          <w:i w:val="0"/>
          <w:color w:val="161829"/>
          <w:sz w:val="22"/>
        </w:rPr>
        <w:t xml:space="preserve"> | 0 Supported | 0 Partially Supported | 1 Not Supported | 3 Unable to Verify _(per cited source)_</w:t>
      </w:r>
    </w:p>
    <w:p>
      <w:pPr>
        <w:spacing w:before="0" w:after="120"/>
      </w:pPr>
      <w:r>
        <w:rPr>
          <w:rFonts w:ascii="Calibri" w:hAnsi="Calibri"/>
          <w:b w:val="0"/>
          <w:i w:val="0"/>
          <w:color w:val="161829"/>
          <w:sz w:val="22"/>
        </w:rPr>
        <w:t>_These checks compare each claim against the retrieved abstract of each cited source. They are signals to verify against the full papers, not verdicts. A claim supported by several sources together is not flagged here; only claims where no cited source we could read supports them are listed below._</w:t>
      </w:r>
    </w:p>
    <w:p>
      <w:pPr>
        <w:spacing w:before="0" w:after="120"/>
      </w:pPr>
      <w:r>
        <w:rPr>
          <w:rFonts w:ascii="Calibri" w:hAnsi="Calibri"/>
          <w:b w:val="0"/>
          <w:i w:val="0"/>
          <w:color w:val="161829"/>
          <w:sz w:val="22"/>
        </w:rPr>
        <w:t>_2 of the checks above were additionally verified against the cited paper's open-access full text (Europe PMC); the rest were checked against the abstract, or the source could not be retrieved._</w:t>
      </w:r>
    </w:p>
    <w:p>
      <w:pPr>
        <w:spacing w:before="0" w:after="120"/>
      </w:pPr>
      <w:r>
        <w:rPr>
          <w:rFonts w:ascii="Calibri" w:hAnsi="Calibri"/>
          <w:b w:val="0"/>
          <w:i w:val="0"/>
          <w:color w:val="161829"/>
          <w:sz w:val="22"/>
        </w:rPr>
        <w:t>### Claims to verify against your cited sources</w:t>
      </w:r>
    </w:p>
    <w:p>
      <w:pPr>
        <w:spacing w:before="0" w:after="120"/>
      </w:pPr>
      <w:r>
        <w:rPr>
          <w:rFonts w:ascii="Calibri" w:hAnsi="Calibri"/>
          <w:b/>
          <w:i w:val="0"/>
          <w:color w:val="161829"/>
          <w:sz w:val="22"/>
        </w:rPr>
        <w:t>[Verify]</w:t>
      </w:r>
      <w:r>
        <w:rPr>
          <w:rFonts w:ascii="Calibri" w:hAnsi="Calibri"/>
          <w:b w:val="0"/>
          <w:i w:val="0"/>
          <w:color w:val="161829"/>
          <w:sz w:val="22"/>
        </w:rPr>
        <w:t xml:space="preserve"> "The reconciliation model resolves this prevalence-versus-rarity paradox by decomposing the gap into three ﬁlters: only a small fraction of PCR-positive boarders are in an acute transmission-competent shedding phase, oﬀspring distributions are overdispersed, and standing population immunity reduces the eﬀective reproduction number Edison: 57d0a03 Edison: 017ace52."</w:t>
      </w:r>
    </w:p>
    <w:p>
      <w:pPr>
        <w:spacing w:before="0" w:after="120"/>
      </w:pPr>
      <w:r>
        <w:rPr>
          <w:rFonts w:ascii="Calibri" w:hAnsi="Calibri"/>
          <w:b w:val="0"/>
          <w:i w:val="0"/>
          <w:color w:val="161829"/>
          <w:sz w:val="22"/>
        </w:rPr>
        <w:t>- The cited source(s) we could read do not appear to support this claim; please verify against the full paper(s).</w:t>
      </w:r>
    </w:p>
    <w:p>
      <w:pPr>
        <w:spacing w:before="0" w:after="120"/>
      </w:pPr>
      <w:r>
        <w:rPr>
          <w:rFonts w:ascii="Calibri" w:hAnsi="Calibri"/>
          <w:b w:val="0"/>
          <w:i w:val="0"/>
          <w:color w:val="161829"/>
          <w:sz w:val="22"/>
        </w:rPr>
        <w:t xml:space="preserve">- </w:t>
      </w:r>
      <w:r>
        <w:rPr>
          <w:rFonts w:ascii="Calibri" w:hAnsi="Calibri"/>
          <w:b/>
          <w:i w:val="0"/>
          <w:color w:val="161829"/>
          <w:sz w:val="22"/>
        </w:rPr>
        <w:t>Resolved source:</w:t>
      </w:r>
      <w:r>
        <w:rPr>
          <w:rFonts w:ascii="Calibri" w:hAnsi="Calibri"/>
          <w:b w:val="0"/>
          <w:i w:val="0"/>
          <w:color w:val="161829"/>
          <w:sz w:val="22"/>
        </w:rPr>
        <w:t xml:space="preserve"> Acute Gastroenteritis on Cruise Ships, Maritime Illness Database and Reporting System, United States, 2006-2019 (doi:10.15585/mmwr.ss7006a1)</w:t>
      </w:r>
    </w:p>
    <w:p>
      <w:pPr>
        <w:spacing w:before="0" w:after="120"/>
      </w:pPr>
      <w:r>
        <w:rPr>
          <w:rFonts w:ascii="Calibri" w:hAnsi="Calibri"/>
          <w:b w:val="0"/>
          <w:i w:val="0"/>
          <w:color w:val="161829"/>
          <w:sz w:val="22"/>
        </w:rPr>
        <w:t xml:space="preserve">- </w:t>
      </w:r>
      <w:r>
        <w:rPr>
          <w:rFonts w:ascii="Calibri" w:hAnsi="Calibri"/>
          <w:b/>
          <w:i w:val="0"/>
          <w:color w:val="161829"/>
          <w:sz w:val="22"/>
        </w:rPr>
        <w:t>What that source's open-access full text states:</w:t>
      </w:r>
      <w:r>
        <w:rPr>
          <w:rFonts w:ascii="Calibri" w:hAnsi="Calibri"/>
          <w:b w:val="0"/>
          <w:i w:val="0"/>
          <w:color w:val="161829"/>
          <w:sz w:val="22"/>
        </w:rPr>
        <w:t xml:space="preserve"> The paper is a surveillance report on acute gastroenteritis (AGE) incidence on cruise ships from 2006-2019, documenting case counts, trends by ship size and voyage length, and geographic patterns. It contains no discussion of PCR-positive individuals, transmission-competent shedding phases, offspring distributions, overdispersion, or effective reproduction numbers.</w:t>
      </w:r>
    </w:p>
    <w:p>
      <w:pPr>
        <w:spacing w:before="0" w:after="120"/>
      </w:pPr>
      <w:r>
        <w:rPr>
          <w:rFonts w:ascii="Calibri" w:hAnsi="Calibri"/>
          <w:b w:val="0"/>
          <w:i w:val="0"/>
          <w:color w:val="161829"/>
          <w:sz w:val="22"/>
        </w:rPr>
        <w:t xml:space="preserve">- </w:t>
      </w:r>
      <w:r>
        <w:rPr>
          <w:rFonts w:ascii="Calibri" w:hAnsi="Calibri"/>
          <w:b/>
          <w:i w:val="0"/>
          <w:color w:val="161829"/>
          <w:sz w:val="22"/>
        </w:rPr>
        <w:t>If you confirm this:</w:t>
      </w:r>
      <w:r>
        <w:rPr>
          <w:rFonts w:ascii="Calibri" w:hAnsi="Calibri"/>
          <w:b w:val="0"/>
          <w:i w:val="0"/>
          <w:color w:val="161829"/>
          <w:sz w:val="22"/>
        </w:rPr>
        <w:t xml:space="preserve"> cite a source that directly supports the statement, or adjust the claim to match what your cited source(s) actually report.</w:t>
      </w:r>
    </w:p>
    <w:p>
      <w:pPr>
        <w:spacing w:before="0" w:after="120"/>
      </w:pPr>
      <w:r>
        <w:rPr>
          <w:rFonts w:ascii="Calibri" w:hAnsi="Calibri"/>
          <w:b w:val="0"/>
          <w:i w:val="0"/>
          <w:color w:val="161829"/>
          <w:sz w:val="22"/>
        </w:rPr>
        <w:t>### Summary</w:t>
      </w:r>
    </w:p>
    <w:p>
      <w:pPr>
        <w:spacing w:before="0" w:after="120"/>
      </w:pPr>
      <w:r>
        <w:rPr>
          <w:rFonts w:ascii="Calibri" w:hAnsi="Calibri"/>
          <w:b w:val="0"/>
          <w:i w:val="0"/>
          <w:color w:val="161829"/>
          <w:sz w:val="22"/>
        </w:rPr>
        <w:t>1 claim(s) where no cited source we could read fully supports the claim as written, verify each against the full paper(s). Separately, 3 citation-claim pair(s) could not be verified because the source could not be retrieved.</w:t>
      </w:r>
    </w:p>
    <w:sectPr w:rsidR="00FC693F" w:rsidRPr="0006063C" w:rsidSect="00034616">
      <w:headerReference w:type="default" r:id="rId9"/>
      <w:footerReference w:type="default" r:id="rId10"/>
      <w:pgSz w:w="12240" w:h="15840"/>
      <w:pgMar w:top="1368" w:right="1584" w:bottom="1296"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C4CED8"/>
      </w:pBdr>
      <w:tabs>
        <w:tab w:val="right" w:pos="9072"/>
      </w:tabs>
    </w:pPr>
    <w:r>
      <w:rPr>
        <w:rFonts w:ascii="Calibri" w:hAnsi="Calibri"/>
        <w:b w:val="0"/>
        <w:i/>
        <w:color w:val="566678"/>
        <w:sz w:val="16"/>
      </w:rPr>
      <w:t xml:space="preserve">Confidential  ·  </w:t>
    </w:r>
    <w:hyperlink r:id="rId1">
      <w:r>
        <w:rPr>
          <w:rFonts w:ascii="Calibri" w:hAnsi="Calibri"/>
          <w:color w:val="566678"/>
          <w:sz w:val="16"/>
          <w:i/>
          <w:u w:val="single"/>
        </w:rPr>
        <w:t xml:space="preserve">Manusights.com</w:t>
      </w:r>
    </w:hyperlink>
    <w:r>
      <w:rPr>
        <w:rFonts w:ascii="Calibri" w:hAnsi="Calibri"/>
        <w:b w:val="0"/>
        <w:i/>
        <w:color w:val="566678"/>
        <w:sz w:val="16"/>
      </w:rPr>
      <w:t xml:space="preserve">  ·  For author use only</w:t>
    </w:r>
    <w:r>
      <w:rPr>
        <w:rFonts w:ascii="Calibri" w:hAnsi="Calibri"/>
        <w:b w:val="0"/>
        <w:i w:val="0"/>
        <w:sz w:val="16"/>
      </w:rPr>
      <w:tab/>
    </w:r>
    <w:r>
      <w:rPr>
        <w:sz w:val="16"/>
        <w:color w:val="566678"/>
      </w:rPr>
      <w:fldChar w:fldCharType="begin"/>
    </w:r>
    <w:r>
      <w:rPr>
        <w:sz w:val="16"/>
        <w:color w:val="566678"/>
      </w:rPr>
      <w:instrText xml:space="preserve"> PAGE </w:instrText>
    </w:r>
    <w:r>
      <w:rPr>
        <w:sz w:val="16"/>
        <w:color w:val="566678"/>
      </w:rPr>
      <w:fldChar w:fldCharType="separate"/>
    </w:r>
    <w:r>
      <w:rPr>
        <w:sz w:val="16"/>
        <w:color w:val="566678"/>
      </w:rPr>
      <w:t>1</w:t>
    </w:r>
    <w:r>
      <w:rPr>
        <w:sz w:val="16"/>
        <w:color w:val="56667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C4CED8"/>
      </w:pBdr>
      <w:tabs>
        <w:tab w:val="right" w:pos="9072"/>
      </w:tabs>
    </w:pPr>
    <w:r>
      <w:rPr>
        <w:rFonts w:ascii="Calibri" w:hAnsi="Calibri"/>
        <w:b/>
        <w:i w:val="0"/>
        <w:caps/>
        <w:color w:val="163666"/>
        <w:sz w:val="16"/>
      </w:rPr>
      <w:t>MANUSIGHTS</w:t>
    </w:r>
    <w:r>
      <w:rPr>
        <w:rFonts w:ascii="Calibri" w:hAnsi="Calibri"/>
        <w:b w:val="0"/>
        <w:i w:val="0"/>
        <w:color w:val="566678"/>
        <w:sz w:val="16"/>
      </w:rPr>
      <w:t xml:space="preserve">  ·  AI Diagnostic Report</w:t>
    </w:r>
    <w:r>
      <w:rPr>
        <w:rFonts w:ascii="Calibri" w:hAnsi="Calibri"/>
        <w:b w:val="0"/>
        <w:i w:val="0"/>
        <w:sz w:val="16"/>
      </w:rPr>
      <w:tab/>
    </w:r>
    <w:r>
      <w:rPr>
        <w:rFonts w:ascii="Calibri" w:hAnsi="Calibri"/>
        <w:b w:val="0"/>
        <w:i w:val="0"/>
        <w:color w:val="566678"/>
        <w:sz w:val="16"/>
      </w:rPr>
      <w:t xml:space="preserve">Page </w:t>
    </w:r>
    <w:r>
      <w:rPr>
        <w:sz w:val="16"/>
        <w:color w:val="566678"/>
      </w:rPr>
      <w:fldChar w:fldCharType="begin"/>
    </w:r>
    <w:r>
      <w:rPr>
        <w:sz w:val="16"/>
        <w:color w:val="566678"/>
      </w:rPr>
      <w:instrText xml:space="preserve"> PAGE </w:instrText>
    </w:r>
    <w:r>
      <w:rPr>
        <w:sz w:val="16"/>
        <w:color w:val="566678"/>
      </w:rPr>
      <w:fldChar w:fldCharType="separate"/>
    </w:r>
    <w:r>
      <w:rPr>
        <w:sz w:val="16"/>
        <w:color w:val="566678"/>
      </w:rPr>
      <w:t>1</w:t>
    </w:r>
    <w:r>
      <w:rPr>
        <w:sz w:val="16"/>
        <w:color w:val="56667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324"/>
    </w:pPr>
    <w:rPr>
      <w:rFonts w:ascii="Calibri" w:hAnsi="Calibri"/>
      <w:color w:val="1618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manusights.com/ai-review?utm_source=docx_report&amp;utm_medium=footer&amp;utm_campaign=report_sh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