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Grid>
        <w:gridCol w:w="9072"/>
      </w:tblGrid>
      <w:tblPr>
        <w:tblW w:type="auto" w:w="0"/>
        <w:tblLook w:firstColumn="1" w:firstRow="1" w:lastColumn="0" w:lastRow="0" w:noHBand="0" w:noVBand="1" w:val="04A0"/>
        <w:tblLayout w:type="fixed"/>
        <w:tblW w:w="9072" w:type="dxa"/>
        <w:tblInd w:w="0" w:type="dxa"/>
      </w:tblPr>
      <w:tblGrid>
        <w:gridCol w:w="9072"/>
      </w:tblGrid>
      <w:tr>
        <w:tc>
          <w:tcPr>
            <w:tcW w:type="dxa" w:w="9072"/>
            <w:tcBorders>
              <w:top w:val="nil"/>
              <w:left w:val="nil"/>
              <w:bottom w:val="nil"/>
              <w:right w:val="nil"/>
              <w:insideH w:val="nil"/>
              <w:insideV w:val="nil"/>
            </w:tcBorders>
            <w:tcW w:w="9072" w:type="dxa"/>
            <w:shd w:val="clear" w:color="auto" w:fill="0C1E3C"/>
            <w:tcBorders>
              <w:top w:val="nil"/>
              <w:left w:val="nil"/>
              <w:bottom w:val="nil"/>
              <w:right w:val="nil"/>
              <w:insideH w:val="nil"/>
              <w:insideV w:val="nil"/>
            </w:tcBorders>
          </w:tcPr>
          <w:p>
            <w:pPr>
              <w:spacing w:before="440" w:after="20"/>
              <w:ind w:left="432"/>
            </w:pPr>
            <w:r>
              <w:rPr>
                <w:rFonts w:ascii="Calibri" w:hAnsi="Calibri"/>
                <w:b/>
                <w:i w:val="0"/>
                <w:caps/>
                <w:color w:val="88B4E2"/>
                <w:sz w:val="18"/>
              </w:rPr>
              <w:t>MANUSIGHTS</w:t>
            </w:r>
          </w:p>
          <w:p>
            <w:pPr>
              <w:spacing w:before="0" w:after="60"/>
              <w:ind w:left="432"/>
            </w:pPr>
            <w:r>
              <w:rPr>
                <w:rFonts w:ascii="Calibri" w:hAnsi="Calibri"/>
                <w:b/>
                <w:i w:val="0"/>
                <w:color w:val="FFFFFF"/>
                <w:sz w:val="44"/>
              </w:rPr>
              <w:t>AI Diagnostic Report</w:t>
            </w:r>
          </w:p>
          <w:p>
            <w:pPr>
              <w:ind w:left="432"/>
              <w:pBdr>
                <w:bottom w:val="single" w:sz="3" w:space="1" w:color="008290"/>
              </w:pBdr>
            </w:pPr>
          </w:p>
          <w:p>
            <w:pPr>
              <w:spacing w:before="120" w:after="440"/>
              <w:ind w:left="432"/>
            </w:pPr>
            <w:r>
              <w:rPr>
                <w:rFonts w:ascii="Calibri" w:hAnsi="Calibri"/>
                <w:b w:val="0"/>
                <w:i/>
                <w:color w:val="9CBBD9"/>
                <w:sz w:val="19"/>
              </w:rPr>
              <w:t>AI-powered pre-submission diagnostic · Powered by the Manusights review system</w:t>
            </w:r>
          </w:p>
        </w:tc>
      </w:tr>
    </w:tbl>
    <w:p>
      <w:pPr>
        <w:spacing w:after="360" w:line="20" w:lineRule="exact"/>
      </w:pPr>
      <w:r>
        <w:rPr>
          <w:sz w:val="2"/>
        </w:rPr>
        <w:t xml:space="preserve"> </w:t>
      </w:r>
    </w:p>
    <w:p>
      <w:pPr>
        <w:spacing w:after="320"/>
        <w:pBdr>
          <w:bottom w:val="single" w:sz="6" w:space="1" w:color="008290"/>
        </w:pBdr>
      </w:pPr>
      <w:r>
        <w:rPr>
          <w:rFonts w:ascii="Calibri" w:hAnsi="Calibri"/>
          <w:b/>
          <w:i w:val="0"/>
          <w:color w:val="0C1E3C"/>
          <w:sz w:val="30"/>
        </w:rPr>
        <w:t>Crusher to the Bridge: Cruise Norovirus Calibration and Intervention Economics in an Agent-Based Shipboard Simulation</w:t>
      </w:r>
    </w:p>
    <w:tbl>
      <w:tblGrid>
        <w:gridCol w:w="2232"/>
        <w:gridCol w:w="6840"/>
      </w:tblGrid>
      <w:tblPr>
        <w:tblW w:type="auto" w:w="0"/>
        <w:tblLook w:firstColumn="1" w:firstRow="1" w:lastColumn="0" w:lastRow="0" w:noHBand="0" w:noVBand="1" w:val="04A0"/>
        <w:tblLayout w:type="fixed"/>
        <w:tblW w:w="9072" w:type="dxa"/>
        <w:tblInd w:w="0" w:type="dxa"/>
      </w:tblPr>
      <w:tblGrid>
        <w:gridCol w:w="4536"/>
        <w:gridCol w:w="4536"/>
      </w:tblGrid>
      <w:tr>
        <w:tc>
          <w:tcPr>
            <w:tcW w:type="dxa" w:w="4536"/>
            <w:tcBorders>
              <w:top w:val="nil"/>
              <w:left w:val="nil"/>
              <w:bottom w:val="nil"/>
              <w:right w:val="nil"/>
              <w:insideH w:val="nil"/>
              <w:insideV w:val="nil"/>
            </w:tcBorders>
            <w:tcW w:w="2232" w:type="dxa"/>
            <w:shd w:val="clear" w:color="auto" w:fill="F8F9FC"/>
            <w:tcBorders>
              <w:top w:val="nil"/>
              <w:left w:val="nil"/>
              <w:bottom w:val="nil"/>
              <w:right w:val="nil"/>
              <w:insideH w:val="nil"/>
              <w:insideV w:val="nil"/>
            </w:tcBorders>
          </w:tcPr>
          <w:p>
            <w:pPr>
              <w:spacing w:before="100" w:after="100"/>
              <w:ind w:left="115"/>
            </w:pPr>
            <w:r>
              <w:rPr>
                <w:rFonts w:ascii="Calibri" w:hAnsi="Calibri"/>
                <w:b/>
                <w:i w:val="0"/>
                <w:color w:val="566678"/>
                <w:sz w:val="16"/>
              </w:rPr>
              <w:t>REVIEW DATE</w:t>
            </w:r>
          </w:p>
        </w:tc>
        <w:tc>
          <w:tcPr>
            <w:tcW w:type="dxa" w:w="4536"/>
            <w:tcBorders>
              <w:top w:val="nil"/>
              <w:left w:val="nil"/>
              <w:bottom w:val="nil"/>
              <w:right w:val="nil"/>
              <w:insideH w:val="nil"/>
              <w:insideV w:val="nil"/>
            </w:tcBorders>
            <w:tcW w:w="6840" w:type="dxa"/>
            <w:shd w:val="clear" w:color="auto" w:fill="F8F9FC"/>
            <w:tcBorders>
              <w:top w:val="nil"/>
              <w:left w:val="nil"/>
              <w:bottom w:val="nil"/>
              <w:right w:val="nil"/>
              <w:insideH w:val="nil"/>
              <w:insideV w:val="nil"/>
            </w:tcBorders>
          </w:tcPr>
          <w:p>
            <w:pPr>
              <w:spacing w:before="100" w:after="100"/>
            </w:pPr>
            <w:r>
              <w:rPr>
                <w:rFonts w:ascii="Calibri" w:hAnsi="Calibri"/>
                <w:b w:val="0"/>
                <w:i w:val="0"/>
                <w:color w:val="161829"/>
                <w:sz w:val="21"/>
              </w:rPr>
              <w:t>2026-06-30</w:t>
            </w:r>
          </w:p>
        </w:tc>
      </w:tr>
      <w:tr>
        <w:tc>
          <w:tcPr>
            <w:tcW w:type="dxa" w:w="4536"/>
            <w:tcBorders>
              <w:top w:val="nil"/>
              <w:left w:val="nil"/>
              <w:bottom w:val="nil"/>
              <w:right w:val="nil"/>
              <w:insideH w:val="nil"/>
              <w:insideV w:val="nil"/>
            </w:tcBorders>
            <w:tcW w:w="2232" w:type="dxa"/>
            <w:shd w:val="clear" w:color="auto" w:fill="FFFFFF"/>
            <w:tcBorders>
              <w:top w:val="nil"/>
              <w:left w:val="nil"/>
              <w:bottom w:val="nil"/>
              <w:right w:val="nil"/>
              <w:insideH w:val="nil"/>
              <w:insideV w:val="nil"/>
            </w:tcBorders>
          </w:tcPr>
          <w:p>
            <w:pPr>
              <w:spacing w:before="100" w:after="100"/>
              <w:ind w:left="115"/>
            </w:pPr>
            <w:r>
              <w:rPr>
                <w:rFonts w:ascii="Calibri" w:hAnsi="Calibri"/>
                <w:b/>
                <w:i w:val="0"/>
                <w:color w:val="566678"/>
                <w:sz w:val="16"/>
              </w:rPr>
              <w:t>REVIEW TYPE</w:t>
            </w:r>
          </w:p>
        </w:tc>
        <w:tc>
          <w:tcPr>
            <w:tcW w:type="dxa" w:w="4536"/>
            <w:tcBorders>
              <w:top w:val="nil"/>
              <w:left w:val="nil"/>
              <w:bottom w:val="nil"/>
              <w:right w:val="nil"/>
              <w:insideH w:val="nil"/>
              <w:insideV w:val="nil"/>
            </w:tcBorders>
            <w:tcW w:w="6840" w:type="dxa"/>
            <w:shd w:val="clear" w:color="auto" w:fill="FFFFFF"/>
            <w:tcBorders>
              <w:top w:val="nil"/>
              <w:left w:val="nil"/>
              <w:bottom w:val="nil"/>
              <w:right w:val="nil"/>
              <w:insideH w:val="nil"/>
              <w:insideV w:val="nil"/>
            </w:tcBorders>
          </w:tcPr>
          <w:p>
            <w:pPr>
              <w:spacing w:before="100" w:after="100"/>
            </w:pPr>
            <w:r>
              <w:rPr>
                <w:rFonts w:ascii="Calibri" w:hAnsi="Calibri"/>
                <w:b w:val="0"/>
                <w:i w:val="0"/>
                <w:color w:val="161829"/>
                <w:sz w:val="21"/>
              </w:rPr>
              <w:t>AI Pre-Submission Diagnostic</w:t>
            </w:r>
          </w:p>
        </w:tc>
      </w:tr>
      <w:tr>
        <w:tc>
          <w:tcPr>
            <w:tcW w:type="dxa" w:w="4536"/>
            <w:tcBorders>
              <w:top w:val="nil"/>
              <w:left w:val="nil"/>
              <w:bottom w:val="nil"/>
              <w:right w:val="nil"/>
              <w:insideH w:val="nil"/>
              <w:insideV w:val="nil"/>
            </w:tcBorders>
            <w:tcW w:w="2232" w:type="dxa"/>
            <w:shd w:val="clear" w:color="auto" w:fill="F8F9FC"/>
            <w:tcBorders>
              <w:top w:val="nil"/>
              <w:left w:val="nil"/>
              <w:bottom w:val="nil"/>
              <w:right w:val="nil"/>
              <w:insideH w:val="nil"/>
              <w:insideV w:val="nil"/>
            </w:tcBorders>
          </w:tcPr>
          <w:p>
            <w:pPr>
              <w:spacing w:before="100" w:after="100"/>
              <w:ind w:left="115"/>
            </w:pPr>
            <w:r>
              <w:rPr>
                <w:rFonts w:ascii="Calibri" w:hAnsi="Calibri"/>
                <w:b/>
                <w:i w:val="0"/>
                <w:color w:val="566678"/>
                <w:sz w:val="16"/>
              </w:rPr>
              <w:t>PREPARED BY</w:t>
            </w:r>
          </w:p>
        </w:tc>
        <w:tc>
          <w:tcPr>
            <w:tcW w:type="dxa" w:w="4536"/>
            <w:tcBorders>
              <w:top w:val="nil"/>
              <w:left w:val="nil"/>
              <w:bottom w:val="nil"/>
              <w:right w:val="nil"/>
              <w:insideH w:val="nil"/>
              <w:insideV w:val="nil"/>
            </w:tcBorders>
            <w:tcW w:w="6840" w:type="dxa"/>
            <w:shd w:val="clear" w:color="auto" w:fill="F8F9FC"/>
            <w:tcBorders>
              <w:top w:val="nil"/>
              <w:left w:val="nil"/>
              <w:bottom w:val="nil"/>
              <w:right w:val="nil"/>
              <w:insideH w:val="nil"/>
              <w:insideV w:val="nil"/>
            </w:tcBorders>
          </w:tcPr>
          <w:p>
            <w:pPr>
              <w:spacing w:before="100" w:after="100"/>
            </w:pPr>
            <w:r>
              <w:rPr>
                <w:rFonts w:ascii="Calibri" w:hAnsi="Calibri"/>
                <w:b w:val="0"/>
                <w:i w:val="0"/>
                <w:color w:val="161829"/>
                <w:sz w:val="21"/>
              </w:rPr>
              <w:t>Manusights AI Diagnostic System</w:t>
            </w:r>
          </w:p>
        </w:tc>
      </w:tr>
      <w:tr>
        <w:tc>
          <w:tcPr>
            <w:tcW w:type="dxa" w:w="4536"/>
            <w:tcBorders>
              <w:top w:val="nil"/>
              <w:left w:val="nil"/>
              <w:bottom w:val="nil"/>
              <w:right w:val="nil"/>
              <w:insideH w:val="nil"/>
              <w:insideV w:val="nil"/>
            </w:tcBorders>
            <w:tcW w:w="2232" w:type="dxa"/>
            <w:shd w:val="clear" w:color="auto" w:fill="FFFFFF"/>
            <w:tcBorders>
              <w:top w:val="nil"/>
              <w:left w:val="nil"/>
              <w:bottom w:val="nil"/>
              <w:right w:val="nil"/>
              <w:insideH w:val="nil"/>
              <w:insideV w:val="nil"/>
            </w:tcBorders>
          </w:tcPr>
          <w:p>
            <w:pPr>
              <w:spacing w:before="100" w:after="100"/>
              <w:ind w:left="115"/>
            </w:pPr>
            <w:r>
              <w:rPr>
                <w:rFonts w:ascii="Calibri" w:hAnsi="Calibri"/>
                <w:b/>
                <w:i w:val="0"/>
                <w:color w:val="566678"/>
                <w:sz w:val="16"/>
              </w:rPr>
              <w:t>CONFIDENTIALITY</w:t>
            </w:r>
          </w:p>
        </w:tc>
        <w:tc>
          <w:tcPr>
            <w:tcW w:type="dxa" w:w="4536"/>
            <w:tcBorders>
              <w:top w:val="nil"/>
              <w:left w:val="nil"/>
              <w:bottom w:val="nil"/>
              <w:right w:val="nil"/>
              <w:insideH w:val="nil"/>
              <w:insideV w:val="nil"/>
            </w:tcBorders>
            <w:tcW w:w="6840" w:type="dxa"/>
            <w:shd w:val="clear" w:color="auto" w:fill="FFFFFF"/>
            <w:tcBorders>
              <w:top w:val="nil"/>
              <w:left w:val="nil"/>
              <w:bottom w:val="nil"/>
              <w:right w:val="nil"/>
              <w:insideH w:val="nil"/>
              <w:insideV w:val="nil"/>
            </w:tcBorders>
          </w:tcPr>
          <w:p>
            <w:pPr>
              <w:spacing w:before="100" w:after="100"/>
            </w:pPr>
            <w:r>
              <w:rPr>
                <w:rFonts w:ascii="Calibri" w:hAnsi="Calibri"/>
                <w:b w:val="0"/>
                <w:i w:val="0"/>
                <w:color w:val="161829"/>
                <w:sz w:val="21"/>
              </w:rPr>
              <w:t>For author use only, do not distribute</w:t>
            </w:r>
          </w:p>
        </w:tc>
      </w:tr>
    </w:tbl>
    <w:p>
      <w:pPr>
        <w:spacing w:after="360" w:line="20" w:lineRule="exact"/>
      </w:pPr>
      <w:r>
        <w:rPr>
          <w:sz w:val="2"/>
        </w:rPr>
        <w:t xml:space="preserve"> </w:t>
      </w:r>
    </w:p>
    <w:p>
      <w:pPr>
        <w:spacing w:after="140"/>
      </w:pPr>
      <w:r>
        <w:rPr>
          <w:rFonts w:ascii="Calibri" w:hAnsi="Calibri"/>
          <w:b/>
          <w:i w:val="0"/>
          <w:caps/>
          <w:color w:val="566678"/>
          <w:sz w:val="17"/>
        </w:rPr>
        <w:t>THIS REPORT COVERS</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Quality Scorecard</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1. Novelty &amp; Conceptual Advance</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2. Strengths &amp; Weaknesses of the Data Package</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3. Journal Fit &amp; Publication Potential</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4. Key Experiments to Strengthen the Manuscript</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5. Mechanistic Depth</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6. Practical Impact &amp; Reproducibility</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References</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Verification Receipt</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Reference Integrity Check</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Citation Accuracy Analysis</w:t>
      </w:r>
    </w:p>
    <w:p>
      <w:pPr>
        <w:spacing w:before="20" w:after="20"/>
        <w:ind w:left="72"/>
      </w:pPr>
      <w:r>
        <w:rPr>
          <w:rFonts w:ascii="Calibri" w:hAnsi="Calibri"/>
          <w:b w:val="0"/>
          <w:i w:val="0"/>
          <w:color w:val="008290"/>
          <w:sz w:val="20"/>
        </w:rPr>
        <w:t xml:space="preserve">▸  </w:t>
      </w:r>
      <w:r>
        <w:rPr>
          <w:rFonts w:ascii="Calibri" w:hAnsi="Calibri"/>
          <w:b w:val="0"/>
          <w:i w:val="0"/>
          <w:color w:val="161829"/>
          <w:sz w:val="21"/>
        </w:rPr>
        <w:t>Scope of this review</w:t>
      </w:r>
    </w:p>
    <w:p>
      <w:r>
        <w:br w:type="page"/>
      </w:r>
    </w:p>
    <w:p>
      <w:pPr>
        <w:spacing w:before="0" w:after="160"/>
        <w:pBdr>
          <w:bottom w:val="single" w:sz="5" w:space="1" w:color="008290"/>
        </w:pBdr>
      </w:pPr>
      <w:r>
        <w:rPr>
          <w:rFonts w:ascii="Calibri" w:hAnsi="Calibri"/>
          <w:b/>
          <w:i w:val="0"/>
          <w:color w:val="0C1E3C"/>
          <w:sz w:val="30"/>
        </w:rPr>
        <w:t>EXTERNAL ASSESSMENT</w:t>
      </w:r>
    </w:p>
    <w:p>
      <w:pPr>
        <w:spacing w:before="280" w:after="120"/>
      </w:pPr>
      <w:r>
        <w:rPr>
          <w:rFonts w:ascii="Calibri" w:hAnsi="Calibri"/>
          <w:b/>
          <w:i w:val="0"/>
          <w:color w:val="163666"/>
          <w:sz w:val="25"/>
        </w:rPr>
        <w:t>Quality Scorecard</w:t>
      </w:r>
    </w:p>
    <w:p>
      <w:pPr>
        <w:spacing w:before="0" w:after="120"/>
      </w:pPr>
      <w:r>
        <w:rPr>
          <w:rFonts w:ascii="Calibri" w:hAnsi="Calibri"/>
          <w:b/>
          <w:i w:val="0"/>
          <w:color w:val="161829"/>
          <w:sz w:val="22"/>
        </w:rPr>
        <w:t>Originality</w:t>
      </w:r>
      <w:r>
        <w:rPr>
          <w:rFonts w:ascii="Calibri" w:hAnsi="Calibri"/>
          <w:b w:val="0"/>
          <w:i w:val="0"/>
          <w:color w:val="161829"/>
          <w:sz w:val="22"/>
        </w:rPr>
        <w:t>: 3/5, The reframing of cruise norovirus rarity as a product of effective-index rate, overdispersion, and partial immunity rather than boarding prevalence is a useful synthesis, but the constituent ideas (overdispersed norovirus transmission, super-shedder dominance) are already established in the cruise-specific literature, notably De Bellis et al. 2024.</w:t>
      </w:r>
    </w:p>
    <w:p>
      <w:pPr>
        <w:spacing w:before="0" w:after="120"/>
      </w:pPr>
      <w:r>
        <w:rPr>
          <w:rFonts w:ascii="Calibri" w:hAnsi="Calibri"/>
          <w:b/>
          <w:i w:val="0"/>
          <w:color w:val="161829"/>
          <w:sz w:val="22"/>
        </w:rPr>
        <w:t>Importance of research question</w:t>
      </w:r>
      <w:r>
        <w:rPr>
          <w:rFonts w:ascii="Calibri" w:hAnsi="Calibri"/>
          <w:b w:val="0"/>
          <w:i w:val="0"/>
          <w:color w:val="161829"/>
          <w:sz w:val="22"/>
        </w:rPr>
        <w:t>: 4/5, The decision-relevant question of whether to invest in pre-boarding screening versus onboard response on cruise ships is genuinely valuable to operators and public health, and the base-rate framing is the correct lens.</w:t>
      </w:r>
    </w:p>
    <w:p>
      <w:pPr>
        <w:spacing w:before="0" w:after="120"/>
      </w:pPr>
      <w:r>
        <w:rPr>
          <w:rFonts w:ascii="Calibri" w:hAnsi="Calibri"/>
          <w:b/>
          <w:i w:val="0"/>
          <w:color w:val="161829"/>
          <w:sz w:val="22"/>
        </w:rPr>
        <w:t>Claims are well-supported</w:t>
      </w:r>
      <w:r>
        <w:rPr>
          <w:rFonts w:ascii="Calibri" w:hAnsi="Calibri"/>
          <w:b w:val="0"/>
          <w:i w:val="0"/>
          <w:color w:val="161829"/>
          <w:sz w:val="22"/>
        </w:rPr>
        <w:t>: 2/5, The central calibration is explicitly non-identifiable by the authors' own admission (Table 4), and the headline parameters are fitted to two summary targets, so most quantitative claims rest on assumptions that are stated but not independently validated.</w:t>
      </w:r>
    </w:p>
    <w:p>
      <w:pPr>
        <w:spacing w:before="0" w:after="120"/>
      </w:pPr>
      <w:r>
        <w:rPr>
          <w:rFonts w:ascii="Calibri" w:hAnsi="Calibri"/>
          <w:b/>
          <w:i w:val="0"/>
          <w:color w:val="161829"/>
          <w:sz w:val="22"/>
        </w:rPr>
        <w:t>Experimental soundness</w:t>
      </w:r>
      <w:r>
        <w:rPr>
          <w:rFonts w:ascii="Calibri" w:hAnsi="Calibri"/>
          <w:b w:val="0"/>
          <w:i w:val="0"/>
          <w:color w:val="161829"/>
          <w:sz w:val="22"/>
        </w:rPr>
        <w:t>: 3/5, The branching-process and cost-effectiveness machinery is reasonable and the authors are commendably honest about limitations, but several key results (5.2, 5.4, 6.1) are presented with no figures and no reported variance, and the wearable norovirus result is statistically null.</w:t>
      </w:r>
    </w:p>
    <w:p>
      <w:pPr>
        <w:spacing w:before="0" w:after="120"/>
      </w:pPr>
      <w:r>
        <w:rPr>
          <w:rFonts w:ascii="Calibri" w:hAnsi="Calibri"/>
          <w:b/>
          <w:i w:val="0"/>
          <w:color w:val="161829"/>
          <w:sz w:val="22"/>
        </w:rPr>
        <w:t>Clarity of writing</w:t>
      </w:r>
      <w:r>
        <w:rPr>
          <w:rFonts w:ascii="Calibri" w:hAnsi="Calibri"/>
          <w:b w:val="0"/>
          <w:i w:val="0"/>
          <w:color w:val="161829"/>
          <w:sz w:val="22"/>
        </w:rPr>
        <w:t>: 3/5, The narrative is readable and the logic is traceable, but the document is verbose, the only reproducible equation provided is the single extinction formula, and several numbers are inconsistent between the abstract, text, and tables.</w:t>
      </w:r>
    </w:p>
    <w:p>
      <w:pPr>
        <w:spacing w:before="0" w:after="120"/>
      </w:pPr>
      <w:r>
        <w:rPr>
          <w:rFonts w:ascii="Calibri" w:hAnsi="Calibri"/>
          <w:b/>
          <w:i w:val="0"/>
          <w:color w:val="161829"/>
          <w:sz w:val="22"/>
        </w:rPr>
        <w:t>Value to community</w:t>
      </w:r>
      <w:r>
        <w:rPr>
          <w:rFonts w:ascii="Calibri" w:hAnsi="Calibri"/>
          <w:b w:val="0"/>
          <w:i w:val="0"/>
          <w:color w:val="161829"/>
          <w:sz w:val="22"/>
        </w:rPr>
        <w:t>: 3/5, The conditional decision framework and open-source code are useful, but the cost-effectiveness conclusions are cruise-specific, calibrated to a non-unique parameter set, and not validated against any independent outbreak dataset.</w:t>
      </w:r>
    </w:p>
    <w:p>
      <w:pPr>
        <w:spacing w:before="0" w:after="120"/>
      </w:pPr>
      <w:r>
        <w:rPr>
          <w:rFonts w:ascii="Calibri" w:hAnsi="Calibri"/>
          <w:b/>
          <w:i w:val="0"/>
          <w:color w:val="161829"/>
          <w:sz w:val="22"/>
        </w:rPr>
        <w:t>Prior work contextualization</w:t>
      </w:r>
      <w:r>
        <w:rPr>
          <w:rFonts w:ascii="Calibri" w:hAnsi="Calibri"/>
          <w:b w:val="0"/>
          <w:i w:val="0"/>
          <w:color w:val="161829"/>
          <w:sz w:val="22"/>
        </w:rPr>
        <w:t>: 3/5, The norovirus biology and superspreading literature are well cited, but the manuscript does not engage with the two most directly competing cruise norovirus modeling papers (De Bellis et al. 2024; Bizzotto et al. 2025), which already estimate shipboard superspreading and isolation effectiveness.</w:t>
      </w:r>
    </w:p>
    <w:p>
      <w:pPr>
        <w:spacing w:before="0" w:after="120"/>
      </w:pPr>
      <w:r>
        <w:rPr>
          <w:rFonts w:ascii="Calibri" w:hAnsi="Calibri"/>
          <w:b/>
          <w:i w:val="0"/>
          <w:color w:val="161829"/>
          <w:sz w:val="22"/>
        </w:rPr>
        <w:t>Overall</w:t>
      </w:r>
      <w:r>
        <w:rPr>
          <w:rFonts w:ascii="Calibri" w:hAnsi="Calibri"/>
          <w:b w:val="0"/>
          <w:i w:val="0"/>
          <w:color w:val="161829"/>
          <w:sz w:val="22"/>
        </w:rPr>
        <w:t>: This is a competent, honest, and well-documented modeling and decision-analysis report whose biggest gap is that its headline parameters are admittedly non-identifiable and untethered to any independent validation dataset, while two recent cruise norovirus models that estimate the same quantities from real line lists are not engaged. It is a reasonable fit for PLOS ONE after revision, but it cannot reach a higher tier without external validation of the effective-index concept.</w:t>
      </w:r>
    </w:p>
    <w:p>
      <w:pPr>
        <w:spacing w:before="280" w:after="120"/>
      </w:pPr>
      <w:r>
        <w:rPr>
          <w:rFonts w:ascii="Calibri" w:hAnsi="Calibri"/>
          <w:b/>
          <w:i w:val="0"/>
          <w:color w:val="163666"/>
          <w:sz w:val="25"/>
        </w:rPr>
        <w:t>1. Novelty &amp; Conceptual Advance</w:t>
      </w:r>
    </w:p>
    <w:p>
      <w:pPr>
        <w:spacing w:before="0" w:after="120"/>
      </w:pPr>
      <w:r>
        <w:rPr>
          <w:rFonts w:ascii="Calibri" w:hAnsi="Calibri"/>
          <w:b w:val="0"/>
          <w:i w:val="0"/>
          <w:color w:val="161829"/>
          <w:sz w:val="22"/>
        </w:rPr>
        <w:t>The core conceptual contribution is the decomposition of the prevalence-versus-rarity paradox into three sequential filters: a rare acute transmission-competent shedding phase (about 0.03% of PCR-positives functioning as effective index cases), overdispersion (k around 0.10), and partial population immunity (s around 0.30). This is a clean and pedagogically useful framing, and Figure 3 communicates it well. However, the individual ingredients are not new. Overdispersed, superspreader-dominated norovirus transmission on cruise ships was directly quantified by De Bellis et al. 2024 (doi:10.1093/jtm/taaf059), who reconstructed transmission chains from a real 121-case Mediterranean outbreak line list and found that a small fraction of infected individuals caused the majority of secondary cases, with superspreaders exhibiting much longer diagnostic delays. That paper also calibrated a branching-process model and estimated the effectiveness of the 72-hour isolation protocol the present manuscript adopts as its enhanced-response scenario. The CTB manuscript uses the same 72-hour isolation assumption and the same branching-process formalism but does not cite or benchmark against De Bellis et al. This is a serious omission because that study provides exactly the empirically grounded transmission heterogeneity and isolation effect that CTB instead fits to summary statistics.</w:t>
      </w:r>
    </w:p>
    <w:p>
      <w:pPr>
        <w:spacing w:before="0" w:after="120"/>
      </w:pPr>
      <w:r>
        <w:rPr>
          <w:rFonts w:ascii="Calibri" w:hAnsi="Calibri"/>
          <w:b w:val="0"/>
          <w:i w:val="0"/>
          <w:color w:val="161829"/>
          <w:sz w:val="22"/>
        </w:rPr>
        <w:t>What is genuinely new here is the joint calibration to two VSP-derived targets simultaneously: the baseline reportable-outbreak rate and the roughly 3.9-fold GII.4 emergence spike, with the interpretation that strain novelty acting through susceptibility, not boarding prevalence, drives temporal clustering. This is a defensible and interesting claim, and it is consistent with the mechanistic literature: Lindesmith et al. 2008 (doi:10.1371/journal.pmed.0050031) showed GII.4 evolves epochally to escape herd immunity, and Siebenga et al. 2009 (doi:10.1086/605127) documented that GII.4 epidemics result from global spread under population immunity pressure. The authors cite these for biological plausibility, which is appropriate. But the emergence-spike novelty is undercut by the fact that the spike is reproduced purely by raising a fitted susceptibility parameter from 0.30 to 0.65-0.70, which is a modeling choice rather than a derived result. The authors should also engage Gaythorpe et al. 2017 (doi:10.1017/s0950268817002692), which their own reference list cites, more directly in the calibration: that review specifically warns about wide variability and inconsistency in norovirus R0 estimates across models, which is precisely the identifiability problem CTB encounters. Positioning the non-identifiability finding against that review would strengthen the framing rather than presenting it as a novel structural discovery.</w:t>
      </w:r>
    </w:p>
    <w:p>
      <w:pPr>
        <w:spacing w:before="280" w:after="120"/>
      </w:pPr>
      <w:r>
        <w:rPr>
          <w:rFonts w:ascii="Calibri" w:hAnsi="Calibri"/>
          <w:b/>
          <w:i w:val="0"/>
          <w:color w:val="163666"/>
          <w:sz w:val="25"/>
        </w:rPr>
        <w:t>2. Strengths &amp; Weaknesses of the Data Package</w:t>
      </w:r>
    </w:p>
    <w:p>
      <w:pPr>
        <w:spacing w:before="160" w:after="80"/>
        <w:pBdr>
          <w:bottom w:val="single" w:sz="8" w:space="1" w:color="148E30"/>
        </w:pBdr>
      </w:pPr>
      <w:r>
        <w:rPr>
          <w:rFonts w:ascii="Calibri" w:hAnsi="Calibri"/>
          <w:b/>
          <w:i w:val="0"/>
          <w:color w:val="095727"/>
          <w:sz w:val="22"/>
        </w:rPr>
        <w:t>What is working well</w:t>
      </w:r>
    </w:p>
    <w:p>
      <w:pPr>
        <w:ind w:left="259" w:hanging="259"/>
      </w:pPr>
      <w:r>
        <w:rPr>
          <w:rFonts w:ascii="Calibri" w:hAnsi="Calibri"/>
          <w:b/>
          <w:i w:val="0"/>
          <w:color w:val="161829"/>
          <w:sz w:val="22"/>
        </w:rPr>
        <w:t xml:space="preserve">1. </w:t>
      </w:r>
      <w:r>
        <w:rPr>
          <w:rFonts w:ascii="Calibri" w:hAnsi="Calibri"/>
          <w:b w:val="0"/>
          <w:i w:val="0"/>
          <w:color w:val="161829"/>
          <w:sz w:val="22"/>
        </w:rPr>
        <w:t>The honesty about non-identifiability is a genuine strength. Section 4.4.1 and Table 4 explicitly show that the two calibration targets do not uniquely determine the four-parameter model, and the authors report a parameter region rather than a single fitted truth. This is exactly the right behavior and is more rigorous than much of the published norovirus modeling literature.</w:t>
      </w:r>
    </w:p>
    <w:p>
      <w:pPr>
        <w:ind w:left="259" w:hanging="259"/>
      </w:pPr>
      <w:r>
        <w:rPr>
          <w:rFonts w:ascii="Calibri" w:hAnsi="Calibri"/>
          <w:b/>
          <w:i w:val="0"/>
          <w:color w:val="161829"/>
          <w:sz w:val="22"/>
        </w:rPr>
        <w:t xml:space="preserve">2. </w:t>
      </w:r>
      <w:r>
        <w:rPr>
          <w:rFonts w:ascii="Calibri" w:hAnsi="Calibri"/>
          <w:b w:val="0"/>
          <w:i w:val="0"/>
          <w:color w:val="161829"/>
          <w:sz w:val="22"/>
        </w:rPr>
        <w:t>The separation of molecular positivity, biological infectiousness, and operational effectiveness (Section 4.1, Figure 1) is conceptually sound and well-motivated by the shedding biology in Atmar et al. 2008 and Teunis et al. 2015. It correctly prevents the naive prevalence-to-outbreak conversion that would otherwise dominate.</w:t>
      </w:r>
    </w:p>
    <w:p>
      <w:pPr>
        <w:ind w:left="259" w:hanging="259"/>
      </w:pPr>
      <w:r>
        <w:rPr>
          <w:rFonts w:ascii="Calibri" w:hAnsi="Calibri"/>
          <w:b/>
          <w:i w:val="0"/>
          <w:color w:val="161829"/>
          <w:sz w:val="22"/>
        </w:rPr>
        <w:t xml:space="preserve">3. </w:t>
      </w:r>
      <w:r>
        <w:rPr>
          <w:rFonts w:ascii="Calibri" w:hAnsi="Calibri"/>
          <w:b w:val="0"/>
          <w:i w:val="0"/>
          <w:color w:val="161829"/>
          <w:sz w:val="22"/>
        </w:rPr>
        <w:t>The cost-effectiveness comparison in Figure 6 and Table 5 is decision-relevant and clearly presented. The contrast between roughly 2 dollars incremental cost per voyage for enhanced response versus about 280,000 dollars per voyage for universal PCR is the most actionable result in the paper.</w:t>
      </w:r>
    </w:p>
    <w:p>
      <w:pPr>
        <w:ind w:left="259" w:hanging="259"/>
      </w:pPr>
      <w:r>
        <w:rPr>
          <w:rFonts w:ascii="Calibri" w:hAnsi="Calibri"/>
          <w:b/>
          <w:i w:val="0"/>
          <w:color w:val="161829"/>
          <w:sz w:val="22"/>
        </w:rPr>
        <w:t xml:space="preserve">4. </w:t>
      </w:r>
      <w:r>
        <w:rPr>
          <w:rFonts w:ascii="Calibri" w:hAnsi="Calibri"/>
          <w:b w:val="0"/>
          <w:i w:val="0"/>
          <w:color w:val="161829"/>
          <w:sz w:val="22"/>
        </w:rPr>
        <w:t>The pooled-testing breakeven analysis (Sections 6.2-6.3, Figures 7-8) is transparent about being an extrapolation from SARS-CoV-2 pooling studies rather than validated norovirus data, and it correctly identifies the sub-dollar assay cost threshold as the binding constraint.</w:t>
      </w:r>
    </w:p>
    <w:p>
      <w:pPr>
        <w:spacing w:before="160" w:after="80"/>
        <w:pBdr>
          <w:bottom w:val="single" w:sz="8" w:space="1" w:color="D32020"/>
        </w:pBdr>
      </w:pPr>
      <w:r>
        <w:rPr>
          <w:rFonts w:ascii="Calibri" w:hAnsi="Calibri"/>
          <w:b/>
          <w:i w:val="0"/>
          <w:color w:val="7E1313"/>
          <w:sz w:val="22"/>
        </w:rPr>
        <w:t>What needs improvement</w:t>
      </w:r>
    </w:p>
    <w:p>
      <w:pPr>
        <w:ind w:left="259" w:hanging="259"/>
      </w:pPr>
      <w:r>
        <w:rPr>
          <w:rFonts w:ascii="Calibri" w:hAnsi="Calibri"/>
          <w:b/>
          <w:i w:val="0"/>
          <w:color w:val="161829"/>
          <w:sz w:val="22"/>
        </w:rPr>
        <w:t xml:space="preserve">1. </w:t>
      </w:r>
      <w:r>
        <w:rPr>
          <w:rFonts w:ascii="Calibri" w:hAnsi="Calibri"/>
          <w:b w:val="0"/>
          <w:i w:val="0"/>
          <w:color w:val="161829"/>
          <w:sz w:val="22"/>
        </w:rPr>
        <w:t>The manuscript does not engage with the two most directly competing cruise norovirus models, and this is the single most important gap. De Bellis et al. 2024 (doi:10.1093/jtm/taaf059) estimated shipboard superspreading and isolation effectiveness from a real outbreak line list, and Bizzotto et al. 2025 (doi:10.1016/j.tmaid.2025.102850) showed that a model including both superspreading and case isolation gave the best real-time forecasts of cruise norovirus cases. CTB fits the same quantities to summary statistics rather than line lists. The authors must cite both, explain why CTB's fitted k around 0.10 and isolation effect are or are not consistent with De Bellis et al.'s chain-reconstruction estimates, and justify what CTB adds beyond these. As it stands, the claim that branching-process calibration to VSP rarity is the novel positioning (Table 1) is weakened by the existence of these papers.</w:t>
      </w:r>
    </w:p>
    <w:p>
      <w:pPr>
        <w:ind w:left="259" w:hanging="259"/>
      </w:pPr>
      <w:r>
        <w:rPr>
          <w:rFonts w:ascii="Calibri" w:hAnsi="Calibri"/>
          <w:b/>
          <w:i w:val="0"/>
          <w:color w:val="161829"/>
          <w:sz w:val="22"/>
        </w:rPr>
        <w:t xml:space="preserve">2. </w:t>
      </w:r>
      <w:r>
        <w:rPr>
          <w:rFonts w:ascii="Calibri" w:hAnsi="Calibri"/>
          <w:b w:val="0"/>
          <w:i w:val="0"/>
          <w:color w:val="161829"/>
          <w:sz w:val="22"/>
        </w:rPr>
        <w:t>The effective-index rate, the load-bearing parameter of the entire economic argument, is fit, not measured. The 0.03% of PCR-positives functioning as effective index cases is derived from a modeled shedding curve combined with behavioral exclusion assumptions, and n_eff = 0.035 is then fit to outbreak rarity. Because n_eff, R0, k, and s trade off against each other (Table 4 shows R0 = 3.5 and R0 = 7.0 both fit), the economic conclusion that screening is inefficient is conditional on a parameter the data cannot pin down. The authors acknowledge this in the Discussion, but the abstract and conclusions state the screening result with more confidence than the identifiability analysis warrants. I would require the screening cost-effectiveness to be reported across the full plausible n_eff range (0.02-0.05) and ideally the upper-tail scenarios, not just the point estimate, so the reader can see where the economic verdict flips.</w:t>
      </w:r>
    </w:p>
    <w:p>
      <w:pPr>
        <w:ind w:left="259" w:hanging="259"/>
      </w:pPr>
      <w:r>
        <w:rPr>
          <w:rFonts w:ascii="Calibri" w:hAnsi="Calibri"/>
          <w:b/>
          <w:i w:val="0"/>
          <w:color w:val="161829"/>
          <w:sz w:val="22"/>
        </w:rPr>
        <w:t xml:space="preserve">3. </w:t>
      </w:r>
      <w:r>
        <w:rPr>
          <w:rFonts w:ascii="Calibri" w:hAnsi="Calibri"/>
          <w:b w:val="0"/>
          <w:i w:val="0"/>
          <w:color w:val="161829"/>
          <w:sz w:val="22"/>
        </w:rPr>
        <w:t>Does the calibration target actually measure what the paper claims it measures? The model is calibrated to VSP reportable-outbreak rates, but the authors themselves note these are reportable outbreaks, not introductions or subthreshold chains. The entire three-filter decomposition is therefore fit to the tail of a heavily ascertainment-filtered distribution. The 400-fold paradox is partly an artifact of comparing community PCR prevalence against a reporting-threshold-defined numerator. The manuscript should state explicitly how sensitive the fitted filters are to the VSP reporting threshold itself, because a different threshold would redistribute the "explained" rarity among the three filters without any change in biology. Right now the decomposition reads as if the filter magnitudes are biological facts rather than consequences of the reporting definition.</w:t>
      </w:r>
    </w:p>
    <w:p>
      <w:pPr>
        <w:ind w:left="259" w:hanging="259"/>
      </w:pPr>
      <w:r>
        <w:rPr>
          <w:rFonts w:ascii="Calibri" w:hAnsi="Calibri"/>
          <w:b/>
          <w:i w:val="0"/>
          <w:color w:val="161829"/>
          <w:sz w:val="22"/>
        </w:rPr>
        <w:t xml:space="preserve">4. </w:t>
      </w:r>
      <w:r>
        <w:rPr>
          <w:rFonts w:ascii="Calibri" w:hAnsi="Calibri"/>
          <w:b w:val="0"/>
          <w:i w:val="0"/>
          <w:color w:val="161829"/>
          <w:sz w:val="22"/>
        </w:rPr>
        <w:t>Several key results are presented with no figure and no measure of variance. Section 5.2 (enhanced response, 65 to 53 outbreaks per 10,000 voyages), Section 5.4 (matched-seed screening, 30%/60%/100% outbreak probability for 1/2/3 index cases), and Section 6.1 (gated screening costs) report point estimates with no confidence intervals, no number of simulation replicates stated, and no figure. For a simulation paper, results without reported stochastic variability are difficult to trust. Add replicate counts and uncertainty intervals for every simulation-derived number, and provide at least a supplementary figure for 5.4.</w:t>
      </w:r>
    </w:p>
    <w:p>
      <w:pPr>
        <w:ind w:left="259" w:hanging="259"/>
      </w:pPr>
      <w:r>
        <w:rPr>
          <w:rFonts w:ascii="Calibri" w:hAnsi="Calibri"/>
          <w:b/>
          <w:i w:val="0"/>
          <w:color w:val="161829"/>
          <w:sz w:val="22"/>
        </w:rPr>
        <w:t xml:space="preserve">5. </w:t>
      </w:r>
      <w:r>
        <w:rPr>
          <w:rFonts w:ascii="Calibri" w:hAnsi="Calibri"/>
          <w:b w:val="0"/>
          <w:i w:val="0"/>
          <w:color w:val="161829"/>
          <w:sz w:val="22"/>
        </w:rPr>
        <w:t>The wearable norovirus result is null and should not be framed as supportive. In Section 5.1 the norovirus GII.4 effect is a 20% trend at p = 0.163, the 100-cruise power run gives 8.0% reduction at p = 0.050 with d = 0.20, and crew-to-BYOD is p = 0.43. These are negative or borderline results. The text mostly handles this correctly, but Table 5 and the portfolio framing still list wearable surveillance as a contributing intervention. Be blunt in the abstract and conclusions: the data show no significant norovirus benefit from wearables. The contrast with influenza A (-65%, p &lt; 0.0001) and SARS-CoV-2 (-54%, p = 0.014) actually argues that the wearable result is a respiratory-pathogen finding being imported into an enteric setting where it does not hold.</w:t>
      </w:r>
    </w:p>
    <w:p>
      <w:pPr>
        <w:ind w:left="259" w:hanging="259"/>
      </w:pPr>
      <w:r>
        <w:rPr>
          <w:rFonts w:ascii="Calibri" w:hAnsi="Calibri"/>
          <w:b/>
          <w:i w:val="0"/>
          <w:color w:val="161829"/>
          <w:sz w:val="22"/>
        </w:rPr>
        <w:t xml:space="preserve">6. </w:t>
      </w:r>
      <w:r>
        <w:rPr>
          <w:rFonts w:ascii="Calibri" w:hAnsi="Calibri"/>
          <w:b w:val="0"/>
          <w:i w:val="0"/>
          <w:color w:val="161829"/>
          <w:sz w:val="22"/>
        </w:rPr>
        <w:t>Numerical inconsistencies between sections undermine confidence that the authors checked their own outputs. Section 5.2 reports enhanced response reducing cases from 23,332 to 15,959, but Table 5 reports the same intervention averting 7,373 cases (consistent), while the abstract and the structured results give different enhanced-response outbreak numbers, and the universal PCR breakeven is variously stated as roughly 45.0M (Table 5), above 65M (the "structured cost task"), and about 55M (the "user-specified brief"). Three different breakeven figures for the same intervention is confusing and the manuscript should reconcile these into a single reported value with a stated source.</w:t>
      </w:r>
    </w:p>
    <w:p>
      <w:pPr>
        <w:ind w:left="259" w:hanging="259"/>
      </w:pPr>
      <w:r>
        <w:rPr>
          <w:rFonts w:ascii="Calibri" w:hAnsi="Calibri"/>
          <w:b/>
          <w:i w:val="0"/>
          <w:color w:val="161829"/>
          <w:sz w:val="22"/>
        </w:rPr>
        <w:t xml:space="preserve">7. </w:t>
      </w:r>
      <w:r>
        <w:rPr>
          <w:rFonts w:ascii="Calibri" w:hAnsi="Calibri"/>
          <w:b w:val="0"/>
          <w:i w:val="0"/>
          <w:color w:val="161829"/>
          <w:sz w:val="22"/>
        </w:rPr>
        <w:t>The reliance on a single literature-derived cabin-mate odds ratio (38.7, from Mouchtouri et al. 2024) to justify travel-group clustering (Section 4.5) is thin, and that section has no figure. The household secondary attack rate range cited (13-48%) is wide enough that the travel-group amplification could be substantially under- or over-stated. Show how the cabin/travel-group correlation structure quantitatively affects the outbreak probability rather than asserting it does not change the need for the effective-index filter.</w:t>
      </w:r>
    </w:p>
    <w:p>
      <w:pPr>
        <w:ind w:left="259" w:hanging="259"/>
      </w:pPr>
      <w:r>
        <w:rPr>
          <w:rFonts w:ascii="Calibri" w:hAnsi="Calibri"/>
          <w:b/>
          <w:i w:val="0"/>
          <w:color w:val="161829"/>
          <w:sz w:val="22"/>
        </w:rPr>
        <w:t xml:space="preserve">8. </w:t>
      </w:r>
      <w:r>
        <w:rPr>
          <w:rFonts w:ascii="Calibri" w:hAnsi="Calibri"/>
          <w:b w:val="0"/>
          <w:i w:val="0"/>
          <w:color w:val="161829"/>
          <w:sz w:val="22"/>
        </w:rPr>
        <w:t>Figure presentation issues. Figure 2 panel (e) has no error bars on the outbreak frequency trend, so the declining rate from 4.2 to 1.3 per 1,000 voyages cannot be assessed for significance. Figure 2 panel (f) legend text is too small to read. Figure 4 contour lines are low-contrast and hard to read, and the panel labels in the vision-extracted version list k = 0.45 while the caption and text reference k = 0.85 or other values; clarify the actual dispersion values shown. Figure 1 shows no uncertainty bands despite being described as a Monte Carlo output.</w:t>
      </w:r>
    </w:p>
    <w:p>
      <w:pPr>
        <w:spacing w:before="280" w:after="120"/>
      </w:pPr>
      <w:r>
        <w:rPr>
          <w:rFonts w:ascii="Calibri" w:hAnsi="Calibri"/>
          <w:b/>
          <w:i w:val="0"/>
          <w:color w:val="163666"/>
          <w:sz w:val="25"/>
        </w:rPr>
        <w:t>3. Journal Fit &amp; Publication Potential</w:t>
      </w:r>
    </w:p>
    <w:p>
      <w:pPr>
        <w:spacing w:before="0" w:after="120"/>
      </w:pPr>
      <w:r>
        <w:rPr>
          <w:rFonts w:ascii="Calibri" w:hAnsi="Calibri"/>
          <w:b w:val="0"/>
          <w:i w:val="0"/>
          <w:color w:val="161829"/>
          <w:sz w:val="22"/>
        </w:rPr>
        <w:t>This is a reasonable fit for PLOS ONE, which is the realistic target. The work is technically sound, the decision framework is useful, the code is open-source, and PLOS ONE's criterion of methodological soundness rather than novelty or impact suits a paper whose main results are conditional and whose central parameter is non-identifiable. The honesty about limitations and the conditional framing are well-aligned with what that venue rewards. I would expect it to be publishable there after the revisions in Sections 2 and 4, principally the engagement with De Bellis et al. and Bizzotto et al., the reporting of simulation variance, and the reconciliation of the inconsistent cost figures.</w:t>
      </w:r>
    </w:p>
    <w:p>
      <w:pPr>
        <w:spacing w:before="0" w:after="120"/>
      </w:pPr>
      <w:r>
        <w:rPr>
          <w:rFonts w:ascii="Calibri" w:hAnsi="Calibri"/>
          <w:b w:val="0"/>
          <w:i w:val="0"/>
          <w:color w:val="161829"/>
          <w:sz w:val="22"/>
        </w:rPr>
        <w:t>The realistic ceiling above PLOS ONE would be a specialty travel-medicine or infectious-disease modeling journal such as Journal of Travel Medicine (where the De Bellis et al. branching-process work appeared) or Travel Medicine and Infectious Disease (where Bizzotto et al. appeared). Reaching that tier would require at least partial external validation of the effective-index concept, ideally calibration against an individual outbreak line list rather than only against aggregate VSP rates, so that the model competes on the same evidentiary footing as those papers. I do not think this work reaches a general high-impact venue in its current form, because the headline conclusions rest on a parameter set the authors themselves show is not uniquely identified and that has never been measured in a cruise cohort.</w:t>
      </w:r>
    </w:p>
    <w:p>
      <w:pPr>
        <w:spacing w:before="280" w:after="120"/>
      </w:pPr>
      <w:r>
        <w:rPr>
          <w:rFonts w:ascii="Calibri" w:hAnsi="Calibri"/>
          <w:b/>
          <w:i w:val="0"/>
          <w:color w:val="163666"/>
          <w:sz w:val="25"/>
        </w:rPr>
        <w:t>4. Key Experiments to Strengthen the Manuscript</w:t>
      </w:r>
    </w:p>
    <w:p>
      <w:pPr>
        <w:ind w:left="432" w:hanging="259"/>
      </w:pPr>
      <w:r>
        <w:rPr>
          <w:rFonts w:ascii="Calibri" w:hAnsi="Calibri"/>
          <w:b/>
          <w:i w:val="0"/>
          <w:color w:val="161829"/>
          <w:sz w:val="22"/>
        </w:rPr>
        <w:t xml:space="preserve">A. </w:t>
      </w:r>
      <w:r>
        <w:rPr>
          <w:rFonts w:ascii="Calibri" w:hAnsi="Calibri"/>
          <w:b w:val="0"/>
          <w:i w:val="0"/>
          <w:color w:val="161829"/>
          <w:sz w:val="22"/>
        </w:rPr>
        <w:t>[Essential] Benchmark the calibrated branching-process model against at least one published cruise norovirus line list. De Bellis et al. 2024 reconstructed transmission chains and estimated dispersion and isolation effectiveness from 121 cases; Bizzotto et al. 2025 used seven outbreaks totaling 359 cases. Refit or cross-check CTB's k, R_eff, and 72-hour isolation effect against these datasets and report whether the independently estimated values fall inside CTB's plausible ranges. Without this, the model has no external validation beyond aggregate VSP rates.</w:t>
      </w:r>
    </w:p>
    <w:p>
      <w:pPr>
        <w:ind w:left="432" w:hanging="259"/>
      </w:pPr>
      <w:r>
        <w:rPr>
          <w:rFonts w:ascii="Calibri" w:hAnsi="Calibri"/>
          <w:b/>
          <w:i w:val="0"/>
          <w:color w:val="161829"/>
          <w:sz w:val="22"/>
        </w:rPr>
        <w:t xml:space="preserve">B. </w:t>
      </w:r>
      <w:r>
        <w:rPr>
          <w:rFonts w:ascii="Calibri" w:hAnsi="Calibri"/>
          <w:b w:val="0"/>
          <w:i w:val="0"/>
          <w:color w:val="161829"/>
          <w:sz w:val="22"/>
        </w:rPr>
        <w:t>[Essential] Report all simulation-derived results with replicate counts and uncertainty intervals. For Sections 5.2, 5.4, and 6.1, state the number of seeds, report the distribution (not just the mean) of outbreaks and cases per 10,000 voyages, and add confidence intervals to every point estimate including the cost figures in Table 5. Provide a figure for the matched-seed experiment in 5.4.</w:t>
      </w:r>
    </w:p>
    <w:p>
      <w:pPr>
        <w:ind w:left="432" w:hanging="259"/>
      </w:pPr>
      <w:r>
        <w:rPr>
          <w:rFonts w:ascii="Calibri" w:hAnsi="Calibri"/>
          <w:b/>
          <w:i w:val="0"/>
          <w:color w:val="161829"/>
          <w:sz w:val="22"/>
        </w:rPr>
        <w:t xml:space="preserve">C. </w:t>
      </w:r>
      <w:r>
        <w:rPr>
          <w:rFonts w:ascii="Calibri" w:hAnsi="Calibri"/>
          <w:b w:val="0"/>
          <w:i w:val="0"/>
          <w:color w:val="161829"/>
          <w:sz w:val="22"/>
        </w:rPr>
        <w:t>[Essential] Propagate the non-identifiability into the economic conclusion. Recompute the universal-screening and enhanced-response cost-effectiveness across the full plausible parameter region in Table 4, not the single working parameterization, and report the n_eff (and seasonal susceptibility) value at which universal or gated screening becomes cost-effective. This converts the central claim from a point assertion into the conditional decision threshold the Discussion already argues it should be.</w:t>
      </w:r>
    </w:p>
    <w:p>
      <w:pPr>
        <w:ind w:left="432" w:hanging="259"/>
      </w:pPr>
      <w:r>
        <w:rPr>
          <w:rFonts w:ascii="Calibri" w:hAnsi="Calibri"/>
          <w:b/>
          <w:i w:val="0"/>
          <w:color w:val="161829"/>
          <w:sz w:val="22"/>
        </w:rPr>
        <w:t xml:space="preserve">D. </w:t>
      </w:r>
      <w:r>
        <w:rPr>
          <w:rFonts w:ascii="Calibri" w:hAnsi="Calibri"/>
          <w:b w:val="0"/>
          <w:i w:val="0"/>
          <w:color w:val="161829"/>
          <w:sz w:val="22"/>
        </w:rPr>
        <w:t>[Recommended] Add a structured sensitivity analysis of the filter decomposition to the VSP reporting threshold. Show how the three filter magnitudes (transmission-competent fraction, overdispersion fold, immunity fold) redistribute as the reportable-outbreak definition is varied, to demonstrate that the 400-fold decomposition is not an artifact of ascertainment.</w:t>
      </w:r>
    </w:p>
    <w:p>
      <w:pPr>
        <w:ind w:left="432" w:hanging="259"/>
      </w:pPr>
      <w:r>
        <w:rPr>
          <w:rFonts w:ascii="Calibri" w:hAnsi="Calibri"/>
          <w:b/>
          <w:i w:val="0"/>
          <w:color w:val="161829"/>
          <w:sz w:val="22"/>
        </w:rPr>
        <w:t xml:space="preserve">E. </w:t>
      </w:r>
      <w:r>
        <w:rPr>
          <w:rFonts w:ascii="Calibri" w:hAnsi="Calibri"/>
          <w:b w:val="0"/>
          <w:i w:val="0"/>
          <w:color w:val="161829"/>
          <w:sz w:val="22"/>
        </w:rPr>
        <w:t>[Recommended] Incorporate genotype-specific severity into the emergence model. Preston et al. 2026 (doi:10.1093/ofid/ofaf695.2359), already in your reference list, found GII.4 cases have more severe and longer symptoms than GII.17. Since reportable-outbreak status depends on symptom-driven case finding, genotype-specific severity should modulate the reporting probability, not only susceptibility. This would make the 3.9-fold emergence spike a function of severity-weighted ascertainment as well as immune escape.</w:t>
      </w:r>
    </w:p>
    <w:p>
      <w:pPr>
        <w:ind w:left="432" w:hanging="259"/>
      </w:pPr>
      <w:r>
        <w:rPr>
          <w:rFonts w:ascii="Calibri" w:hAnsi="Calibri"/>
          <w:b/>
          <w:i w:val="0"/>
          <w:color w:val="161829"/>
          <w:sz w:val="22"/>
        </w:rPr>
        <w:t xml:space="preserve">F. </w:t>
      </w:r>
      <w:r>
        <w:rPr>
          <w:rFonts w:ascii="Calibri" w:hAnsi="Calibri"/>
          <w:b w:val="0"/>
          <w:i w:val="0"/>
          <w:color w:val="161829"/>
          <w:sz w:val="22"/>
        </w:rPr>
        <w:t>[Recommended] Integrate the behavioral non-reporting evidence into the enhanced-response model. Neri et al. 2008 (doi:10.1111/j.1708-8305.2008.00199.x) showed cases were significantly less likely to report illness or believe in isolation, and Chimonas et al. 2008 documented poor hand hygiene despite adequate environmental practices. The enhanced-response scenario assumes 50% case detection; ground this assumption in those data or show sensitivity to it, since delayed reporting is precisely what De Bellis et al. found characterizes superspreaders.</w:t>
      </w:r>
    </w:p>
    <w:p>
      <w:pPr>
        <w:spacing w:before="280" w:after="120"/>
      </w:pPr>
      <w:r>
        <w:rPr>
          <w:rFonts w:ascii="Calibri" w:hAnsi="Calibri"/>
          <w:b/>
          <w:i w:val="0"/>
          <w:color w:val="163666"/>
          <w:sz w:val="25"/>
        </w:rPr>
        <w:t>5. Mechanistic Depth</w:t>
      </w:r>
    </w:p>
    <w:p>
      <w:pPr>
        <w:spacing w:before="0" w:after="120"/>
      </w:pPr>
      <w:r>
        <w:rPr>
          <w:rFonts w:ascii="Calibri" w:hAnsi="Calibri"/>
          <w:b w:val="0"/>
          <w:i w:val="0"/>
          <w:color w:val="161829"/>
          <w:sz w:val="22"/>
        </w:rPr>
        <w:t>For PLOS ONE the mechanistic bar is methodological soundness rather than novel biological mechanism, and the manuscript largely clears it: the branching-process extinction formula is stated, the negative-binomial offspring rationale is grounded in the superspreading literature (Lloyd-Smith et al.), and the shedding-phase decomposition is anchored in challenge and outbreak studies. What is missing for soundness, not for depth, is the link between the fitted hidden state and any observable. The "effective index case" is defined as the conjunction of acute high-titer shedding, non-exclusion at boarding, sufficient susceptibility, and a surviving transmission pathway, but none of these is independently measured in this work; they are bundled into a single fitted rate. The model is therefore mechanistically descriptive rather than mechanistically validated.</w:t>
      </w:r>
    </w:p>
    <w:p>
      <w:pPr>
        <w:spacing w:before="0" w:after="120"/>
      </w:pPr>
      <w:r>
        <w:rPr>
          <w:rFonts w:ascii="Calibri" w:hAnsi="Calibri"/>
          <w:b w:val="0"/>
          <w:i w:val="0"/>
          <w:color w:val="161829"/>
          <w:sz w:val="22"/>
        </w:rPr>
        <w:t>Sufficient mechanism for the realistic ceiling (a travel-medicine specialty journal) would mean demonstrating that the model reproduces an out-of-sample outbreak it was not fit to, ideally an individual line list with its observed attack rate, serial interval, and superspreading structure, and showing that the fitted n_eff is consistent with the chain-reconstruction estimates from De Bellis et al. For PLOS ONE specifically, the deeper mechanism is not required, but the authors must stop presenting the fitted filter magnitudes as if they were measured biological constants and must reconcile their dispersion and isolation estimates with the published cruise-specific values. The emergence claim in particular needs more than a fitted susceptibility increase: tying it to the genotype-specific severity in Preston et al. 2026 and the immune-escape biology in Lindesmith et al. 2008 would give the 3.9-fold spike a mechanism rather than a parameter.</w:t>
      </w:r>
    </w:p>
    <w:p>
      <w:pPr>
        <w:spacing w:before="280" w:after="120"/>
      </w:pPr>
      <w:r>
        <w:rPr>
          <w:rFonts w:ascii="Calibri" w:hAnsi="Calibri"/>
          <w:b/>
          <w:i w:val="0"/>
          <w:color w:val="163666"/>
          <w:sz w:val="25"/>
        </w:rPr>
        <w:t>6. Practical Impact &amp; Reproducibility</w:t>
      </w:r>
    </w:p>
    <w:p>
      <w:pPr>
        <w:spacing w:before="0" w:after="120"/>
      </w:pPr>
      <w:r>
        <w:rPr>
          <w:rFonts w:ascii="Calibri" w:hAnsi="Calibri"/>
          <w:b w:val="0"/>
          <w:i w:val="0"/>
          <w:color w:val="161829"/>
          <w:sz w:val="22"/>
        </w:rPr>
        <w:t>The practical framing is appropriate for the target tier and is one of the manuscript's strengths. The conditional decision logic, spend after signal enrichment when base rates are low, tolerate screening cost when consequence severity is high, revisit pooling when assays go sub-dollar, is exactly the kind of operationally useful output a cruise medical or public-health team can act on. The open-source repository, the explicit supplementary configuration tables (Tables 6 and 7) listing which parameters must be replaced before applying CTB to naval or expedition settings, and the SonarQube quality gating all support adoptability. The restraint in not assigning cost-effectiveness conclusions to non-cruise platforms is commendable and unusual.</w:t>
      </w:r>
    </w:p>
    <w:p>
      <w:pPr>
        <w:spacing w:before="0" w:after="120"/>
      </w:pPr>
      <w:r>
        <w:rPr>
          <w:rFonts w:ascii="Calibri" w:hAnsi="Calibri"/>
          <w:b w:val="0"/>
          <w:i w:val="0"/>
          <w:color w:val="161829"/>
          <w:sz w:val="22"/>
        </w:rPr>
        <w:t>Reproducibility is partially met but has gaps. The repository is referenced and the branching-process extinction equation is given in the methods, but the methods text does not specify the full parameterization of the shedding curve, the cost model inputs, the simulation seed counts, or the cost assumptions behind the 280,442 dollar per-voyage figure beyond the 55 dollar PCR unit cost. A reader cannot currently reproduce Figure 6 or Table 5 from the text alone. The statement that all values are "reproducible from the CTB repository" is not a substitute for stating the inputs in the paper. Before publication I would require the methods or a supplement to specify the shedding-phase distribution, the full cost-model inputs, the number of simulated voyages and seeds per scenario, and the exact source and value for each breakeven figure, so the economic conclusions can be checked without reverse-engineering the code. The AI-assisted development disclosure (Devin, Cursor) is appropriate and does not affect reproducibility provided the released code is the artifact of record.</w:t>
      </w:r>
    </w:p>
    <w:p>
      <w:pPr>
        <w:spacing w:before="280" w:after="120"/>
      </w:pPr>
      <w:r>
        <w:rPr>
          <w:rFonts w:ascii="Calibri" w:hAnsi="Calibri"/>
          <w:b/>
          <w:i w:val="0"/>
          <w:color w:val="163666"/>
          <w:sz w:val="25"/>
        </w:rPr>
        <w:t>References</w:t>
      </w:r>
    </w:p>
    <w:p>
      <w:pPr>
        <w:spacing w:before="0" w:after="120"/>
      </w:pPr>
      <w:r>
        <w:rPr>
          <w:rFonts w:ascii="Calibri" w:hAnsi="Calibri"/>
          <w:b w:val="0"/>
          <w:i w:val="0"/>
          <w:color w:val="161829"/>
          <w:sz w:val="22"/>
        </w:rPr>
        <w:t>_The literature this review draws on. These are the reviewer's sources, not your manuscript's own reference list (which is screened separately in the Reference Integrity Check)._</w:t>
      </w:r>
    </w:p>
    <w:p>
      <w:pPr>
        <w:ind w:left="259" w:hanging="259"/>
      </w:pPr>
      <w:r>
        <w:rPr>
          <w:rFonts w:ascii="Calibri" w:hAnsi="Calibri"/>
          <w:b/>
          <w:i w:val="0"/>
          <w:color w:val="161829"/>
          <w:sz w:val="22"/>
        </w:rPr>
        <w:t xml:space="preserve">1. </w:t>
      </w:r>
      <w:r>
        <w:rPr>
          <w:rFonts w:ascii="Calibri" w:hAnsi="Calibri"/>
          <w:b w:val="0"/>
          <w:i w:val="0"/>
          <w:color w:val="161829"/>
          <w:sz w:val="22"/>
        </w:rPr>
        <w:t>David. K"uhn, and Michael Meyer-Hermann.</w:t>
      </w:r>
    </w:p>
    <w:p>
      <w:pPr>
        <w:ind w:left="259" w:hanging="259"/>
      </w:pPr>
      <w:r>
        <w:rPr>
          <w:rFonts w:ascii="Calibri" w:hAnsi="Calibri"/>
          <w:b/>
          <w:i w:val="0"/>
          <w:color w:val="161829"/>
          <w:sz w:val="22"/>
        </w:rPr>
        <w:t xml:space="preserve">2. </w:t>
      </w:r>
      <w:r>
        <w:rPr>
          <w:rFonts w:ascii="Calibri" w:hAnsi="Calibri"/>
          <w:b w:val="0"/>
          <w:i w:val="0"/>
          <w:color w:val="161829"/>
          <w:sz w:val="22"/>
        </w:rPr>
        <w:t>S. K. Laha et al.. Transmission Dynamics and Estimation of Basic Reproduction Number (R0) from Early Outbreak of Novel Coronavirus (COVID-19) in India. doi:10.1007/978-981-15-8097-0_1</w:t>
      </w:r>
    </w:p>
    <w:p>
      <w:pPr>
        <w:ind w:left="259" w:hanging="259"/>
      </w:pPr>
      <w:r>
        <w:rPr>
          <w:rFonts w:ascii="Calibri" w:hAnsi="Calibri"/>
          <w:b/>
          <w:i w:val="0"/>
          <w:color w:val="161829"/>
          <w:sz w:val="22"/>
        </w:rPr>
        <w:t xml:space="preserve">3. </w:t>
      </w:r>
      <w:r>
        <w:rPr>
          <w:rFonts w:ascii="Calibri" w:hAnsi="Calibri"/>
          <w:b w:val="0"/>
          <w:i w:val="0"/>
          <w:color w:val="161829"/>
          <w:sz w:val="22"/>
        </w:rPr>
        <w:t>Lisa C. Lindesmith et al. (2008). Mechanisms of GII.4 Norovirus Persistence in Human Populations. doi:10.1371/journal.pmed.0050031</w:t>
      </w:r>
    </w:p>
    <w:p>
      <w:pPr>
        <w:ind w:left="259" w:hanging="259"/>
      </w:pPr>
      <w:r>
        <w:rPr>
          <w:rFonts w:ascii="Calibri" w:hAnsi="Calibri"/>
          <w:b/>
          <w:i w:val="0"/>
          <w:color w:val="161829"/>
          <w:sz w:val="22"/>
        </w:rPr>
        <w:t xml:space="preserve">4. </w:t>
      </w:r>
      <w:r>
        <w:rPr>
          <w:rFonts w:ascii="Calibri" w:hAnsi="Calibri"/>
          <w:b w:val="0"/>
          <w:i w:val="0"/>
          <w:color w:val="161829"/>
          <w:sz w:val="22"/>
        </w:rPr>
        <w:t>J. Joukje Siebenga et al. (2009). Norovirus Illness Is a Global Problem: Emergence and Spread of Norovirus GII.4 Variants, 2001–2007. doi:10.1086/605127</w:t>
      </w:r>
    </w:p>
    <w:p>
      <w:pPr>
        <w:ind w:left="259" w:hanging="259"/>
      </w:pPr>
      <w:r>
        <w:rPr>
          <w:rFonts w:ascii="Calibri" w:hAnsi="Calibri"/>
          <w:b/>
          <w:i w:val="0"/>
          <w:color w:val="161829"/>
          <w:sz w:val="22"/>
        </w:rPr>
        <w:t xml:space="preserve">5. </w:t>
      </w:r>
      <w:r>
        <w:rPr>
          <w:rFonts w:ascii="Calibri" w:hAnsi="Calibri"/>
          <w:b w:val="0"/>
          <w:i w:val="0"/>
          <w:color w:val="161829"/>
          <w:sz w:val="22"/>
        </w:rPr>
        <w:t>John‐Sebastian Eden et al. (2013). Recombination within the Pandemic Norovirus GII.4 Lineage. doi:10.1128/jvi.03464-12</w:t>
      </w:r>
    </w:p>
    <w:p>
      <w:pPr>
        <w:ind w:left="259" w:hanging="259"/>
      </w:pPr>
      <w:r>
        <w:rPr>
          <w:rFonts w:ascii="Calibri" w:hAnsi="Calibri"/>
          <w:b/>
          <w:i w:val="0"/>
          <w:color w:val="161829"/>
          <w:sz w:val="22"/>
        </w:rPr>
        <w:t xml:space="preserve">6. </w:t>
      </w:r>
      <w:r>
        <w:rPr>
          <w:rFonts w:ascii="Calibri" w:hAnsi="Calibri"/>
          <w:b w:val="0"/>
          <w:i w:val="0"/>
          <w:color w:val="161829"/>
          <w:sz w:val="22"/>
        </w:rPr>
        <w:t>Miranda de Graaf et al. (2015). Emergence of a novel GII.17 norovirus – End of the GII.4 era?. doi:10.2807/1560-7917.es2015.20.26.21178</w:t>
      </w:r>
    </w:p>
    <w:p>
      <w:pPr>
        <w:ind w:left="259" w:hanging="259"/>
      </w:pPr>
      <w:r>
        <w:rPr>
          <w:rFonts w:ascii="Calibri" w:hAnsi="Calibri"/>
          <w:b/>
          <w:i w:val="0"/>
          <w:color w:val="161829"/>
          <w:sz w:val="22"/>
        </w:rPr>
        <w:t xml:space="preserve">7. </w:t>
      </w:r>
      <w:r>
        <w:rPr>
          <w:rFonts w:ascii="Calibri" w:hAnsi="Calibri"/>
          <w:b w:val="0"/>
          <w:i w:val="0"/>
          <w:color w:val="161829"/>
          <w:sz w:val="22"/>
        </w:rPr>
        <w:t>N. Zhang et al. (2016). Contact infection of infectious disease onboard a cruise ship. doi:10.1038/srep38790</w:t>
      </w:r>
    </w:p>
    <w:p>
      <w:pPr>
        <w:ind w:left="259" w:hanging="259"/>
      </w:pPr>
      <w:r>
        <w:rPr>
          <w:rFonts w:ascii="Calibri" w:hAnsi="Calibri"/>
          <w:b/>
          <w:i w:val="0"/>
          <w:color w:val="161829"/>
          <w:sz w:val="22"/>
        </w:rPr>
        <w:t xml:space="preserve">8. </w:t>
      </w:r>
      <w:r>
        <w:rPr>
          <w:rFonts w:ascii="Calibri" w:hAnsi="Calibri"/>
          <w:b w:val="0"/>
          <w:i w:val="0"/>
          <w:color w:val="161829"/>
          <w:sz w:val="22"/>
        </w:rPr>
        <w:t>Katy A. M. Gaythorpe et al. (2017). Norovirus transmission dynamics: a modelling review. doi:10.1017/s0950268817002692</w:t>
      </w:r>
    </w:p>
    <w:p>
      <w:pPr>
        <w:ind w:left="259" w:hanging="259"/>
      </w:pPr>
      <w:r>
        <w:rPr>
          <w:rFonts w:ascii="Calibri" w:hAnsi="Calibri"/>
          <w:b/>
          <w:i w:val="0"/>
          <w:color w:val="161829"/>
          <w:sz w:val="22"/>
        </w:rPr>
        <w:t xml:space="preserve">9. </w:t>
      </w:r>
      <w:r>
        <w:rPr>
          <w:rFonts w:ascii="Calibri" w:hAnsi="Calibri"/>
          <w:b w:val="0"/>
          <w:i w:val="0"/>
          <w:color w:val="161829"/>
          <w:sz w:val="22"/>
        </w:rPr>
        <w:t>Jeffrey J. Fisher et al. (2018). Norovirus on cruise ships: Motivation for handwashing?. doi:10.1016/j.ijhm.2018.02.001</w:t>
      </w:r>
    </w:p>
    <w:p>
      <w:pPr>
        <w:ind w:left="259" w:hanging="259"/>
      </w:pPr>
      <w:r>
        <w:rPr>
          <w:rFonts w:ascii="Calibri" w:hAnsi="Calibri"/>
          <w:b/>
          <w:i w:val="0"/>
          <w:color w:val="161829"/>
          <w:sz w:val="22"/>
        </w:rPr>
        <w:t xml:space="preserve">10. </w:t>
      </w:r>
      <w:r>
        <w:rPr>
          <w:rFonts w:ascii="Calibri" w:hAnsi="Calibri"/>
          <w:b w:val="0"/>
          <w:i w:val="0"/>
          <w:color w:val="161829"/>
          <w:sz w:val="22"/>
        </w:rPr>
        <w:t>Alfredo De Bellis et al. (2024). Mitigating norovirus spread on cruise ships: a model-based assessment of diagnostic timing and isolation. doi:10.1093/jtm/taaf059</w:t>
      </w:r>
    </w:p>
    <w:p>
      <w:pPr>
        <w:ind w:left="259" w:hanging="259"/>
      </w:pPr>
      <w:r>
        <w:rPr>
          <w:rFonts w:ascii="Calibri" w:hAnsi="Calibri"/>
          <w:b/>
          <w:i w:val="0"/>
          <w:color w:val="161829"/>
          <w:sz w:val="22"/>
        </w:rPr>
        <w:t xml:space="preserve">11. </w:t>
      </w:r>
      <w:r>
        <w:rPr>
          <w:rFonts w:ascii="Calibri" w:hAnsi="Calibri"/>
          <w:b w:val="0"/>
          <w:i w:val="0"/>
          <w:color w:val="161829"/>
          <w:sz w:val="22"/>
        </w:rPr>
        <w:t>Lauren A Ford-Siltz et al. (2024). Characterization of cross-reactive, non-neutralizing monoclonal antibodies against a pandemic GII.4 norovirus variant.. doi:10.1128/spectrum.01143-24</w:t>
      </w:r>
    </w:p>
    <w:p>
      <w:pPr>
        <w:ind w:left="259" w:hanging="259"/>
      </w:pPr>
      <w:r>
        <w:rPr>
          <w:rFonts w:ascii="Calibri" w:hAnsi="Calibri"/>
          <w:b/>
          <w:i w:val="0"/>
          <w:color w:val="161829"/>
          <w:sz w:val="22"/>
        </w:rPr>
        <w:t xml:space="preserve">12. </w:t>
      </w:r>
      <w:r>
        <w:rPr>
          <w:rFonts w:ascii="Calibri" w:hAnsi="Calibri"/>
          <w:b w:val="0"/>
          <w:i w:val="0"/>
          <w:color w:val="161829"/>
          <w:sz w:val="22"/>
        </w:rPr>
        <w:t>V. Mouchtouri et al. (2024). Systematic literature review and meta-analysis on preventing and controlling norovirus outbreaks on cruise ships, 1990 to 2020: calling for behaviour change strategies of travellers. doi:10.2807/1560-7917.es.2024.29.10.2300345</w:t>
      </w:r>
    </w:p>
    <w:p>
      <w:pPr>
        <w:ind w:left="259" w:hanging="259"/>
      </w:pPr>
      <w:r>
        <w:rPr>
          <w:rFonts w:ascii="Calibri" w:hAnsi="Calibri"/>
          <w:b/>
          <w:i w:val="0"/>
          <w:color w:val="161829"/>
          <w:sz w:val="22"/>
        </w:rPr>
        <w:t xml:space="preserve">13. </w:t>
      </w:r>
      <w:r>
        <w:rPr>
          <w:rFonts w:ascii="Calibri" w:hAnsi="Calibri"/>
          <w:b w:val="0"/>
          <w:i w:val="0"/>
          <w:color w:val="161829"/>
          <w:sz w:val="22"/>
        </w:rPr>
        <w:t>Andrea Bizzotto et al. (2025). Forecasting norovirus cases on cruise ships to support outbreak management on board.. doi:10.1016/j.tmaid.2025.102850</w:t>
      </w:r>
    </w:p>
    <w:p>
      <w:pPr>
        <w:ind w:left="259" w:hanging="259"/>
      </w:pPr>
      <w:r>
        <w:rPr>
          <w:rFonts w:ascii="Calibri" w:hAnsi="Calibri"/>
          <w:b/>
          <w:i w:val="0"/>
          <w:color w:val="161829"/>
          <w:sz w:val="22"/>
        </w:rPr>
        <w:t xml:space="preserve">14. </w:t>
      </w:r>
      <w:r>
        <w:rPr>
          <w:rFonts w:ascii="Calibri" w:hAnsi="Calibri"/>
          <w:b w:val="0"/>
          <w:i w:val="0"/>
          <w:color w:val="161829"/>
          <w:sz w:val="22"/>
        </w:rPr>
        <w:t>Meng Zhang et al. (2025). Epidemiological characteristics and transmission dynamics of the early stage Chikungunya fever outbreak in Foshan City, Guangdong Province, China in 2025. doi:10.1186/s40249-025-01364-y</w:t>
      </w:r>
    </w:p>
    <w:p>
      <w:pPr>
        <w:ind w:left="259" w:hanging="259"/>
      </w:pPr>
      <w:r>
        <w:rPr>
          <w:rFonts w:ascii="Calibri" w:hAnsi="Calibri"/>
          <w:b/>
          <w:i w:val="0"/>
          <w:color w:val="161829"/>
          <w:sz w:val="22"/>
        </w:rPr>
        <w:t xml:space="preserve">15. </w:t>
      </w:r>
      <w:r>
        <w:rPr>
          <w:rFonts w:ascii="Calibri" w:hAnsi="Calibri"/>
          <w:b w:val="0"/>
          <w:i w:val="0"/>
          <w:color w:val="161829"/>
          <w:sz w:val="22"/>
        </w:rPr>
        <w:t>O. J. Peter (2025). Modelling measles transmission dynamics and the impact of control strategies on outbreak Management. doi:10.1080/17513758.2025.2479448</w:t>
      </w:r>
    </w:p>
    <w:p>
      <w:pPr>
        <w:ind w:left="259" w:hanging="259"/>
      </w:pPr>
      <w:r>
        <w:rPr>
          <w:rFonts w:ascii="Calibri" w:hAnsi="Calibri"/>
          <w:b/>
          <w:i w:val="0"/>
          <w:color w:val="161829"/>
          <w:sz w:val="22"/>
        </w:rPr>
        <w:t xml:space="preserve">16. </w:t>
      </w:r>
      <w:r>
        <w:rPr>
          <w:rFonts w:ascii="Calibri" w:hAnsi="Calibri"/>
          <w:b w:val="0"/>
          <w:i w:val="0"/>
          <w:color w:val="161829"/>
          <w:sz w:val="22"/>
        </w:rPr>
        <w:t>T. V. Mupedza et al. (2025). Modeling the effects of treatment adherence challenges on the transmission dynamics of hepatitis C virus. doi:10.1371/journal.pone.0329543</w:t>
      </w:r>
    </w:p>
    <w:p>
      <w:pPr>
        <w:ind w:left="259" w:hanging="259"/>
      </w:pPr>
      <w:r>
        <w:rPr>
          <w:rFonts w:ascii="Calibri" w:hAnsi="Calibri"/>
          <w:b/>
          <w:i w:val="0"/>
          <w:color w:val="161829"/>
          <w:sz w:val="22"/>
        </w:rPr>
        <w:t xml:space="preserve">17. </w:t>
      </w:r>
      <w:r>
        <w:rPr>
          <w:rFonts w:ascii="Calibri" w:hAnsi="Calibri"/>
          <w:b w:val="0"/>
          <w:i w:val="0"/>
          <w:color w:val="161829"/>
          <w:sz w:val="22"/>
        </w:rPr>
        <w:t>Jiayu Pan et al. (2026). Spatial and operational interventions for healthy cruise ship design using agent-based modelling. doi:10.1016/j.tbs.2026.101232</w:t>
      </w:r>
    </w:p>
    <w:p>
      <w:pPr>
        <w:ind w:left="259" w:hanging="259"/>
      </w:pPr>
      <w:r>
        <w:rPr>
          <w:rFonts w:ascii="Calibri" w:hAnsi="Calibri"/>
          <w:b/>
          <w:i w:val="0"/>
          <w:color w:val="161829"/>
          <w:sz w:val="22"/>
        </w:rPr>
        <w:t xml:space="preserve">18. </w:t>
      </w:r>
      <w:r>
        <w:rPr>
          <w:rFonts w:ascii="Calibri" w:hAnsi="Calibri"/>
          <w:b w:val="0"/>
          <w:i w:val="0"/>
          <w:color w:val="161829"/>
          <w:sz w:val="22"/>
        </w:rPr>
        <w:t>Leigh Ellyn Preston et al. (2026). P-2196. Key Differences in Norovirus Genotypes during Cruise Ship Outbreaks, September 1, 2020 to March 31, 2025. doi:10.1093/ofid/ofaf695.2359</w:t>
      </w:r>
    </w:p>
    <w:p>
      <w:pPr>
        <w:ind w:left="259" w:hanging="259"/>
      </w:pPr>
      <w:r>
        <w:rPr>
          <w:rFonts w:ascii="Calibri" w:hAnsi="Calibri"/>
          <w:b/>
          <w:i w:val="0"/>
          <w:color w:val="161829"/>
          <w:sz w:val="22"/>
        </w:rPr>
        <w:t xml:space="preserve">19. </w:t>
      </w:r>
      <w:r>
        <w:rPr>
          <w:rFonts w:ascii="Calibri" w:hAnsi="Calibri"/>
          <w:b w:val="0"/>
          <w:i w:val="0"/>
          <w:color w:val="161829"/>
          <w:sz w:val="22"/>
        </w:rPr>
        <w:t>Lijuan Yin et al. (2026). A lyophilized paper-based platform integrating RT-RPA and CRISPR/Cas12a for smartphone-assisted point-of-care detection of norovirus in environmental and food samples. doi:10.1016/j.cej.2026.172832</w:t>
      </w:r>
    </w:p>
    <w:p>
      <w:pPr>
        <w:spacing w:before="280" w:after="120"/>
      </w:pPr>
      <w:r>
        <w:rPr>
          <w:rFonts w:ascii="Calibri" w:hAnsi="Calibri"/>
          <w:b/>
          <w:i w:val="0"/>
          <w:color w:val="163666"/>
          <w:sz w:val="25"/>
        </w:rPr>
        <w:t>Verification Receipt</w:t>
      </w:r>
    </w:p>
    <w:p>
      <w:pPr>
        <w:spacing w:before="0" w:after="120"/>
      </w:pPr>
      <w:r>
        <w:rPr>
          <w:rFonts w:ascii="Calibri" w:hAnsi="Calibri"/>
          <w:b w:val="0"/>
          <w:i w:val="0"/>
          <w:color w:val="161829"/>
          <w:sz w:val="22"/>
        </w:rPr>
        <w:t>What we machine-checked on your submission. These are deterministic checks (not opinions); the detail behind each is in the sections below.</w:t>
      </w:r>
    </w:p>
    <w:p>
      <w:pPr>
        <w:spacing w:before="0" w:after="120"/>
      </w:pPr>
      <w:r>
        <w:rPr>
          <w:rFonts w:ascii="Calibri" w:hAnsi="Calibri"/>
          <w:b w:val="0"/>
          <w:i w:val="0"/>
          <w:color w:val="161829"/>
          <w:sz w:val="22"/>
        </w:rPr>
        <w:t>- No retracted, expression-of-concern, or hijacked-journal references were detected among the 64 reference(s) we could resolve and screen.</w:t>
      </w:r>
    </w:p>
    <w:p>
      <w:pPr>
        <w:spacing w:before="0" w:after="120"/>
      </w:pPr>
      <w:r>
        <w:rPr>
          <w:rFonts w:ascii="Calibri" w:hAnsi="Calibri"/>
          <w:b w:val="0"/>
          <w:i w:val="0"/>
          <w:color w:val="161829"/>
          <w:sz w:val="22"/>
        </w:rPr>
        <w:t>- 1 claim(s) where a cited source may not fully support the statement as written, please review (detail in Citation Accuracy Analysis below).</w:t>
      </w:r>
    </w:p>
    <w:p>
      <w:pPr>
        <w:spacing w:before="0" w:after="120"/>
      </w:pPr>
      <w:r>
        <w:rPr>
          <w:rFonts w:ascii="Calibri" w:hAnsi="Calibri"/>
          <w:b w:val="0"/>
          <w:i w:val="0"/>
          <w:color w:val="161829"/>
          <w:sz w:val="22"/>
        </w:rPr>
        <w:t>_Resolved and screened 64 of 85 references (only references that resolve to a bibliographic record can be auto-screened) and 3 citation-claim pair(s). Items marked to verify are signals for your attention, not verdicts._</w:t>
      </w:r>
    </w:p>
    <w:p>
      <w:pPr>
        <w:spacing w:before="280" w:after="120"/>
      </w:pPr>
      <w:r>
        <w:rPr>
          <w:rFonts w:ascii="Calibri" w:hAnsi="Calibri"/>
          <w:b/>
          <w:i w:val="0"/>
          <w:color w:val="163666"/>
          <w:sz w:val="25"/>
        </w:rPr>
        <w:t>Reference Integrity Check</w:t>
      </w:r>
    </w:p>
    <w:p>
      <w:pPr>
        <w:spacing w:before="0" w:after="120"/>
      </w:pPr>
      <w:r>
        <w:rPr>
          <w:rFonts w:ascii="Calibri" w:hAnsi="Calibri"/>
          <w:b w:val="0"/>
          <w:i w:val="0"/>
          <w:color w:val="161829"/>
          <w:sz w:val="22"/>
        </w:rPr>
        <w:t>_We screen your manuscript's own reference list below; the numbers here are your manuscript's own bibliography, not the sources cited in the review's References list above._</w:t>
      </w:r>
    </w:p>
    <w:p>
      <w:pPr>
        <w:spacing w:before="0" w:after="120"/>
      </w:pPr>
      <w:r>
        <w:rPr>
          <w:rFonts w:ascii="Calibri" w:hAnsi="Calibri"/>
          <w:b/>
          <w:i w:val="0"/>
          <w:color w:val="161829"/>
          <w:sz w:val="22"/>
        </w:rPr>
        <w:t>85 references analyzed</w:t>
      </w:r>
      <w:r>
        <w:rPr>
          <w:rFonts w:ascii="Calibri" w:hAnsi="Calibri"/>
          <w:b w:val="0"/>
          <w:i w:val="0"/>
          <w:color w:val="161829"/>
          <w:sz w:val="22"/>
        </w:rPr>
        <w:t xml:space="preserve"> | 64 verified | 0 minor mismatch(es) | 0 abstract-only | 21 could not confidently match | 0 retracted</w:t>
      </w:r>
    </w:p>
    <w:p>
      <w:pPr>
        <w:spacing w:before="0" w:after="120"/>
      </w:pPr>
      <w:r>
        <w:rPr>
          <w:rFonts w:ascii="Calibri" w:hAnsi="Calibri"/>
          <w:b w:val="0"/>
          <w:i w:val="0"/>
          <w:color w:val="161829"/>
          <w:sz w:val="22"/>
        </w:rPr>
        <w:t>### References Needing Correction or Confirmation</w:t>
      </w:r>
    </w:p>
    <w:p>
      <w:pPr>
        <w:spacing w:before="0" w:after="120"/>
      </w:pPr>
      <w:r>
        <w:rPr>
          <w:rFonts w:ascii="Calibri" w:hAnsi="Calibri"/>
          <w:b w:val="0"/>
          <w:i w:val="0"/>
          <w:color w:val="161829"/>
          <w:sz w:val="22"/>
        </w:rPr>
        <w:t>These entries should be checked manually before submission because the automated matcher could not cleanly confirm the bibliographic record or citation type. A low-confidence match often just means the reference is a book, preprint, thesis, or non-indexed source, not that it is wrong.</w:t>
      </w:r>
    </w:p>
    <w:p>
      <w:pPr>
        <w:spacing w:before="0" w:after="120"/>
      </w:pPr>
      <w:r>
        <w:rPr>
          <w:rFonts w:ascii="Calibri" w:hAnsi="Calibri"/>
          <w:b w:val="0"/>
          <w:i w:val="0"/>
          <w:color w:val="161829"/>
          <w:sz w:val="22"/>
        </w:rPr>
        <w:t>- [15] K"uhn, and Michael Meyer-Hermann - Could not confidently match, please verify</w:t>
      </w:r>
    </w:p>
    <w:p>
      <w:pPr>
        <w:spacing w:before="0" w:after="120"/>
      </w:pPr>
      <w:r>
        <w:rPr>
          <w:rFonts w:ascii="Calibri" w:hAnsi="Calibri"/>
          <w:b w:val="0"/>
          <w:i w:val="0"/>
          <w:color w:val="161829"/>
          <w:sz w:val="22"/>
        </w:rPr>
        <w:t>Note: low_confidence_match</w:t>
      </w:r>
    </w:p>
    <w:p>
      <w:pPr>
        <w:spacing w:before="0" w:after="120"/>
      </w:pPr>
      <w:r>
        <w:rPr>
          <w:rFonts w:ascii="Calibri" w:hAnsi="Calibri"/>
          <w:b w:val="0"/>
          <w:i w:val="0"/>
          <w:color w:val="161829"/>
          <w:sz w:val="22"/>
        </w:rPr>
        <w:t>- [21] Kucharski, and Sebastian Funk - Could not confidently match, please verify</w:t>
      </w:r>
    </w:p>
    <w:p>
      <w:pPr>
        <w:spacing w:before="0" w:after="120"/>
      </w:pPr>
      <w:r>
        <w:rPr>
          <w:rFonts w:ascii="Calibri" w:hAnsi="Calibri"/>
          <w:b w:val="0"/>
          <w:i w:val="0"/>
          <w:color w:val="161829"/>
          <w:sz w:val="22"/>
        </w:rPr>
        <w:t>Note: low_confidence_match</w:t>
      </w:r>
    </w:p>
    <w:p>
      <w:pPr>
        <w:spacing w:before="0" w:after="120"/>
      </w:pPr>
      <w:r>
        <w:rPr>
          <w:rFonts w:ascii="Calibri" w:hAnsi="Calibri"/>
          <w:b w:val="0"/>
          <w:i w:val="0"/>
          <w:color w:val="161829"/>
          <w:sz w:val="22"/>
        </w:rPr>
        <w:t>- [27] doi: 10.1016/j.ajic - Could not confidently match, please verify</w:t>
      </w:r>
    </w:p>
    <w:p>
      <w:pPr>
        <w:spacing w:before="0" w:after="120"/>
      </w:pPr>
      <w:r>
        <w:rPr>
          <w:rFonts w:ascii="Calibri" w:hAnsi="Calibri"/>
          <w:b w:val="0"/>
          <w:i w:val="0"/>
          <w:color w:val="161829"/>
          <w:sz w:val="22"/>
        </w:rPr>
        <w:t>DOI: 10.1016/j.ajic</w:t>
      </w:r>
    </w:p>
    <w:p>
      <w:pPr>
        <w:spacing w:before="0" w:after="120"/>
      </w:pPr>
      <w:r>
        <w:rPr>
          <w:rFonts w:ascii="Calibri" w:hAnsi="Calibri"/>
          <w:b w:val="0"/>
          <w:i w:val="0"/>
          <w:color w:val="161829"/>
          <w:sz w:val="22"/>
        </w:rPr>
        <w:t>Note: DOI not found in CrossRef</w:t>
      </w:r>
    </w:p>
    <w:p>
      <w:pPr>
        <w:spacing w:before="0" w:after="120"/>
      </w:pPr>
      <w:r>
        <w:rPr>
          <w:rFonts w:ascii="Calibri" w:hAnsi="Calibri"/>
          <w:b w:val="0"/>
          <w:i w:val="0"/>
          <w:color w:val="161829"/>
          <w:sz w:val="22"/>
        </w:rPr>
        <w:t>- [44] Lindesmith, Eric F - Could not confidently match, please verify</w:t>
      </w:r>
    </w:p>
    <w:p>
      <w:pPr>
        <w:spacing w:before="0" w:after="120"/>
      </w:pPr>
      <w:r>
        <w:rPr>
          <w:rFonts w:ascii="Calibri" w:hAnsi="Calibri"/>
          <w:b w:val="0"/>
          <w:i w:val="0"/>
          <w:color w:val="161829"/>
          <w:sz w:val="22"/>
        </w:rPr>
        <w:t>Note: low_confidence_match</w:t>
      </w:r>
    </w:p>
    <w:p>
      <w:pPr>
        <w:spacing w:before="0" w:after="120"/>
      </w:pPr>
      <w:r>
        <w:rPr>
          <w:rFonts w:ascii="Calibri" w:hAnsi="Calibri"/>
          <w:b w:val="0"/>
          <w:i w:val="0"/>
          <w:color w:val="161829"/>
          <w:sz w:val="22"/>
        </w:rPr>
        <w:t>- Open Forum Infectious Diseases, 13(Supplement 1), - Could not confidently match, please verify</w:t>
      </w:r>
    </w:p>
    <w:p>
      <w:pPr>
        <w:spacing w:before="0" w:after="120"/>
      </w:pPr>
      <w:r>
        <w:rPr>
          <w:rFonts w:ascii="Calibri" w:hAnsi="Calibri"/>
          <w:b w:val="0"/>
          <w:i w:val="0"/>
          <w:color w:val="161829"/>
          <w:sz w:val="22"/>
        </w:rPr>
        <w:t>DOI: 10.1093/oﬁd/</w:t>
      </w:r>
    </w:p>
    <w:p>
      <w:pPr>
        <w:spacing w:before="0" w:after="120"/>
      </w:pPr>
      <w:r>
        <w:rPr>
          <w:rFonts w:ascii="Calibri" w:hAnsi="Calibri"/>
          <w:b w:val="0"/>
          <w:i w:val="0"/>
          <w:color w:val="161829"/>
          <w:sz w:val="22"/>
        </w:rPr>
        <w:t>Note: DOI not found in CrossRef</w:t>
      </w:r>
    </w:p>
    <w:p>
      <w:pPr>
        <w:spacing w:before="0" w:after="120"/>
      </w:pPr>
      <w:r>
        <w:rPr>
          <w:rFonts w:ascii="Calibri" w:hAnsi="Calibri"/>
          <w:b w:val="0"/>
          <w:i w:val="0"/>
          <w:color w:val="161829"/>
          <w:sz w:val="22"/>
        </w:rPr>
        <w:t>- [10] 1093/ofid/ofx131 - Could not confidently match, please verify</w:t>
      </w:r>
    </w:p>
    <w:p>
      <w:pPr>
        <w:spacing w:before="0" w:after="120"/>
      </w:pPr>
      <w:r>
        <w:rPr>
          <w:rFonts w:ascii="Calibri" w:hAnsi="Calibri"/>
          <w:b w:val="0"/>
          <w:i w:val="0"/>
          <w:color w:val="161829"/>
          <w:sz w:val="22"/>
        </w:rPr>
        <w:t>DOI: 10.1093/oﬁd/ofx131</w:t>
      </w:r>
    </w:p>
    <w:p>
      <w:pPr>
        <w:spacing w:before="0" w:after="120"/>
      </w:pPr>
      <w:r>
        <w:rPr>
          <w:rFonts w:ascii="Calibri" w:hAnsi="Calibri"/>
          <w:b w:val="0"/>
          <w:i w:val="0"/>
          <w:color w:val="161829"/>
          <w:sz w:val="22"/>
        </w:rPr>
        <w:t>Note: DOI not found in CrossRef</w:t>
      </w:r>
    </w:p>
    <w:p>
      <w:pPr>
        <w:spacing w:before="0" w:after="120"/>
      </w:pPr>
      <w:r>
        <w:rPr>
          <w:rFonts w:ascii="Calibri" w:hAnsi="Calibri"/>
          <w:b w:val="0"/>
          <w:i w:val="0"/>
          <w:color w:val="161829"/>
          <w:sz w:val="22"/>
        </w:rPr>
        <w:t>### ⚠️ Could Not Independently Verify</w:t>
      </w:r>
    </w:p>
    <w:p>
      <w:pPr>
        <w:spacing w:before="0" w:after="120"/>
      </w:pPr>
      <w:r>
        <w:rPr>
          <w:rFonts w:ascii="Calibri" w:hAnsi="Calibri"/>
          <w:b w:val="0"/>
          <w:i w:val="0"/>
          <w:color w:val="161829"/>
          <w:sz w:val="22"/>
        </w:rPr>
        <w:t>The following references could not be verified against CrossRef or PubMed. These may be incorrectly formatted, incomplete, or too ambiguous for automated verification.</w:t>
      </w:r>
    </w:p>
    <w:p>
      <w:pPr>
        <w:spacing w:before="0" w:after="120"/>
      </w:pPr>
      <w:r>
        <w:rPr>
          <w:rFonts w:ascii="Calibri" w:hAnsi="Calibri"/>
          <w:b w:val="0"/>
          <w:i w:val="0"/>
          <w:color w:val="161829"/>
          <w:sz w:val="22"/>
        </w:rPr>
        <w:t>- [45] [45] Leigh Ellyn Preston, Stefanie White, Luis Rodriguez, Drew Kupper, Laura K Annetta, Erin Kincaid,</w:t>
      </w:r>
    </w:p>
    <w:p>
      <w:pPr>
        <w:spacing w:before="0" w:after="120"/>
      </w:pPr>
      <w:r>
        <w:rPr>
          <w:rFonts w:ascii="Calibri" w:hAnsi="Calibri"/>
          <w:b w:val="0"/>
          <w:i w:val="0"/>
          <w:color w:val="161829"/>
          <w:sz w:val="22"/>
        </w:rPr>
        <w:t>Ronan King, James</w:t>
      </w:r>
    </w:p>
    <w:p>
      <w:pPr>
        <w:spacing w:before="0" w:after="120"/>
      </w:pPr>
      <w:r>
        <w:rPr>
          <w:rFonts w:ascii="Calibri" w:hAnsi="Calibri"/>
          <w:b w:val="0"/>
          <w:i w:val="0"/>
          <w:color w:val="161829"/>
          <w:sz w:val="22"/>
        </w:rPr>
        <w:t>Note: low_confidence_match</w:t>
      </w:r>
    </w:p>
    <w:p>
      <w:pPr>
        <w:spacing w:before="0" w:after="120"/>
      </w:pPr>
      <w:r>
        <w:rPr>
          <w:rFonts w:ascii="Calibri" w:hAnsi="Calibri"/>
          <w:b/>
          <w:i w:val="0"/>
          <w:color w:val="161829"/>
          <w:sz w:val="22"/>
        </w:rPr>
        <w:t>Citation recency:</w:t>
      </w:r>
      <w:r>
        <w:rPr>
          <w:rFonts w:ascii="Calibri" w:hAnsi="Calibri"/>
          <w:b w:val="0"/>
          <w:i w:val="0"/>
          <w:color w:val="161829"/>
          <w:sz w:val="22"/>
        </w:rPr>
        <w:t xml:space="preserve"> 16 refs from last 5 years, 21 from 5-10 years, 20 older than 10 years</w:t>
      </w:r>
    </w:p>
    <w:p>
      <w:pPr>
        <w:spacing w:before="0" w:after="120"/>
      </w:pPr>
      <w:r>
        <w:rPr>
          <w:rFonts w:ascii="Calibri" w:hAnsi="Calibri"/>
          <w:b w:val="0"/>
          <w:i w:val="0"/>
          <w:color w:val="161829"/>
          <w:sz w:val="22"/>
        </w:rPr>
        <w:t>Median citation year: 2018</w:t>
      </w:r>
    </w:p>
    <w:p>
      <w:pPr>
        <w:spacing w:before="280" w:after="120"/>
      </w:pPr>
      <w:r>
        <w:rPr>
          <w:rFonts w:ascii="Calibri" w:hAnsi="Calibri"/>
          <w:b/>
          <w:i w:val="0"/>
          <w:color w:val="163666"/>
          <w:sz w:val="25"/>
        </w:rPr>
        <w:t>Citation Accuracy Analysis</w:t>
      </w:r>
    </w:p>
    <w:p>
      <w:pPr>
        <w:spacing w:before="0" w:after="120"/>
      </w:pPr>
      <w:r>
        <w:rPr>
          <w:rFonts w:ascii="Calibri" w:hAnsi="Calibri"/>
          <w:b/>
          <w:i w:val="0"/>
          <w:color w:val="161829"/>
          <w:sz w:val="22"/>
        </w:rPr>
        <w:t>3 claim-citation pairs checked</w:t>
      </w:r>
      <w:r>
        <w:rPr>
          <w:rFonts w:ascii="Calibri" w:hAnsi="Calibri"/>
          <w:b w:val="0"/>
          <w:i w:val="0"/>
          <w:color w:val="161829"/>
          <w:sz w:val="22"/>
        </w:rPr>
        <w:t xml:space="preserve"> | 0 Supported | 0 Partially Supported | 1 Not Supported | 2 Unable to Verify _(per cited source)_</w:t>
      </w:r>
    </w:p>
    <w:p>
      <w:pPr>
        <w:spacing w:before="0" w:after="120"/>
      </w:pPr>
      <w:r>
        <w:rPr>
          <w:rFonts w:ascii="Calibri" w:hAnsi="Calibri"/>
          <w:b w:val="0"/>
          <w:i w:val="0"/>
          <w:color w:val="161829"/>
          <w:sz w:val="22"/>
        </w:rPr>
        <w:t>_These checks compare each claim against the retrieved abstract of each cited source. They are signals to verify against the full papers, not verdicts. A claim supported by several sources together is not flagged here; only claims where no cited source we could read supports them are listed below._</w:t>
      </w:r>
    </w:p>
    <w:p>
      <w:pPr>
        <w:spacing w:before="0" w:after="120"/>
      </w:pPr>
      <w:r>
        <w:rPr>
          <w:rFonts w:ascii="Calibri" w:hAnsi="Calibri"/>
          <w:b w:val="0"/>
          <w:i w:val="0"/>
          <w:color w:val="161829"/>
          <w:sz w:val="22"/>
        </w:rPr>
        <w:t>_1 of the checks above were additionally verified against the cited paper's open-access full text (Europe PMC); the rest were checked against the abstract, or the source could not be retrieved._</w:t>
      </w:r>
    </w:p>
    <w:p>
      <w:pPr>
        <w:spacing w:before="0" w:after="120"/>
      </w:pPr>
      <w:r>
        <w:rPr>
          <w:rFonts w:ascii="Calibri" w:hAnsi="Calibri"/>
          <w:b w:val="0"/>
          <w:i w:val="0"/>
          <w:color w:val="161829"/>
          <w:sz w:val="22"/>
        </w:rPr>
        <w:t>### Claims to verify against your cited sources</w:t>
      </w:r>
    </w:p>
    <w:p>
      <w:pPr>
        <w:spacing w:before="0" w:after="120"/>
      </w:pPr>
      <w:r>
        <w:rPr>
          <w:rFonts w:ascii="Calibri" w:hAnsi="Calibri"/>
          <w:b/>
          <w:i w:val="0"/>
          <w:color w:val="161829"/>
          <w:sz w:val="22"/>
        </w:rPr>
        <w:t>[Verify]</w:t>
      </w:r>
      <w:r>
        <w:rPr>
          <w:rFonts w:ascii="Calibri" w:hAnsi="Calibri"/>
          <w:b w:val="0"/>
          <w:i w:val="0"/>
          <w:color w:val="161829"/>
          <w:sz w:val="22"/>
        </w:rPr>
        <w:t xml:space="preserve"> "It was the joint calibration of a low baseline reportable-outbreak rate of approximately 0.18-0.19% of voyages and an approximately 3.9-fold increase dur- ing GII.4 emergence periods, using CDC Vessel Sanitation Program (VSP) surveillance, norovirus shedding biology, partial immunity, and overdispersed transmission [1-5]."</w:t>
      </w:r>
    </w:p>
    <w:p>
      <w:pPr>
        <w:spacing w:before="0" w:after="120"/>
      </w:pPr>
      <w:r>
        <w:rPr>
          <w:rFonts w:ascii="Calibri" w:hAnsi="Calibri"/>
          <w:b w:val="0"/>
          <w:i w:val="0"/>
          <w:color w:val="161829"/>
          <w:sz w:val="22"/>
        </w:rPr>
        <w:t>- The cited source(s) we could read do not appear to support this claim; please verify against the full paper(s).</w:t>
      </w:r>
    </w:p>
    <w:p>
      <w:pPr>
        <w:spacing w:before="0" w:after="120"/>
      </w:pPr>
      <w:r>
        <w:rPr>
          <w:rFonts w:ascii="Calibri" w:hAnsi="Calibri"/>
          <w:b w:val="0"/>
          <w:i w:val="0"/>
          <w:color w:val="161829"/>
          <w:sz w:val="22"/>
        </w:rPr>
        <w:t xml:space="preserve">- </w:t>
      </w:r>
      <w:r>
        <w:rPr>
          <w:rFonts w:ascii="Calibri" w:hAnsi="Calibri"/>
          <w:b/>
          <w:i w:val="0"/>
          <w:color w:val="161829"/>
          <w:sz w:val="22"/>
        </w:rPr>
        <w:t>Resolved source:</w:t>
      </w:r>
      <w:r>
        <w:rPr>
          <w:rFonts w:ascii="Calibri" w:hAnsi="Calibri"/>
          <w:b w:val="0"/>
          <w:i w:val="0"/>
          <w:color w:val="161829"/>
          <w:sz w:val="22"/>
        </w:rPr>
        <w:t xml:space="preserve"> Shedding of norovirus in symptomatic and asymptomatic infections (doi:10.1017/s095026881400274x)</w:t>
      </w:r>
    </w:p>
    <w:p>
      <w:pPr>
        <w:spacing w:before="0" w:after="120"/>
      </w:pPr>
      <w:r>
        <w:rPr>
          <w:rFonts w:ascii="Calibri" w:hAnsi="Calibri"/>
          <w:b w:val="0"/>
          <w:i w:val="0"/>
          <w:color w:val="161829"/>
          <w:sz w:val="22"/>
        </w:rPr>
        <w:t xml:space="preserve">- </w:t>
      </w:r>
      <w:r>
        <w:rPr>
          <w:rFonts w:ascii="Calibri" w:hAnsi="Calibri"/>
          <w:b/>
          <w:i w:val="0"/>
          <w:color w:val="161829"/>
          <w:sz w:val="22"/>
        </w:rPr>
        <w:t>What that source's open-access full text states:</w:t>
      </w:r>
      <w:r>
        <w:rPr>
          <w:rFonts w:ascii="Calibri" w:hAnsi="Calibri"/>
          <w:b w:val="0"/>
          <w:i w:val="0"/>
          <w:color w:val="161829"/>
          <w:sz w:val="22"/>
        </w:rPr>
        <w:t xml:space="preserve"> The paper by Teunis et al. (2014) is a study of norovirus shedding patterns in symptomatic and asymptomatic infections, examining viral concentrations in fecal samples from 102 subjects across four outbreaks. It reports peak shedding levels of 10^5-10^9 genome copies/g feces and shedding durations of 8-60 days.</w:t>
      </w:r>
    </w:p>
    <w:p>
      <w:pPr>
        <w:spacing w:before="0" w:after="120"/>
      </w:pPr>
      <w:r>
        <w:rPr>
          <w:rFonts w:ascii="Calibri" w:hAnsi="Calibri"/>
          <w:b w:val="0"/>
          <w:i w:val="0"/>
          <w:color w:val="161829"/>
          <w:sz w:val="22"/>
        </w:rPr>
        <w:t xml:space="preserve">- </w:t>
      </w:r>
      <w:r>
        <w:rPr>
          <w:rFonts w:ascii="Calibri" w:hAnsi="Calibri"/>
          <w:b/>
          <w:i w:val="0"/>
          <w:color w:val="161829"/>
          <w:sz w:val="22"/>
        </w:rPr>
        <w:t>If you confirm this:</w:t>
      </w:r>
      <w:r>
        <w:rPr>
          <w:rFonts w:ascii="Calibri" w:hAnsi="Calibri"/>
          <w:b w:val="0"/>
          <w:i w:val="0"/>
          <w:color w:val="161829"/>
          <w:sz w:val="22"/>
        </w:rPr>
        <w:t xml:space="preserve"> cite a source that directly supports the statement, or adjust the claim to match what your cited source(s) actually report.</w:t>
      </w:r>
    </w:p>
    <w:p>
      <w:pPr>
        <w:spacing w:before="0" w:after="120"/>
      </w:pPr>
      <w:r>
        <w:rPr>
          <w:rFonts w:ascii="Calibri" w:hAnsi="Calibri"/>
          <w:b w:val="0"/>
          <w:i w:val="0"/>
          <w:color w:val="161829"/>
          <w:sz w:val="22"/>
        </w:rPr>
        <w:t>### Summary</w:t>
      </w:r>
    </w:p>
    <w:p>
      <w:pPr>
        <w:spacing w:before="0" w:after="120"/>
      </w:pPr>
      <w:r>
        <w:rPr>
          <w:rFonts w:ascii="Calibri" w:hAnsi="Calibri"/>
          <w:b w:val="0"/>
          <w:i w:val="0"/>
          <w:color w:val="161829"/>
          <w:sz w:val="22"/>
        </w:rPr>
        <w:t>1 claim(s) where no cited source we could read fully supports the claim as written, verify each against the full paper(s). Separately, 2 citation-claim pair(s) could not be verified because the source could not be retrieved.</w:t>
      </w:r>
    </w:p>
    <w:p>
      <w:pPr>
        <w:spacing w:before="280" w:after="120"/>
      </w:pPr>
      <w:r>
        <w:rPr>
          <w:rFonts w:ascii="Calibri" w:hAnsi="Calibri"/>
          <w:b/>
          <w:i w:val="0"/>
          <w:color w:val="163666"/>
          <w:sz w:val="25"/>
        </w:rPr>
        <w:t>Scope of this review</w:t>
      </w:r>
    </w:p>
    <w:p>
      <w:pPr>
        <w:spacing w:before="0" w:after="120"/>
      </w:pPr>
      <w:r>
        <w:rPr>
          <w:rFonts w:ascii="Calibri" w:hAnsi="Calibri"/>
          <w:b w:val="0"/>
          <w:i w:val="0"/>
          <w:color w:val="161829"/>
          <w:sz w:val="22"/>
        </w:rPr>
        <w:t>This assessment is based on the manuscript text and the figures in the file reviewed. Supplementary data tables were not analyzed as structured data, so any validation, extended results, or statistics reported only in the supplementary materials were not independently checked here. If your supplementary files contain data central to the manuscript's claims (for example, method-validation tables, per-item results, or full statistics), include them with the manuscript for the most complete assessment.</w:t>
      </w:r>
    </w:p>
    <w:sectPr w:rsidR="00FC693F" w:rsidRPr="0006063C" w:rsidSect="00034616">
      <w:headerReference w:type="default" r:id="rId9"/>
      <w:footerReference w:type="default" r:id="rId10"/>
      <w:pgSz w:w="12240" w:h="15840"/>
      <w:pgMar w:top="1368" w:right="1584" w:bottom="1296"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C4CED8"/>
      </w:pBdr>
      <w:tabs>
        <w:tab w:val="right" w:pos="9072"/>
      </w:tabs>
    </w:pPr>
    <w:r>
      <w:rPr>
        <w:rFonts w:ascii="Calibri" w:hAnsi="Calibri"/>
        <w:b w:val="0"/>
        <w:i/>
        <w:color w:val="566678"/>
        <w:sz w:val="16"/>
      </w:rPr>
      <w:t xml:space="preserve">Confidential  ·  </w:t>
    </w:r>
    <w:hyperlink r:id="rId1">
      <w:r>
        <w:rPr>
          <w:rFonts w:ascii="Calibri" w:hAnsi="Calibri"/>
          <w:color w:val="566678"/>
          <w:sz w:val="16"/>
          <w:i/>
          <w:u w:val="single"/>
        </w:rPr>
        <w:t xml:space="preserve">Manusights.com</w:t>
      </w:r>
    </w:hyperlink>
    <w:r>
      <w:rPr>
        <w:rFonts w:ascii="Calibri" w:hAnsi="Calibri"/>
        <w:b w:val="0"/>
        <w:i/>
        <w:color w:val="566678"/>
        <w:sz w:val="16"/>
      </w:rPr>
      <w:t xml:space="preserve">  ·  For author use only</w:t>
    </w:r>
    <w:r>
      <w:rPr>
        <w:rFonts w:ascii="Calibri" w:hAnsi="Calibri"/>
        <w:b w:val="0"/>
        <w:i w:val="0"/>
        <w:sz w:val="16"/>
      </w:rPr>
      <w:tab/>
    </w:r>
    <w:r>
      <w:rPr>
        <w:sz w:val="16"/>
        <w:color w:val="566678"/>
      </w:rPr>
      <w:fldChar w:fldCharType="begin"/>
    </w:r>
    <w:r>
      <w:rPr>
        <w:sz w:val="16"/>
        <w:color w:val="566678"/>
      </w:rPr>
      <w:instrText xml:space="preserve"> PAGE </w:instrText>
    </w:r>
    <w:r>
      <w:rPr>
        <w:sz w:val="16"/>
        <w:color w:val="566678"/>
      </w:rPr>
      <w:fldChar w:fldCharType="separate"/>
    </w:r>
    <w:r>
      <w:rPr>
        <w:sz w:val="16"/>
        <w:color w:val="566678"/>
      </w:rPr>
      <w:t>1</w:t>
    </w:r>
    <w:r>
      <w:rPr>
        <w:sz w:val="16"/>
        <w:color w:val="56667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C4CED8"/>
      </w:pBdr>
      <w:tabs>
        <w:tab w:val="right" w:pos="9072"/>
      </w:tabs>
    </w:pPr>
    <w:r>
      <w:rPr>
        <w:rFonts w:ascii="Calibri" w:hAnsi="Calibri"/>
        <w:b/>
        <w:i w:val="0"/>
        <w:caps/>
        <w:color w:val="163666"/>
        <w:sz w:val="16"/>
      </w:rPr>
      <w:t>MANUSIGHTS</w:t>
    </w:r>
    <w:r>
      <w:rPr>
        <w:rFonts w:ascii="Calibri" w:hAnsi="Calibri"/>
        <w:b w:val="0"/>
        <w:i w:val="0"/>
        <w:color w:val="566678"/>
        <w:sz w:val="16"/>
      </w:rPr>
      <w:t xml:space="preserve">  ·  AI Diagnostic Report</w:t>
    </w:r>
    <w:r>
      <w:rPr>
        <w:rFonts w:ascii="Calibri" w:hAnsi="Calibri"/>
        <w:b w:val="0"/>
        <w:i w:val="0"/>
        <w:sz w:val="16"/>
      </w:rPr>
      <w:tab/>
    </w:r>
    <w:r>
      <w:rPr>
        <w:rFonts w:ascii="Calibri" w:hAnsi="Calibri"/>
        <w:b w:val="0"/>
        <w:i w:val="0"/>
        <w:color w:val="566678"/>
        <w:sz w:val="16"/>
      </w:rPr>
      <w:t xml:space="preserve">Page </w:t>
    </w:r>
    <w:r>
      <w:rPr>
        <w:sz w:val="16"/>
        <w:color w:val="566678"/>
      </w:rPr>
      <w:fldChar w:fldCharType="begin"/>
    </w:r>
    <w:r>
      <w:rPr>
        <w:sz w:val="16"/>
        <w:color w:val="566678"/>
      </w:rPr>
      <w:instrText xml:space="preserve"> PAGE </w:instrText>
    </w:r>
    <w:r>
      <w:rPr>
        <w:sz w:val="16"/>
        <w:color w:val="566678"/>
      </w:rPr>
      <w:fldChar w:fldCharType="separate"/>
    </w:r>
    <w:r>
      <w:rPr>
        <w:sz w:val="16"/>
        <w:color w:val="566678"/>
      </w:rPr>
      <w:t>1</w:t>
    </w:r>
    <w:r>
      <w:rPr>
        <w:sz w:val="16"/>
        <w:color w:val="56667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324"/>
    </w:pPr>
    <w:rPr>
      <w:rFonts w:ascii="Calibri" w:hAnsi="Calibri"/>
      <w:color w:val="1618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manusights.com/ai-review?utm_source=docx_report&amp;utm_medium=footer&amp;utm_campaign=report_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