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Fluxogramas — Arquitetura Databricks + MLflow</w:t>
      </w:r>
    </w:p>
    <w:p>
      <w:pPr>
        <w:jc w:val="center"/>
      </w:pPr>
      <w:r>
        <w:rPr>
          <w:color w:val="505050"/>
          <w:sz w:val="24"/>
        </w:rPr>
        <w:t>Dataset financeiro/logístico/comportamento de clientes • MLOps • Workflows • MLflow</w:t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1 — Visão de negócio: o que o sistema entrega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fluxograma_ajusta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2 — Arquitetura de dados: Bronze → Silver → Gold (DLT)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luxogra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3 — DAG (Workflows/Jobs): orquestração ponta a ponta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luxogra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4 — Ciclo de MLOps (MLflow): experimento → produção → feedback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luxogram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5 — Monitoramento: drift + qualidade e resposta operacional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luxogram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DiagramTitle"/>
        <w:spacing w:after="120"/>
        <w:jc w:val="left"/>
      </w:pPr>
      <w:r>
        <w:t>Fluxograma 6 — Caso Pix + PTAX: fontes → features → forecast + anomalias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8618900" cy="609809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fluxogra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18900" cy="60980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iagramTitle">
    <w:name w:val="Diagram Title"/>
    <w:basedOn w:val="Heading1"/>
    <w:rPr>
      <w:rFonts w:ascii="Calibri" w:hAnsi="Calibri" w:eastAsia="Calibri"/>
      <w:color w:val="1F6FEB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