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0F1923"/>
          <w:sz w:val="40"/>
        </w:rPr>
        <w:t>Community Appointment &amp; Feedback System (CAFS)</w:t>
      </w:r>
    </w:p>
    <w:p>
      <w:pPr>
        <w:jc w:val="center"/>
      </w:pPr>
      <w:r>
        <w:rPr>
          <w:rFonts w:ascii="Calibri" w:hAnsi="Calibri"/>
          <w:i/>
          <w:color w:val="1A6B4A"/>
          <w:sz w:val="24"/>
        </w:rPr>
        <w:t>Design, Implementation and Testing of a Cloud-Native Application on AWS:</w:t>
        <w:br/>
        <w:t>A Comparative Study with Private Cloud Infrastructure</w:t>
      </w:r>
    </w:p>
    <w:p/>
    <w:p>
      <w:pPr>
        <w:jc w:val="center"/>
      </w:pPr>
      <w:r>
        <w:rPr>
          <w:sz w:val="20"/>
        </w:rPr>
        <w:t>Module: Cloud Computing | Academic Year 2025–26</w:t>
      </w:r>
    </w:p>
    <w:p>
      <w:r>
        <w:br w:type="page"/>
      </w:r>
    </w:p>
    <w:p>
      <w:pPr>
        <w:pStyle w:val="Heading1"/>
      </w:pPr>
      <w:r>
        <w:rPr>
          <w:color w:val="0F1923"/>
        </w:rPr>
        <w:t>Abstract</w:t>
      </w:r>
    </w:p>
    <w:p>
      <w:pPr>
        <w:spacing w:after="120"/>
        <w:jc w:val="both"/>
      </w:pPr>
      <w:r>
        <w:rPr>
          <w:rFonts w:ascii="Calibri" w:hAnsi="Calibri"/>
          <w:sz w:val="22"/>
        </w:rPr>
        <w:t>This report presents the design, implementation, and critical evaluation of the Community Appointment and Feedback System (CAFS), a cloud-native serverless application deployed on Amazon Web Services (AWS). CAFS enables community members to book appointments with local public services and submit structured feedback via a browser-based single-page application. The system is constructed entirely from managed AWS services — including Lambda, DynamoDB, API Gateway, S3, CloudFront, SNS, CloudWatch, and IAM — orchestrated through a CloudFormation infrastructure-as-code stack. A comparative analysis against a hypothetical private cloud deployment on VMware vSphere is presented across six key evaluation dimensions: cost, security, latency, elasticity, reliability, and operational overhead. The analysis demonstrates that the AWS serverless model delivers superior cost efficiency at low-to-medium traffic volumes, near-zero operational burden, and elastic scalability without capacity planning, while acknowledging the trade-offs of vendor lock-in and reduced infrastructure transparency.</w:t>
      </w:r>
    </w:p>
    <w:p>
      <w:r>
        <w:br w:type="page"/>
      </w:r>
    </w:p>
    <w:p>
      <w:pPr>
        <w:pStyle w:val="Heading1"/>
      </w:pPr>
      <w:r>
        <w:rPr>
          <w:color w:val="0F1923"/>
        </w:rPr>
        <w:t>1. Introduction</w:t>
      </w:r>
    </w:p>
    <w:p>
      <w:pPr>
        <w:spacing w:after="120"/>
        <w:jc w:val="both"/>
      </w:pPr>
      <w:r>
        <w:rPr>
          <w:rFonts w:ascii="Calibri" w:hAnsi="Calibri"/>
          <w:sz w:val="22"/>
        </w:rPr>
        <w:t>Cloud computing has fundamentally altered the economics and operational characteristics of software deployment. The National Institute of Standards and Technology (NIST) defines cloud computing as 'a model for enabling ubiquitous, convenient, on-demand network access to a shared pool of configurable computing resources' (Mell and Grance, 2011, p. 2). The serverless variant of public cloud deployment represents the logical extreme of this abstraction: developers supply application logic and the cloud provider manages all underlying infrastructure, runtime, and scaling.</w:t>
      </w:r>
    </w:p>
    <w:p>
      <w:pPr>
        <w:spacing w:after="120"/>
        <w:jc w:val="both"/>
      </w:pPr>
      <w:r>
        <w:rPr>
          <w:rFonts w:ascii="Calibri" w:hAnsi="Calibri"/>
          <w:sz w:val="22"/>
        </w:rPr>
        <w:t>This project selects a community appointment booking and feedback application as its use case because it encompasses the full range of cloud capabilities under evaluation: variable traffic loads, persistent structured data, asynchronous messaging, and security-sensitive personally identifiable information (PII). The application — CAFS — is intentionally scoped to be functionally useful rather than academically trivial, while remaining implementable within the constraints of an individual student project.</w:t>
      </w:r>
    </w:p>
    <w:p>
      <w:pPr>
        <w:spacing w:after="120"/>
        <w:jc w:val="both"/>
      </w:pPr>
      <w:r>
        <w:rPr>
          <w:rFonts w:ascii="Calibri" w:hAnsi="Calibri"/>
          <w:sz w:val="22"/>
        </w:rPr>
        <w:t>The report is structured as follows: Section 2 presents the system architecture and service selection rationale; Section 3 details the implementation; Section 4 documents deployment evidence; Section 5 provides the comparative analysis against private cloud; Section 6 reflects on ethical considerations; and Section 7 concludes with lessons learned.</w:t>
      </w:r>
    </w:p>
    <w:p>
      <w:pPr>
        <w:pStyle w:val="Heading1"/>
      </w:pPr>
      <w:r>
        <w:rPr>
          <w:color w:val="0F1923"/>
        </w:rPr>
        <w:t>2. System Architecture and AWS Service Selection</w:t>
      </w:r>
    </w:p>
    <w:p>
      <w:pPr>
        <w:pStyle w:val="Heading2"/>
      </w:pPr>
      <w:r>
        <w:rPr>
          <w:color w:val="0F1923"/>
        </w:rPr>
        <w:t>2.1 Architectural Overview</w:t>
      </w:r>
    </w:p>
    <w:p>
      <w:pPr>
        <w:spacing w:after="120"/>
        <w:jc w:val="both"/>
      </w:pPr>
      <w:r>
        <w:rPr>
          <w:rFonts w:ascii="Calibri" w:hAnsi="Calibri"/>
          <w:sz w:val="22"/>
        </w:rPr>
        <w:t>CAFS adopts a fully serverless, event-driven architecture following AWS best-practice patterns for web applications. The system is decomposed into five functional layers: client, edge, API, compute, and persistence. This separation of concerns enables each layer to scale independently and be replaced or upgraded without affecting other layers — a principle aligned with the twelve-factor application methodology.</w:t>
      </w:r>
    </w:p>
    <w:p>
      <w:pPr>
        <w:spacing w:after="120"/>
        <w:jc w:val="both"/>
      </w:pPr>
      <w:r>
        <w:rPr>
          <w:rFonts w:ascii="Calibri" w:hAnsi="Calibri"/>
          <w:sz w:val="22"/>
        </w:rPr>
        <w:t>The frontend is a single-page application (SPA) delivered as static assets from Amazon S3, served globally via Amazon CloudFront. User interactions trigger HTTPS requests to an Amazon API Gateway REST endpoint, which routes traffic to one of two Python 3.12 Lambda functions — one for appointment management and one for feedback. Both functions read and write to dedicated Amazon DynamoDB tables. Appointment confirmations are dispatched via Amazon SNS, and feedback attachments are uploaded directly to a private S3 bucket using Lambda-generated pre-signed URLs. CloudWatch captures all Lambda logs and metrics; X-Ray provides end-to-end distributed tracing.</w:t>
      </w:r>
    </w:p>
    <w:p>
      <w:pPr>
        <w:pStyle w:val="Heading2"/>
      </w:pPr>
      <w:r>
        <w:rPr>
          <w:color w:val="0F1923"/>
        </w:rPr>
        <w:t>2.2 AWS Service Selection Rationale</w:t>
      </w:r>
    </w:p>
    <w:p>
      <w:pPr>
        <w:spacing w:after="120"/>
        <w:jc w:val="both"/>
      </w:pPr>
      <w:r>
        <w:rPr>
          <w:rFonts w:ascii="Calibri" w:hAnsi="Calibri"/>
          <w:sz w:val="22"/>
        </w:rPr>
        <w:t>The table below summarises the key services chosen and the design justification for each.</w:t>
      </w:r>
    </w:p>
    <w:tbl>
      <w:tblPr>
        <w:tblStyle w:val="TableGrid"/>
        <w:tblW w:type="auto" w:w="0"/>
        <w:jc w:val="center"/>
        <w:tblLook w:firstColumn="1" w:firstRow="1" w:lastColumn="0" w:lastRow="0" w:noHBand="0" w:noVBand="1" w:val="04A0"/>
      </w:tblPr>
      <w:tblGrid>
        <w:gridCol w:w="3041"/>
        <w:gridCol w:w="3041"/>
        <w:gridCol w:w="3041"/>
      </w:tblGrid>
      <w:tr>
        <w:tc>
          <w:tcPr>
            <w:tcW w:type="dxa" w:w="2304"/>
            <w:shd w:val="clear" w:color="auto" w:fill="1A6B4A"/>
          </w:tcPr>
          <w:p>
            <w:pPr>
              <w:jc w:val="center"/>
            </w:pPr>
            <w:r>
              <w:rPr>
                <w:rFonts w:ascii="Calibri" w:hAnsi="Calibri"/>
                <w:b/>
                <w:color w:val="FFFFFF"/>
                <w:sz w:val="20"/>
              </w:rPr>
              <w:t>AWS Service</w:t>
            </w:r>
          </w:p>
        </w:tc>
        <w:tc>
          <w:tcPr>
            <w:tcW w:type="dxa" w:w="2304"/>
            <w:shd w:val="clear" w:color="auto" w:fill="1A6B4A"/>
          </w:tcPr>
          <w:p>
            <w:pPr>
              <w:jc w:val="center"/>
            </w:pPr>
            <w:r>
              <w:rPr>
                <w:rFonts w:ascii="Calibri" w:hAnsi="Calibri"/>
                <w:b/>
                <w:color w:val="FFFFFF"/>
                <w:sz w:val="20"/>
              </w:rPr>
              <w:t>Role in CAFS</w:t>
            </w:r>
          </w:p>
        </w:tc>
        <w:tc>
          <w:tcPr>
            <w:tcW w:type="dxa" w:w="4464"/>
            <w:shd w:val="clear" w:color="auto" w:fill="1A6B4A"/>
          </w:tcPr>
          <w:p>
            <w:pPr>
              <w:jc w:val="center"/>
            </w:pPr>
            <w:r>
              <w:rPr>
                <w:rFonts w:ascii="Calibri" w:hAnsi="Calibri"/>
                <w:b/>
                <w:color w:val="FFFFFF"/>
                <w:sz w:val="20"/>
              </w:rPr>
              <w:t>Design Justification</w:t>
            </w:r>
          </w:p>
        </w:tc>
      </w:tr>
      <w:tr>
        <w:tc>
          <w:tcPr>
            <w:tcW w:type="dxa" w:w="2304"/>
            <w:shd w:val="clear" w:color="auto" w:fill="E8F3EE"/>
          </w:tcPr>
          <w:p>
            <w:r>
              <w:rPr>
                <w:rFonts w:ascii="Calibri" w:hAnsi="Calibri"/>
                <w:sz w:val="20"/>
              </w:rPr>
              <w:t>Lambda (Python 3.12)</w:t>
            </w:r>
          </w:p>
        </w:tc>
        <w:tc>
          <w:tcPr>
            <w:tcW w:type="dxa" w:w="2304"/>
            <w:shd w:val="clear" w:color="auto" w:fill="E8F3EE"/>
          </w:tcPr>
          <w:p>
            <w:r>
              <w:rPr>
                <w:rFonts w:ascii="Calibri" w:hAnsi="Calibri"/>
                <w:sz w:val="20"/>
              </w:rPr>
              <w:t>CRUD business logic</w:t>
            </w:r>
          </w:p>
        </w:tc>
        <w:tc>
          <w:tcPr>
            <w:tcW w:type="dxa" w:w="4464"/>
            <w:shd w:val="clear" w:color="auto" w:fill="E8F3EE"/>
          </w:tcPr>
          <w:p>
            <w:r>
              <w:rPr>
                <w:rFonts w:ascii="Calibri" w:hAnsi="Calibri"/>
                <w:sz w:val="20"/>
              </w:rPr>
              <w:t>Zero server management; scales to zero; pay-per-invocation cost model ideal for variable community service traffic.</w:t>
            </w:r>
          </w:p>
        </w:tc>
      </w:tr>
      <w:tr>
        <w:tc>
          <w:tcPr>
            <w:tcW w:type="dxa" w:w="2304"/>
            <w:shd w:val="clear" w:color="auto" w:fill="FFFFFF"/>
          </w:tcPr>
          <w:p>
            <w:r>
              <w:rPr>
                <w:rFonts w:ascii="Calibri" w:hAnsi="Calibri"/>
                <w:sz w:val="20"/>
              </w:rPr>
              <w:t>DynamoDB (on-demand)</w:t>
            </w:r>
          </w:p>
        </w:tc>
        <w:tc>
          <w:tcPr>
            <w:tcW w:type="dxa" w:w="2304"/>
            <w:shd w:val="clear" w:color="auto" w:fill="FFFFFF"/>
          </w:tcPr>
          <w:p>
            <w:r>
              <w:rPr>
                <w:rFonts w:ascii="Calibri" w:hAnsi="Calibri"/>
                <w:sz w:val="20"/>
              </w:rPr>
              <w:t>Persistent data store</w:t>
            </w:r>
          </w:p>
        </w:tc>
        <w:tc>
          <w:tcPr>
            <w:tcW w:type="dxa" w:w="4464"/>
            <w:shd w:val="clear" w:color="auto" w:fill="FFFFFF"/>
          </w:tcPr>
          <w:p>
            <w:r>
              <w:rPr>
                <w:rFonts w:ascii="Calibri" w:hAnsi="Calibri"/>
                <w:sz w:val="20"/>
              </w:rPr>
              <w:t>Schema-less design suits evolving appointment/feedback attributes. On-demand billing mode avoids over-provisioning. GSIs enable efficient status/date queries.</w:t>
            </w:r>
          </w:p>
        </w:tc>
      </w:tr>
      <w:tr>
        <w:tc>
          <w:tcPr>
            <w:tcW w:type="dxa" w:w="2304"/>
            <w:shd w:val="clear" w:color="auto" w:fill="E8F3EE"/>
          </w:tcPr>
          <w:p>
            <w:r>
              <w:rPr>
                <w:rFonts w:ascii="Calibri" w:hAnsi="Calibri"/>
                <w:sz w:val="20"/>
              </w:rPr>
              <w:t>API Gateway (REST)</w:t>
            </w:r>
          </w:p>
        </w:tc>
        <w:tc>
          <w:tcPr>
            <w:tcW w:type="dxa" w:w="2304"/>
            <w:shd w:val="clear" w:color="auto" w:fill="E8F3EE"/>
          </w:tcPr>
          <w:p>
            <w:r>
              <w:rPr>
                <w:rFonts w:ascii="Calibri" w:hAnsi="Calibri"/>
                <w:sz w:val="20"/>
              </w:rPr>
              <w:t>HTTP routing, auth, CORS</w:t>
            </w:r>
          </w:p>
        </w:tc>
        <w:tc>
          <w:tcPr>
            <w:tcW w:type="dxa" w:w="4464"/>
            <w:shd w:val="clear" w:color="auto" w:fill="E8F3EE"/>
          </w:tcPr>
          <w:p>
            <w:r>
              <w:rPr>
                <w:rFonts w:ascii="Calibri" w:hAnsi="Calibri"/>
                <w:sz w:val="20"/>
              </w:rPr>
              <w:t>Native Lambda integration; built-in request throttling prevents abuse; API key support enables future service-to-service auth.</w:t>
            </w:r>
          </w:p>
        </w:tc>
      </w:tr>
      <w:tr>
        <w:tc>
          <w:tcPr>
            <w:tcW w:type="dxa" w:w="2304"/>
            <w:shd w:val="clear" w:color="auto" w:fill="FFFFFF"/>
          </w:tcPr>
          <w:p>
            <w:r>
              <w:rPr>
                <w:rFonts w:ascii="Calibri" w:hAnsi="Calibri"/>
                <w:sz w:val="20"/>
              </w:rPr>
              <w:t>S3 + CloudFront</w:t>
            </w:r>
          </w:p>
        </w:tc>
        <w:tc>
          <w:tcPr>
            <w:tcW w:type="dxa" w:w="2304"/>
            <w:shd w:val="clear" w:color="auto" w:fill="FFFFFF"/>
          </w:tcPr>
          <w:p>
            <w:r>
              <w:rPr>
                <w:rFonts w:ascii="Calibri" w:hAnsi="Calibri"/>
                <w:sz w:val="20"/>
              </w:rPr>
              <w:t>Static hosting + CDN</w:t>
            </w:r>
          </w:p>
        </w:tc>
        <w:tc>
          <w:tcPr>
            <w:tcW w:type="dxa" w:w="4464"/>
            <w:shd w:val="clear" w:color="auto" w:fill="FFFFFF"/>
          </w:tcPr>
          <w:p>
            <w:r>
              <w:rPr>
                <w:rFonts w:ascii="Calibri" w:hAnsi="Calibri"/>
                <w:sz w:val="20"/>
              </w:rPr>
              <w:t>No web server to manage; CloudFront edge caching reduces latency globally; Origin Access Identity prevents direct S3 public access.</w:t>
            </w:r>
          </w:p>
        </w:tc>
      </w:tr>
      <w:tr>
        <w:tc>
          <w:tcPr>
            <w:tcW w:type="dxa" w:w="2304"/>
            <w:shd w:val="clear" w:color="auto" w:fill="E8F3EE"/>
          </w:tcPr>
          <w:p>
            <w:r>
              <w:rPr>
                <w:rFonts w:ascii="Calibri" w:hAnsi="Calibri"/>
                <w:sz w:val="20"/>
              </w:rPr>
              <w:t>SNS</w:t>
            </w:r>
          </w:p>
        </w:tc>
        <w:tc>
          <w:tcPr>
            <w:tcW w:type="dxa" w:w="2304"/>
            <w:shd w:val="clear" w:color="auto" w:fill="E8F3EE"/>
          </w:tcPr>
          <w:p>
            <w:r>
              <w:rPr>
                <w:rFonts w:ascii="Calibri" w:hAnsi="Calibri"/>
                <w:sz w:val="20"/>
              </w:rPr>
              <w:t>Email/SMS notifications</w:t>
            </w:r>
          </w:p>
        </w:tc>
        <w:tc>
          <w:tcPr>
            <w:tcW w:type="dxa" w:w="4464"/>
            <w:shd w:val="clear" w:color="auto" w:fill="E8F3EE"/>
          </w:tcPr>
          <w:p>
            <w:r>
              <w:rPr>
                <w:rFonts w:ascii="Calibri" w:hAnsi="Calibri"/>
                <w:sz w:val="20"/>
              </w:rPr>
              <w:t>Decouples notification delivery from Lambda invocation; supports multi-protocol fanout for future push notification channels.</w:t>
            </w:r>
          </w:p>
        </w:tc>
      </w:tr>
      <w:tr>
        <w:tc>
          <w:tcPr>
            <w:tcW w:type="dxa" w:w="2304"/>
            <w:shd w:val="clear" w:color="auto" w:fill="FFFFFF"/>
          </w:tcPr>
          <w:p>
            <w:r>
              <w:rPr>
                <w:rFonts w:ascii="Calibri" w:hAnsi="Calibri"/>
                <w:sz w:val="20"/>
              </w:rPr>
              <w:t>CloudFormation</w:t>
            </w:r>
          </w:p>
        </w:tc>
        <w:tc>
          <w:tcPr>
            <w:tcW w:type="dxa" w:w="2304"/>
            <w:shd w:val="clear" w:color="auto" w:fill="FFFFFF"/>
          </w:tcPr>
          <w:p>
            <w:r>
              <w:rPr>
                <w:rFonts w:ascii="Calibri" w:hAnsi="Calibri"/>
                <w:sz w:val="20"/>
              </w:rPr>
              <w:t>Infrastructure as Code</w:t>
            </w:r>
          </w:p>
        </w:tc>
        <w:tc>
          <w:tcPr>
            <w:tcW w:type="dxa" w:w="4464"/>
            <w:shd w:val="clear" w:color="auto" w:fill="FFFFFF"/>
          </w:tcPr>
          <w:p>
            <w:r>
              <w:rPr>
                <w:rFonts w:ascii="Calibri" w:hAnsi="Calibri"/>
                <w:sz w:val="20"/>
              </w:rPr>
              <w:t>Repeatable, version-controlled deployments; enables environment parity between dev/staging/prod.</w:t>
            </w:r>
          </w:p>
        </w:tc>
      </w:tr>
      <w:tr>
        <w:tc>
          <w:tcPr>
            <w:tcW w:type="dxa" w:w="2304"/>
            <w:shd w:val="clear" w:color="auto" w:fill="E8F3EE"/>
          </w:tcPr>
          <w:p>
            <w:r>
              <w:rPr>
                <w:rFonts w:ascii="Calibri" w:hAnsi="Calibri"/>
                <w:sz w:val="20"/>
              </w:rPr>
              <w:t>IAM</w:t>
            </w:r>
          </w:p>
        </w:tc>
        <w:tc>
          <w:tcPr>
            <w:tcW w:type="dxa" w:w="2304"/>
            <w:shd w:val="clear" w:color="auto" w:fill="E8F3EE"/>
          </w:tcPr>
          <w:p>
            <w:r>
              <w:rPr>
                <w:rFonts w:ascii="Calibri" w:hAnsi="Calibri"/>
                <w:sz w:val="20"/>
              </w:rPr>
              <w:t>Identity and access control</w:t>
            </w:r>
          </w:p>
        </w:tc>
        <w:tc>
          <w:tcPr>
            <w:tcW w:type="dxa" w:w="4464"/>
            <w:shd w:val="clear" w:color="auto" w:fill="E8F3EE"/>
          </w:tcPr>
          <w:p>
            <w:r>
              <w:rPr>
                <w:rFonts w:ascii="Calibri" w:hAnsi="Calibri"/>
                <w:sz w:val="20"/>
              </w:rPr>
              <w:t>Least-privilege Lambda execution role; scoped to specific table ARNs and S3 path prefixes.</w:t>
            </w:r>
          </w:p>
        </w:tc>
      </w:tr>
      <w:tr>
        <w:tc>
          <w:tcPr>
            <w:tcW w:type="dxa" w:w="2304"/>
            <w:shd w:val="clear" w:color="auto" w:fill="FFFFFF"/>
          </w:tcPr>
          <w:p>
            <w:r>
              <w:rPr>
                <w:rFonts w:ascii="Calibri" w:hAnsi="Calibri"/>
                <w:sz w:val="20"/>
              </w:rPr>
              <w:t>CloudWatch + X-Ray</w:t>
            </w:r>
          </w:p>
        </w:tc>
        <w:tc>
          <w:tcPr>
            <w:tcW w:type="dxa" w:w="2304"/>
            <w:shd w:val="clear" w:color="auto" w:fill="FFFFFF"/>
          </w:tcPr>
          <w:p>
            <w:r>
              <w:rPr>
                <w:rFonts w:ascii="Calibri" w:hAnsi="Calibri"/>
                <w:sz w:val="20"/>
              </w:rPr>
              <w:t>Observability</w:t>
            </w:r>
          </w:p>
        </w:tc>
        <w:tc>
          <w:tcPr>
            <w:tcW w:type="dxa" w:w="4464"/>
            <w:shd w:val="clear" w:color="auto" w:fill="FFFFFF"/>
          </w:tcPr>
          <w:p>
            <w:r>
              <w:rPr>
                <w:rFonts w:ascii="Calibri" w:hAnsi="Calibri"/>
                <w:sz w:val="20"/>
              </w:rPr>
              <w:t>Lambda emits structured logs automatically; CloudWatch Alarms trigger SNS on error spikes; X-Ray traces cross-service latency.</w:t>
            </w:r>
          </w:p>
        </w:tc>
      </w:tr>
    </w:tbl>
    <w:p/>
    <w:p>
      <w:pPr>
        <w:pStyle w:val="Heading2"/>
      </w:pPr>
      <w:r>
        <w:rPr>
          <w:color w:val="0F1923"/>
        </w:rPr>
        <w:t>2.3 Data Model</w:t>
      </w:r>
    </w:p>
    <w:p>
      <w:pPr>
        <w:spacing w:after="120"/>
        <w:jc w:val="both"/>
      </w:pPr>
      <w:r>
        <w:rPr>
          <w:rFonts w:ascii="Calibri" w:hAnsi="Calibri"/>
          <w:sz w:val="22"/>
        </w:rPr>
        <w:t>Two DynamoDB tables support the application. The cafs-appointments table uses appointmentId (UUID) as partition key, with date and status as Global Secondary Index (GSI) keys to support admin dashboard queries. The cafs-feedback table uses feedbackId as partition key and category as a GSI key. Both tables use PAY_PER_REQUEST billing mode and enable Point-in-Time Recovery (PITR) for a 35-day backup window, satisfying data resilience requirements without manual snapshot scheduling.</w:t>
      </w:r>
    </w:p>
    <w:p>
      <w:pPr>
        <w:pStyle w:val="Heading1"/>
      </w:pPr>
      <w:r>
        <w:rPr>
          <w:color w:val="0F1923"/>
        </w:rPr>
        <w:t>3. Implementation</w:t>
      </w:r>
    </w:p>
    <w:p>
      <w:pPr>
        <w:pStyle w:val="Heading2"/>
      </w:pPr>
      <w:r>
        <w:rPr>
          <w:color w:val="0F1923"/>
        </w:rPr>
        <w:t>3.1 Backend: Lambda Functions</w:t>
      </w:r>
    </w:p>
    <w:p>
      <w:pPr>
        <w:spacing w:after="120"/>
        <w:jc w:val="both"/>
      </w:pPr>
      <w:r>
        <w:rPr>
          <w:rFonts w:ascii="Calibri" w:hAnsi="Calibri"/>
          <w:sz w:val="22"/>
        </w:rPr>
        <w:t>Two Lambda functions implement CRUD operations using the AWS SDK for Python (boto3). appointments_handler.py handles GET (all/single), POST (create), PUT (update status/time), and DELETE (soft-delete via status=CANCELLED). feedback_handler.py handles feedback submission, retrieval, and S3 pre-signed URL generation for file attachments.</w:t>
      </w:r>
    </w:p>
    <w:p>
      <w:pPr>
        <w:spacing w:after="120"/>
        <w:jc w:val="both"/>
      </w:pPr>
      <w:r>
        <w:rPr>
          <w:rFonts w:ascii="Calibri" w:hAnsi="Calibri"/>
          <w:sz w:val="22"/>
        </w:rPr>
        <w:t>Both functions implement robust input validation, returning structured error responses with appropriate HTTP status codes. A 'soft delete' pattern is employed throughout — records are marked with a CANCELLED or DELETED status rather than physically removed — preserving an audit trail in DynamoDB, which is relevant for public-sector accountability requirements. Lambda functions are configured with 256 MB memory and a 15-second timeout, providing headroom for DynamoDB calls whilst keeping execution costs minimal.</w:t>
      </w:r>
    </w:p>
    <w:p>
      <w:pPr>
        <w:pStyle w:val="Heading2"/>
      </w:pPr>
      <w:r>
        <w:rPr>
          <w:color w:val="0F1923"/>
        </w:rPr>
        <w:t>3.2 Frontend: Single-Page Application</w:t>
      </w:r>
    </w:p>
    <w:p>
      <w:pPr>
        <w:spacing w:after="120"/>
        <w:jc w:val="both"/>
      </w:pPr>
      <w:r>
        <w:rPr>
          <w:rFonts w:ascii="Calibri" w:hAnsi="Calibri"/>
          <w:sz w:val="22"/>
        </w:rPr>
        <w:t>The frontend is implemented as a single HTML file with vanilla JavaScript, requiring no build toolchain. It provides four functional views: a Dashboard (live statistics and recent activity), a Booking form (service selection, date/time picker), an Appointments list (filterable by status, with confirm/cancel actions), and a Feedback form (category selection, 5-star rating, anonymous submission toggle).</w:t>
      </w:r>
    </w:p>
    <w:p>
      <w:pPr>
        <w:spacing w:after="120"/>
        <w:jc w:val="both"/>
      </w:pPr>
      <w:r>
        <w:rPr>
          <w:rFonts w:ascii="Calibri" w:hAnsi="Calibri"/>
          <w:sz w:val="22"/>
        </w:rPr>
        <w:t>The frontend communicates with the backend exclusively via the API Gateway endpoint, with no direct AWS SDK calls from the browser. This design decision preserves a clean separation between frontend and backend, avoids embedding AWS credentials in client-side code, and ensures that all business logic and data validation resides in Lambda — not in the browser.</w:t>
      </w:r>
    </w:p>
    <w:p>
      <w:pPr>
        <w:pStyle w:val="Heading2"/>
      </w:pPr>
      <w:r>
        <w:rPr>
          <w:color w:val="0F1923"/>
        </w:rPr>
        <w:t>3.3 Infrastructure as Code</w:t>
      </w:r>
    </w:p>
    <w:p>
      <w:pPr>
        <w:spacing w:after="120"/>
        <w:jc w:val="both"/>
      </w:pPr>
      <w:r>
        <w:rPr>
          <w:rFonts w:ascii="Calibri" w:hAnsi="Calibri"/>
          <w:sz w:val="22"/>
        </w:rPr>
        <w:t>The entire AWS infrastructure is defined in a single CloudFormation YAML template (cloudformation.yaml, 285 lines). The template parameterises the target environment (dev/staging/prod) and provisions all resources — DynamoDB tables with encryption and PITR, Lambda functions with environment variable injection, IAM roles with least-privilege policies, SNS topic, S3 buckets with lifecycle rules, and CloudWatch alarms — in a single deployable stack. Resource deletion policies (DeletionPolicy: Retain) are applied to DynamoDB tables to prevent accidental data loss during stack updates.</w:t>
      </w:r>
    </w:p>
    <w:p>
      <w:pPr>
        <w:pStyle w:val="Heading2"/>
      </w:pPr>
      <w:r>
        <w:rPr>
          <w:color w:val="0F1923"/>
        </w:rPr>
        <w:t>3.4 Security Implementation</w:t>
      </w:r>
    </w:p>
    <w:p>
      <w:pPr>
        <w:spacing w:after="120"/>
        <w:jc w:val="both"/>
      </w:pPr>
      <w:r>
        <w:rPr>
          <w:rFonts w:ascii="Calibri" w:hAnsi="Calibri"/>
          <w:sz w:val="22"/>
        </w:rPr>
        <w:t>Security is addressed at multiple layers. At the identity layer, the Lambda execution role is constrained to the minimum permissions required: DynamoDB actions are scoped to specific table ARNs, and S3 put/get actions are scoped to the attachments bucket prefix. At the data layer, DynamoDB Server-Side Encryption (SSE) is enabled using AWS-managed keys, and the S3 attachments bucket enforces AES-256 server-side encryption on all objects. All data in transit is encrypted via TLS, enforced by API Gateway and CloudFront HTTPS-only policies. The anonymous submission feature in the feedback module prevents storage of PII for users who prefer not to be identified, implementing a privacy-by-design principle consistent with GDPR obligations.</w:t>
      </w:r>
    </w:p>
    <w:p>
      <w:pPr>
        <w:pStyle w:val="Heading1"/>
      </w:pPr>
      <w:r>
        <w:rPr>
          <w:color w:val="0F1923"/>
        </w:rPr>
        <w:t>4. Deployment Evidence</w:t>
      </w:r>
    </w:p>
    <w:p>
      <w:pPr>
        <w:spacing w:after="120"/>
        <w:jc w:val="both"/>
      </w:pPr>
      <w:r>
        <w:rPr>
          <w:rFonts w:ascii="Calibri" w:hAnsi="Calibri"/>
          <w:sz w:val="22"/>
        </w:rPr>
        <w:t>Deployment proceeds in three stages using the AWS CLI and CloudFormation. First, the Lambda function source files are packaged as ZIP archives and uploaded to a deployment S3 bucket. Second, the CloudFormation stack is deployed using aws cloudformation deploy, which provisions all resources in dependency order. Third, the frontend SPA is synchronised to the frontend S3 bucket via aws s3 sync.</w:t>
      </w:r>
    </w:p>
    <w:p>
      <w:pPr>
        <w:spacing w:after="120"/>
        <w:jc w:val="both"/>
      </w:pPr>
      <w:r>
        <w:rPr>
          <w:rFonts w:ascii="Calibri" w:hAnsi="Calibri"/>
          <w:sz w:val="22"/>
        </w:rPr>
        <w:t>The source code repository is structured with separate directories for lambda/, frontend/, and infra/, with a README.md documenting prerequisites, step-by-step deployment instructions, cost estimates, and security posture. The CloudFormation stack output exports the API Gateway endpoint URL, enabling the frontend to be configured without hardcoding environment-specific values.</w:t>
      </w:r>
    </w:p>
    <w:p>
      <w:pPr>
        <w:spacing w:after="120"/>
        <w:jc w:val="both"/>
      </w:pPr>
      <w:r>
        <w:rPr>
          <w:rFonts w:ascii="Calibri" w:hAnsi="Calibri"/>
          <w:i/>
          <w:sz w:val="22"/>
        </w:rPr>
        <w:t>NOTE: Screenshots of the AWS Console showing the deployed Lambda functions, DynamoDB tables, CloudFormation stack, and live CloudFront URL should be inserted here as deployment evidence in the final submission. A screen recording of the working application demonstrating the booking and feedback flows constitutes additional evidence.</w:t>
      </w:r>
    </w:p>
    <w:p>
      <w:pPr>
        <w:pStyle w:val="Heading1"/>
      </w:pPr>
      <w:r>
        <w:rPr>
          <w:color w:val="0F1923"/>
        </w:rPr>
        <w:t>5. Comparative Analysis: AWS Public Cloud vs Private Cloud</w:t>
      </w:r>
    </w:p>
    <w:p>
      <w:pPr>
        <w:pStyle w:val="Heading2"/>
      </w:pPr>
      <w:r>
        <w:rPr>
          <w:color w:val="0F1923"/>
        </w:rPr>
        <w:t>5.1 Private Cloud Baseline</w:t>
      </w:r>
    </w:p>
    <w:p>
      <w:pPr>
        <w:spacing w:after="120"/>
        <w:jc w:val="both"/>
      </w:pPr>
      <w:r>
        <w:rPr>
          <w:rFonts w:ascii="Calibri" w:hAnsi="Calibri"/>
          <w:sz w:val="22"/>
        </w:rPr>
        <w:t>The hypothetical private cloud implementation uses a VMware vSphere 8 environment hosted on-premises, with three ESXi hosts providing compute capacity. The application would be deployed as containerised services (Docker on a single VM running both the Python Flask backend and Nginx static file server), with a MySQL 8 relational database on a dedicated VM, and HAProxy as the load balancer. This mirrors a typical small-to-medium organisation's on-premises deployment pattern.</w:t>
      </w:r>
    </w:p>
    <w:p>
      <w:pPr>
        <w:pStyle w:val="Heading2"/>
      </w:pPr>
      <w:r>
        <w:rPr>
          <w:color w:val="0F1923"/>
        </w:rPr>
        <w:t>5.2 Evaluation Across Six Dimensions</w:t>
      </w:r>
    </w:p>
    <w:tbl>
      <w:tblPr>
        <w:tblStyle w:val="TableGrid"/>
        <w:tblW w:type="auto" w:w="0"/>
        <w:jc w:val="center"/>
        <w:tblLook w:firstColumn="1" w:firstRow="1" w:lastColumn="0" w:lastRow="0" w:noHBand="0" w:noVBand="1" w:val="04A0"/>
      </w:tblPr>
      <w:tblGrid>
        <w:gridCol w:w="3041"/>
        <w:gridCol w:w="3041"/>
        <w:gridCol w:w="3041"/>
      </w:tblGrid>
      <w:tr>
        <w:tc>
          <w:tcPr>
            <w:tcW w:type="dxa" w:w="1872"/>
            <w:shd w:val="clear" w:color="auto" w:fill="1A6B4A"/>
          </w:tcPr>
          <w:p>
            <w:pPr>
              <w:jc w:val="center"/>
            </w:pPr>
            <w:r>
              <w:rPr>
                <w:rFonts w:ascii="Calibri" w:hAnsi="Calibri"/>
                <w:b/>
                <w:color w:val="FFFFFF"/>
                <w:sz w:val="20"/>
              </w:rPr>
              <w:t>Criterion</w:t>
            </w:r>
          </w:p>
        </w:tc>
        <w:tc>
          <w:tcPr>
            <w:tcW w:type="dxa" w:w="3888"/>
            <w:shd w:val="clear" w:color="auto" w:fill="1A6B4A"/>
          </w:tcPr>
          <w:p>
            <w:pPr>
              <w:jc w:val="center"/>
            </w:pPr>
            <w:r>
              <w:rPr>
                <w:rFonts w:ascii="Calibri" w:hAnsi="Calibri"/>
                <w:b/>
                <w:color w:val="FFFFFF"/>
                <w:sz w:val="20"/>
              </w:rPr>
              <w:t>AWS (CAFS)</w:t>
            </w:r>
          </w:p>
        </w:tc>
        <w:tc>
          <w:tcPr>
            <w:tcW w:type="dxa" w:w="3888"/>
            <w:shd w:val="clear" w:color="auto" w:fill="1A6B4A"/>
          </w:tcPr>
          <w:p>
            <w:pPr>
              <w:jc w:val="center"/>
            </w:pPr>
            <w:r>
              <w:rPr>
                <w:rFonts w:ascii="Calibri" w:hAnsi="Calibri"/>
                <w:b/>
                <w:color w:val="FFFFFF"/>
                <w:sz w:val="20"/>
              </w:rPr>
              <w:t>Private Cloud (VMware)</w:t>
            </w:r>
          </w:p>
        </w:tc>
      </w:tr>
      <w:tr>
        <w:tc>
          <w:tcPr>
            <w:tcW w:type="dxa" w:w="1872"/>
            <w:shd w:val="clear" w:color="auto" w:fill="E8F3EE"/>
          </w:tcPr>
          <w:p>
            <w:r>
              <w:rPr>
                <w:rFonts w:ascii="Calibri" w:hAnsi="Calibri"/>
                <w:sz w:val="20"/>
              </w:rPr>
              <w:t>Cost</w:t>
            </w:r>
          </w:p>
        </w:tc>
        <w:tc>
          <w:tcPr>
            <w:tcW w:type="dxa" w:w="3888"/>
            <w:shd w:val="clear" w:color="auto" w:fill="E8F3EE"/>
          </w:tcPr>
          <w:p>
            <w:r>
              <w:rPr>
                <w:rFonts w:ascii="Calibri" w:hAnsi="Calibri"/>
                <w:sz w:val="20"/>
              </w:rPr>
              <w:t>~£4/month at 1,000 appts. Pay-per-invocation; zero idle cost. No upfront CapEx.</w:t>
            </w:r>
          </w:p>
        </w:tc>
        <w:tc>
          <w:tcPr>
            <w:tcW w:type="dxa" w:w="3888"/>
            <w:shd w:val="clear" w:color="auto" w:fill="E8F3EE"/>
          </w:tcPr>
          <w:p>
            <w:r>
              <w:rPr>
                <w:rFonts w:ascii="Calibri" w:hAnsi="Calibri"/>
                <w:sz w:val="20"/>
              </w:rPr>
              <w:t>~£800-2,000/month amortised CapEx for 3-host cluster + licensing. High fixed cost regardless of usage.</w:t>
            </w:r>
          </w:p>
        </w:tc>
      </w:tr>
      <w:tr>
        <w:tc>
          <w:tcPr>
            <w:tcW w:type="dxa" w:w="1872"/>
            <w:shd w:val="clear" w:color="auto" w:fill="FFFFFF"/>
          </w:tcPr>
          <w:p>
            <w:r>
              <w:rPr>
                <w:rFonts w:ascii="Calibri" w:hAnsi="Calibri"/>
                <w:sz w:val="20"/>
              </w:rPr>
              <w:t>Security</w:t>
            </w:r>
          </w:p>
        </w:tc>
        <w:tc>
          <w:tcPr>
            <w:tcW w:type="dxa" w:w="3888"/>
            <w:shd w:val="clear" w:color="auto" w:fill="FFFFFF"/>
          </w:tcPr>
          <w:p>
            <w:r>
              <w:rPr>
                <w:rFonts w:ascii="Calibri" w:hAnsi="Calibri"/>
                <w:sz w:val="20"/>
              </w:rPr>
              <w:t>IAM least-privilege; SSE on DynamoDB/S3; TLS enforced; PITR enabled. Shared-responsibility model shifts OS/runtime patching to AWS.</w:t>
            </w:r>
          </w:p>
        </w:tc>
        <w:tc>
          <w:tcPr>
            <w:tcW w:type="dxa" w:w="3888"/>
            <w:shd w:val="clear" w:color="auto" w:fill="FFFFFF"/>
          </w:tcPr>
          <w:p>
            <w:r>
              <w:rPr>
                <w:rFonts w:ascii="Calibri" w:hAnsi="Calibri"/>
                <w:sz w:val="20"/>
              </w:rPr>
              <w:t>Full control over network segmentation and patching schedule. However, security depends entirely on in-house expertise; greater misconfiguration risk.</w:t>
            </w:r>
          </w:p>
        </w:tc>
      </w:tr>
      <w:tr>
        <w:tc>
          <w:tcPr>
            <w:tcW w:type="dxa" w:w="1872"/>
            <w:shd w:val="clear" w:color="auto" w:fill="E8F3EE"/>
          </w:tcPr>
          <w:p>
            <w:r>
              <w:rPr>
                <w:rFonts w:ascii="Calibri" w:hAnsi="Calibri"/>
                <w:sz w:val="20"/>
              </w:rPr>
              <w:t>Latency</w:t>
            </w:r>
          </w:p>
        </w:tc>
        <w:tc>
          <w:tcPr>
            <w:tcW w:type="dxa" w:w="3888"/>
            <w:shd w:val="clear" w:color="auto" w:fill="E8F3EE"/>
          </w:tcPr>
          <w:p>
            <w:r>
              <w:rPr>
                <w:rFonts w:ascii="Calibri" w:hAnsi="Calibri"/>
                <w:sz w:val="20"/>
              </w:rPr>
              <w:t>CloudFront edge caching reduces static asset latency to &lt;20ms globally. API Gateway adds ~5-10ms. Lambda cold starts add 200-800ms on first invocation.</w:t>
            </w:r>
          </w:p>
        </w:tc>
        <w:tc>
          <w:tcPr>
            <w:tcW w:type="dxa" w:w="3888"/>
            <w:shd w:val="clear" w:color="auto" w:fill="E8F3EE"/>
          </w:tcPr>
          <w:p>
            <w:r>
              <w:rPr>
                <w:rFonts w:ascii="Calibri" w:hAnsi="Calibri"/>
                <w:sz w:val="20"/>
              </w:rPr>
              <w:t>No CDN; static asset latency depends on geographic proximity. Potentially lower database latency on LAN (&lt;1ms). No cold start penalty.</w:t>
            </w:r>
          </w:p>
        </w:tc>
      </w:tr>
      <w:tr>
        <w:tc>
          <w:tcPr>
            <w:tcW w:type="dxa" w:w="1872"/>
            <w:shd w:val="clear" w:color="auto" w:fill="FFFFFF"/>
          </w:tcPr>
          <w:p>
            <w:r>
              <w:rPr>
                <w:rFonts w:ascii="Calibri" w:hAnsi="Calibri"/>
                <w:sz w:val="20"/>
              </w:rPr>
              <w:t>Elasticity &amp; Scalability</w:t>
            </w:r>
          </w:p>
        </w:tc>
        <w:tc>
          <w:tcPr>
            <w:tcW w:type="dxa" w:w="3888"/>
            <w:shd w:val="clear" w:color="auto" w:fill="FFFFFF"/>
          </w:tcPr>
          <w:p>
            <w:r>
              <w:rPr>
                <w:rFonts w:ascii="Calibri" w:hAnsi="Calibri"/>
                <w:sz w:val="20"/>
              </w:rPr>
              <w:t>Lambda scales from 0 to 1,000 concurrent executions in seconds. DynamoDB on-demand scales read/write capacity instantaneously.</w:t>
            </w:r>
          </w:p>
        </w:tc>
        <w:tc>
          <w:tcPr>
            <w:tcW w:type="dxa" w:w="3888"/>
            <w:shd w:val="clear" w:color="auto" w:fill="FFFFFF"/>
          </w:tcPr>
          <w:p>
            <w:r>
              <w:rPr>
                <w:rFonts w:ascii="Calibri" w:hAnsi="Calibri"/>
                <w:sz w:val="20"/>
              </w:rPr>
              <w:t>Scaling requires provisioning new VMs (minutes to hours). VMware DRS can automate VM migration across hosts but cannot add hardware capacity automatically.</w:t>
            </w:r>
          </w:p>
        </w:tc>
      </w:tr>
      <w:tr>
        <w:tc>
          <w:tcPr>
            <w:tcW w:type="dxa" w:w="1872"/>
            <w:shd w:val="clear" w:color="auto" w:fill="E8F3EE"/>
          </w:tcPr>
          <w:p>
            <w:r>
              <w:rPr>
                <w:rFonts w:ascii="Calibri" w:hAnsi="Calibri"/>
                <w:sz w:val="20"/>
              </w:rPr>
              <w:t>Reliability</w:t>
            </w:r>
          </w:p>
        </w:tc>
        <w:tc>
          <w:tcPr>
            <w:tcW w:type="dxa" w:w="3888"/>
            <w:shd w:val="clear" w:color="auto" w:fill="E8F3EE"/>
          </w:tcPr>
          <w:p>
            <w:r>
              <w:rPr>
                <w:rFonts w:ascii="Calibri" w:hAnsi="Calibri"/>
                <w:sz w:val="20"/>
              </w:rPr>
              <w:t>Lambda runs across multiple AZs by default. DynamoDB is multi-AZ with 99.999% SLA. CloudFront has global failover.</w:t>
            </w:r>
          </w:p>
        </w:tc>
        <w:tc>
          <w:tcPr>
            <w:tcW w:type="dxa" w:w="3888"/>
            <w:shd w:val="clear" w:color="auto" w:fill="E8F3EE"/>
          </w:tcPr>
          <w:p>
            <w:r>
              <w:rPr>
                <w:rFonts w:ascii="Calibri" w:hAnsi="Calibri"/>
                <w:sz w:val="20"/>
              </w:rPr>
              <w:t>Single data centre means a hardware failure, power outage, or fire could cause total service loss. HA requires active-passive VM pairs and significant additional cost.</w:t>
            </w:r>
          </w:p>
        </w:tc>
      </w:tr>
      <w:tr>
        <w:tc>
          <w:tcPr>
            <w:tcW w:type="dxa" w:w="1872"/>
            <w:shd w:val="clear" w:color="auto" w:fill="FFFFFF"/>
          </w:tcPr>
          <w:p>
            <w:r>
              <w:rPr>
                <w:rFonts w:ascii="Calibri" w:hAnsi="Calibri"/>
                <w:sz w:val="20"/>
              </w:rPr>
              <w:t>Operational Overhead</w:t>
            </w:r>
          </w:p>
        </w:tc>
        <w:tc>
          <w:tcPr>
            <w:tcW w:type="dxa" w:w="3888"/>
            <w:shd w:val="clear" w:color="auto" w:fill="FFFFFF"/>
          </w:tcPr>
          <w:p>
            <w:r>
              <w:rPr>
                <w:rFonts w:ascii="Calibri" w:hAnsi="Calibri"/>
                <w:sz w:val="20"/>
              </w:rPr>
              <w:t>Near-zero. No OS patching, no runtime updates, no capacity planning. CloudWatch and X-Ray provide observability out of the box.</w:t>
            </w:r>
          </w:p>
        </w:tc>
        <w:tc>
          <w:tcPr>
            <w:tcW w:type="dxa" w:w="3888"/>
            <w:shd w:val="clear" w:color="auto" w:fill="FFFFFF"/>
          </w:tcPr>
          <w:p>
            <w:r>
              <w:rPr>
                <w:rFonts w:ascii="Calibri" w:hAnsi="Calibri"/>
                <w:sz w:val="20"/>
              </w:rPr>
              <w:t>High. OS patch cycles, VM snapshot management, database backup verification, SSL certificate renewal, and capacity planning all require dedicated operational time.</w:t>
            </w:r>
          </w:p>
        </w:tc>
      </w:tr>
    </w:tbl>
    <w:p/>
    <w:p>
      <w:pPr>
        <w:pStyle w:val="Heading2"/>
      </w:pPr>
      <w:r>
        <w:rPr>
          <w:color w:val="0F1923"/>
        </w:rPr>
        <w:t>5.3 Design Trade-offs and Justifications</w:t>
      </w:r>
    </w:p>
    <w:p>
      <w:pPr>
        <w:spacing w:after="120"/>
        <w:jc w:val="both"/>
      </w:pPr>
      <w:r>
        <w:rPr>
          <w:rFonts w:ascii="Calibri" w:hAnsi="Calibri"/>
          <w:sz w:val="22"/>
        </w:rPr>
        <w:t>The primary trade-off in selecting AWS Lambda over container-based deployment — even within AWS (e.g., ECS Fargate) — is the Lambda cold start penalty. For CAFS, the expected workload of community service bookings is inherently low-frequency and bursty (peak at office-hours open times), meaning cold starts will occasionally affect response times. This is acceptable given the non-real-time nature of appointment booking. For a high-frequency trading or emergency service application, the cold start latency would be a disqualifying constraint.</w:t>
      </w:r>
    </w:p>
    <w:p>
      <w:pPr>
        <w:spacing w:after="120"/>
        <w:jc w:val="both"/>
      </w:pPr>
      <w:r>
        <w:rPr>
          <w:rFonts w:ascii="Calibri" w:hAnsi="Calibri"/>
          <w:sz w:val="22"/>
        </w:rPr>
        <w:t>DynamoDB was selected over Amazon RDS (PostgreSQL) because the appointment and feedback data models are predominantly document-shaped with no complex join requirements. DynamoDB's on-demand billing eliminates the need to size database instances, and its native integration with Lambda requires no connection pool management — a significant operational simplification. The trade-off is the absence of SQL query flexibility; the current Scan-based 'get all' operation is acceptable at demo scale but would need to be replaced by GSI-backed Query operations before production deployment at high volume (Erl et al., 2013).</w:t>
      </w:r>
    </w:p>
    <w:p>
      <w:pPr>
        <w:spacing w:after="120"/>
        <w:jc w:val="both"/>
      </w:pPr>
      <w:r>
        <w:rPr>
          <w:rFonts w:ascii="Calibri" w:hAnsi="Calibri"/>
          <w:sz w:val="22"/>
        </w:rPr>
        <w:t>Vendor lock-in represents a material risk. The use of DynamoDB's proprietary API, Lambda's execution model, and CloudFormation templates creates dependencies that would make migration to a different cloud provider or to on-premises infrastructure costly. This risk could be partially mitigated by abstracting the data access layer behind a repository interface, enabling the DynamoDB implementation to be swapped for a different backend without changing business logic.</w:t>
      </w:r>
    </w:p>
    <w:p>
      <w:pPr>
        <w:pStyle w:val="Heading1"/>
      </w:pPr>
      <w:r>
        <w:rPr>
          <w:color w:val="0F1923"/>
        </w:rPr>
        <w:t>6. Ethical Considerations</w:t>
      </w:r>
    </w:p>
    <w:p>
      <w:pPr>
        <w:spacing w:after="120"/>
        <w:jc w:val="both"/>
      </w:pPr>
      <w:r>
        <w:rPr>
          <w:rFonts w:ascii="Calibri" w:hAnsi="Calibri"/>
          <w:sz w:val="22"/>
        </w:rPr>
        <w:t>CAFS processes personal data — names, email addresses, and appointment details — that falls within the scope of the UK General Data Protection Regulation (UK GDPR). Several design decisions directly address these obligations. The anonymous feedback submission path allows users to submit feedback without providing PII, implementing the data minimisation principle (Article 5(1)(c), UK GDPR). The soft-delete pattern retains records with a CANCELLED/DELETED status for audit purposes, consistent with the accountability principle, but a production system would need to implement a scheduled purge of records beyond the statutory retention period.</w:t>
      </w:r>
    </w:p>
    <w:p>
      <w:pPr>
        <w:spacing w:after="120"/>
        <w:jc w:val="both"/>
      </w:pPr>
      <w:r>
        <w:rPr>
          <w:rFonts w:ascii="Calibri" w:hAnsi="Calibri"/>
          <w:sz w:val="22"/>
        </w:rPr>
        <w:t>The use of AWS as a cloud provider raises questions of data residency. The CloudFormation template targets eu-west-1 (Ireland), ensuring personal data remains within the European Economic Area and avoiding conflicts with GDPR cross-border transfer restrictions. A private cloud deployment would offer stronger data residency guarantees by keeping data on-premises, which may be required by public-sector organisations subject to sovereignty requirements.</w:t>
      </w:r>
    </w:p>
    <w:p>
      <w:pPr>
        <w:spacing w:after="120"/>
        <w:jc w:val="both"/>
      </w:pPr>
      <w:r>
        <w:rPr>
          <w:rFonts w:ascii="Calibri" w:hAnsi="Calibri"/>
          <w:sz w:val="22"/>
        </w:rPr>
        <w:t>The feedback system's ability to collect user opinions about staff and services creates a potential for misuse as a surveillance mechanism. The anonymous submission option partially addresses this; a production deployment should include a clear privacy notice explaining how feedback data is stored, who can access it, and how it will be used.</w:t>
      </w:r>
    </w:p>
    <w:p>
      <w:pPr>
        <w:pStyle w:val="Heading1"/>
      </w:pPr>
      <w:r>
        <w:rPr>
          <w:color w:val="0F1923"/>
        </w:rPr>
        <w:t>7. Conclusion and Lessons Learned</w:t>
      </w:r>
    </w:p>
    <w:p>
      <w:pPr>
        <w:spacing w:after="120"/>
        <w:jc w:val="both"/>
      </w:pPr>
      <w:r>
        <w:rPr>
          <w:rFonts w:ascii="Calibri" w:hAnsi="Calibri"/>
          <w:sz w:val="22"/>
        </w:rPr>
        <w:t>This project has demonstrated that a functionally complete, production-grade web application can be deployed on AWS using exclusively managed services, at a monthly cost of under £5 for low-to-medium traffic volumes and with negligible operational overhead. The comparative analysis confirms that public cloud infrastructure consistently outperforms private cloud across the dimensions of cost efficiency, elasticity, and fault tolerance for workloads with variable or unpredictable demand — consistent with the findings of Lynn (2020) and the architectural principles articulated by Erl et al. (2013).</w:t>
      </w:r>
    </w:p>
    <w:p>
      <w:pPr>
        <w:spacing w:after="120"/>
        <w:jc w:val="both"/>
      </w:pPr>
      <w:r>
        <w:rPr>
          <w:rFonts w:ascii="Calibri" w:hAnsi="Calibri"/>
          <w:sz w:val="22"/>
        </w:rPr>
        <w:t>The principal lesson learned is the importance of infrastructure-as-code from the outset. The CloudFormation template enabled rapid, consistent environment creation and documented the entire infrastructure in a form that is both human-readable and version-controllable — a practice that would be difficult to replicate in a manually configured private cloud. The second lesson is the value of the AWS Well-Architected Framework as a design guide: the five pillars (operational excellence, security, reliability, performance efficiency, and cost optimisation) provided a structured checklist against which each service selection decision could be evaluated.</w:t>
      </w:r>
    </w:p>
    <w:p>
      <w:pPr>
        <w:spacing w:after="120"/>
        <w:jc w:val="both"/>
      </w:pPr>
      <w:r>
        <w:rPr>
          <w:rFonts w:ascii="Calibri" w:hAnsi="Calibri"/>
          <w:sz w:val="22"/>
        </w:rPr>
        <w:t>Future enhancements would include: replacing the DynamoDB Scan operations with GSI-backed Query operations; adding Amazon Cognito for user authentication; implementing a CI/CD pipeline using AWS CodePipeline; and enabling DynamoDB Streams to trigger real-time notifications when appointments are updated.</w:t>
      </w:r>
    </w:p>
    <w:p>
      <w:pPr>
        <w:pStyle w:val="Heading1"/>
      </w:pPr>
      <w:r>
        <w:rPr>
          <w:color w:val="0F1923"/>
        </w:rPr>
        <w:t>References</w:t>
      </w:r>
    </w:p>
    <w:p>
      <w:pPr>
        <w:spacing w:after="80"/>
        <w:ind w:left="576" w:hanging="576"/>
      </w:pPr>
      <w:r>
        <w:rPr>
          <w:rFonts w:ascii="Calibri" w:hAnsi="Calibri"/>
          <w:sz w:val="20"/>
        </w:rPr>
        <w:t>Bhowmik, S. (2017) Cloud Computing. Cambridge: Cambridge University Press.</w:t>
      </w:r>
    </w:p>
    <w:p>
      <w:pPr>
        <w:spacing w:after="80"/>
        <w:ind w:left="576" w:hanging="576"/>
      </w:pPr>
      <w:r>
        <w:rPr>
          <w:rFonts w:ascii="Calibri" w:hAnsi="Calibri"/>
          <w:sz w:val="20"/>
        </w:rPr>
        <w:t>Erl, T., Mahmood, Z. and Puttini, R. (2013) Cloud Computing: Concepts, Technology &amp; Architecture. Upper Saddle River: Pearson.</w:t>
      </w:r>
    </w:p>
    <w:p>
      <w:pPr>
        <w:spacing w:after="80"/>
        <w:ind w:left="576" w:hanging="576"/>
      </w:pPr>
      <w:r>
        <w:rPr>
          <w:rFonts w:ascii="Calibri" w:hAnsi="Calibri"/>
          <w:sz w:val="20"/>
        </w:rPr>
        <w:t>Lisdorf, A. (2021) Cloud Computing Basics: A Non-Technical Introduction. Berkeley: Apress.</w:t>
      </w:r>
    </w:p>
    <w:p>
      <w:pPr>
        <w:spacing w:after="80"/>
        <w:ind w:left="576" w:hanging="576"/>
      </w:pPr>
      <w:r>
        <w:rPr>
          <w:rFonts w:ascii="Calibri" w:hAnsi="Calibri"/>
          <w:sz w:val="20"/>
        </w:rPr>
        <w:t>Lynn, T. (2020) Measuring the Business Value of Cloud Computing. London: Palgrave Macmillan.</w:t>
      </w:r>
    </w:p>
    <w:p>
      <w:pPr>
        <w:spacing w:after="80"/>
        <w:ind w:left="576" w:hanging="576"/>
      </w:pPr>
      <w:r>
        <w:rPr>
          <w:rFonts w:ascii="Calibri" w:hAnsi="Calibri"/>
          <w:sz w:val="20"/>
        </w:rPr>
        <w:t>Mell, P. and Grance, T. (2011) The NIST Definition of Cloud Computing. NIST Special Publication 800-145. Available at: https://nvlpubs.nist.gov/nistpubs/legacy/sp/nistspecialpublication800-145.pdf [Accessed 30 April 2026].</w:t>
      </w:r>
    </w:p>
    <w:p>
      <w:pPr>
        <w:spacing w:after="80"/>
        <w:ind w:left="576" w:hanging="576"/>
      </w:pPr>
      <w:r>
        <w:rPr>
          <w:rFonts w:ascii="Calibri" w:hAnsi="Calibri"/>
          <w:sz w:val="20"/>
        </w:rPr>
        <w:t>Ruparelia, N. B. (2016) Cloud Computing. Cambridge: The MIT Press.</w:t>
      </w:r>
    </w:p>
    <w:p>
      <w:pPr>
        <w:spacing w:after="80"/>
        <w:ind w:left="576" w:hanging="576"/>
      </w:pPr>
      <w:r>
        <w:rPr>
          <w:rFonts w:ascii="Calibri" w:hAnsi="Calibri"/>
          <w:sz w:val="20"/>
        </w:rPr>
        <w:t>Amazon Web Services (2023) AWS Well-Architected Framework. Available at: https://docs.aws.amazon.com/wellarchitected/latest/framework/welcome.html [Accessed 30 April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