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AEGIS vs CyberArk</w:t>
      </w:r>
    </w:p>
    <w:p>
      <w:pPr>
        <w:jc w:val="center"/>
      </w:pPr>
      <w:r>
        <w:rPr>
          <w:i/>
          <w:sz w:val="22"/>
        </w:rPr>
        <w:t>Technical Comparison (IAM/IGA/PAM &amp; Identity Fabric vs PAM Platform)</w:t>
      </w:r>
    </w:p>
    <w:p>
      <w:pPr>
        <w:jc w:val="center"/>
      </w:pPr>
      <w:r>
        <w:rPr>
          <w:sz w:val="18"/>
        </w:rPr>
        <w:t>2026-02-16 — v1.0</w:t>
      </w:r>
    </w:p>
    <w:p/>
    <w:p>
      <w:r>
        <w:rPr>
          <w:b/>
          <w:sz w:val="26"/>
        </w:rPr>
        <w:t>Executive Summary</w:t>
      </w:r>
    </w:p>
    <w:p>
      <w:pPr>
        <w:spacing w:after="120"/>
      </w:pPr>
      <w:r>
        <w:t>CyberArk is a mature, market-leading privileged access management (PAM) platform, strong in vaulting, session control, and secrets management. AEGIS is an open, modular Identity Fabric architecture that converges federation (SSO/MFA), identity lifecycle governance (NPAs/HPAs), privileged access (PAM), and cross-environment policy orchestration. In short: CyberArk secures privileged accounts; AEGIS governs identities and access across the entire infrastructure.</w:t>
      </w:r>
    </w:p>
    <w:p>
      <w:r>
        <w:rPr>
          <w:b/>
          <w:sz w:val="26"/>
        </w:rPr>
        <w:t>High-Level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76"/>
          </w:tcPr>
          <w:p>
            <w:r>
              <w:t>Dimension</w:t>
            </w:r>
          </w:p>
        </w:tc>
        <w:tc>
          <w:tcPr>
            <w:tcW w:type="dxa" w:w="4104"/>
          </w:tcPr>
          <w:p>
            <w:r>
              <w:t>AEGIS Identity Fabric</w:t>
            </w:r>
          </w:p>
        </w:tc>
        <w:tc>
          <w:tcPr>
            <w:tcW w:type="dxa" w:w="4104"/>
          </w:tcPr>
          <w:p>
            <w:r>
              <w:t>CyberArk</w:t>
            </w:r>
          </w:p>
        </w:tc>
      </w:tr>
      <w:tr>
        <w:tc>
          <w:tcPr>
            <w:tcW w:type="dxa" w:w="2376"/>
          </w:tcPr>
          <w:p>
            <w:r>
              <w:t>Type</w:t>
            </w:r>
          </w:p>
        </w:tc>
        <w:tc>
          <w:tcPr>
            <w:tcW w:type="dxa" w:w="4104"/>
          </w:tcPr>
          <w:p>
            <w:r>
              <w:t>Open architecture (framework)</w:t>
            </w:r>
          </w:p>
        </w:tc>
        <w:tc>
          <w:tcPr>
            <w:tcW w:type="dxa" w:w="4104"/>
          </w:tcPr>
          <w:p>
            <w:r>
              <w:t>Commercial PAM platform</w:t>
            </w:r>
          </w:p>
        </w:tc>
      </w:tr>
      <w:tr>
        <w:tc>
          <w:tcPr>
            <w:tcW w:type="dxa" w:w="2376"/>
          </w:tcPr>
          <w:p>
            <w:r>
              <w:t>Primary focus</w:t>
            </w:r>
          </w:p>
        </w:tc>
        <w:tc>
          <w:tcPr>
            <w:tcW w:type="dxa" w:w="4104"/>
          </w:tcPr>
          <w:p>
            <w:r>
              <w:t>Converged IAM + IGA + PAM governance</w:t>
            </w:r>
          </w:p>
        </w:tc>
        <w:tc>
          <w:tcPr>
            <w:tcW w:type="dxa" w:w="4104"/>
          </w:tcPr>
          <w:p>
            <w:r>
              <w:t>PAM-first (vault, sessions, rotation)</w:t>
            </w:r>
          </w:p>
        </w:tc>
      </w:tr>
      <w:tr>
        <w:tc>
          <w:tcPr>
            <w:tcW w:type="dxa" w:w="2376"/>
          </w:tcPr>
          <w:p>
            <w:r>
              <w:t>SSO / Federation</w:t>
            </w:r>
          </w:p>
        </w:tc>
        <w:tc>
          <w:tcPr>
            <w:tcW w:type="dxa" w:w="4104"/>
          </w:tcPr>
          <w:p>
            <w:r>
              <w:t>Yes (federation-first design)</w:t>
            </w:r>
          </w:p>
        </w:tc>
        <w:tc>
          <w:tcPr>
            <w:tcW w:type="dxa" w:w="4104"/>
          </w:tcPr>
          <w:p>
            <w:r>
              <w:t>Limited / via integrations</w:t>
            </w:r>
          </w:p>
        </w:tc>
      </w:tr>
      <w:tr>
        <w:tc>
          <w:tcPr>
            <w:tcW w:type="dxa" w:w="2376"/>
          </w:tcPr>
          <w:p>
            <w:r>
              <w:t>IGA / Lifecycle</w:t>
            </w:r>
          </w:p>
        </w:tc>
        <w:tc>
          <w:tcPr>
            <w:tcW w:type="dxa" w:w="4104"/>
          </w:tcPr>
          <w:p>
            <w:r>
              <w:t>Yes (NPAs/HPAs lifecycle + governance)</w:t>
            </w:r>
          </w:p>
        </w:tc>
        <w:tc>
          <w:tcPr>
            <w:tcW w:type="dxa" w:w="4104"/>
          </w:tcPr>
          <w:p>
            <w:r>
              <w:t>Partial / via add-ons &amp; integrations</w:t>
            </w:r>
          </w:p>
        </w:tc>
      </w:tr>
      <w:tr>
        <w:tc>
          <w:tcPr>
            <w:tcW w:type="dxa" w:w="2376"/>
          </w:tcPr>
          <w:p>
            <w:r>
              <w:t>PAM strength</w:t>
            </w:r>
          </w:p>
        </w:tc>
        <w:tc>
          <w:tcPr>
            <w:tcW w:type="dxa" w:w="4104"/>
          </w:tcPr>
          <w:p>
            <w:r>
              <w:t>Strong (PAM subsystem + orchestration)</w:t>
            </w:r>
          </w:p>
        </w:tc>
        <w:tc>
          <w:tcPr>
            <w:tcW w:type="dxa" w:w="4104"/>
          </w:tcPr>
          <w:p>
            <w:r>
              <w:t>Very strong (market leader)</w:t>
            </w:r>
          </w:p>
        </w:tc>
      </w:tr>
      <w:tr>
        <w:tc>
          <w:tcPr>
            <w:tcW w:type="dxa" w:w="2376"/>
          </w:tcPr>
          <w:p>
            <w:r>
              <w:t>Secrets management</w:t>
            </w:r>
          </w:p>
        </w:tc>
        <w:tc>
          <w:tcPr>
            <w:tcW w:type="dxa" w:w="4104"/>
          </w:tcPr>
          <w:p>
            <w:r>
              <w:t>Integrable (provider-agnostic)</w:t>
            </w:r>
          </w:p>
        </w:tc>
        <w:tc>
          <w:tcPr>
            <w:tcW w:type="dxa" w:w="4104"/>
          </w:tcPr>
          <w:p>
            <w:r>
              <w:t>Very strong (built-in)</w:t>
            </w:r>
          </w:p>
        </w:tc>
      </w:tr>
      <w:tr>
        <w:tc>
          <w:tcPr>
            <w:tcW w:type="dxa" w:w="2376"/>
          </w:tcPr>
          <w:p>
            <w:r>
              <w:t>Vendor lock-in</w:t>
            </w:r>
          </w:p>
        </w:tc>
        <w:tc>
          <w:tcPr>
            <w:tcW w:type="dxa" w:w="4104"/>
          </w:tcPr>
          <w:p>
            <w:r>
              <w:t>Low (replaceable components)</w:t>
            </w:r>
          </w:p>
        </w:tc>
        <w:tc>
          <w:tcPr>
            <w:tcW w:type="dxa" w:w="4104"/>
          </w:tcPr>
          <w:p>
            <w:r>
              <w:t>High (proprietary ecosystem)</w:t>
            </w:r>
          </w:p>
        </w:tc>
      </w:tr>
      <w:tr>
        <w:tc>
          <w:tcPr>
            <w:tcW w:type="dxa" w:w="2376"/>
          </w:tcPr>
          <w:p>
            <w:r>
              <w:t>Multi-cloud independence</w:t>
            </w:r>
          </w:p>
        </w:tc>
        <w:tc>
          <w:tcPr>
            <w:tcW w:type="dxa" w:w="4104"/>
          </w:tcPr>
          <w:p>
            <w:r>
              <w:t>High (provider-neutral governance)</w:t>
            </w:r>
          </w:p>
        </w:tc>
        <w:tc>
          <w:tcPr>
            <w:tcW w:type="dxa" w:w="4104"/>
          </w:tcPr>
          <w:p>
            <w:r>
              <w:t>Medium (cloud integrated, not cloud-replacing)</w:t>
            </w:r>
          </w:p>
        </w:tc>
      </w:tr>
      <w:tr>
        <w:tc>
          <w:tcPr>
            <w:tcW w:type="dxa" w:w="2376"/>
          </w:tcPr>
          <w:p>
            <w:r>
              <w:t>Best fit</w:t>
            </w:r>
          </w:p>
        </w:tc>
        <w:tc>
          <w:tcPr>
            <w:tcW w:type="dxa" w:w="4104"/>
          </w:tcPr>
          <w:p>
            <w:r>
              <w:t>Sovereign multi-cloud governance &amp; convergence</w:t>
            </w:r>
          </w:p>
        </w:tc>
        <w:tc>
          <w:tcPr>
            <w:tcW w:type="dxa" w:w="4104"/>
          </w:tcPr>
          <w:p>
            <w:r>
              <w:t>Enterprise PAM procurement and rollout</w:t>
            </w:r>
          </w:p>
        </w:tc>
      </w:tr>
    </w:tbl>
    <w:p>
      <w:r>
        <w:rPr>
          <w:b/>
          <w:sz w:val="26"/>
        </w:rPr>
        <w:t>1. Scope and Philosophy</w:t>
      </w:r>
    </w:p>
    <w:p>
      <w:pPr>
        <w:spacing w:after="120"/>
      </w:pPr>
      <w:r>
        <w:t>AEGIS is a reference architecture (Identity Fabric) designed to unify identity federation, lifecycle governance, privileged access, and audit across hybrid/multi-cloud environments.</w:t>
      </w:r>
    </w:p>
    <w:p>
      <w:pPr>
        <w:spacing w:after="120"/>
      </w:pPr>
      <w:r>
        <w:t>CyberArk is a commercial PAM-first platform focused on protecting privileged credentials, brokering privileged sessions, and managing secrets at enterprise scale.</w:t>
      </w:r>
    </w:p>
    <w:p>
      <w:r>
        <w:rPr>
          <w:b/>
          <w:sz w:val="26"/>
        </w:rPr>
        <w:t>2. Coverage: IAM vs IGA vs PAM</w:t>
      </w:r>
    </w:p>
    <w:p>
      <w:pPr>
        <w:spacing w:after="120"/>
      </w:pPr>
      <w:r>
        <w:t>CyberArk is strongest in PAM and secrets management; IAM/SSO and full IGA are typically achieved via integrations or additional products.</w:t>
      </w:r>
    </w:p>
    <w:p>
      <w:pPr>
        <w:spacing w:after="120"/>
      </w:pPr>
      <w:r>
        <w:t>AEGIS explicitly includes federation (SSO/MFA), identity lifecycle governance (NPAs/HPAs), and privileged access control, orchestrated via open connectors and policies.</w:t>
      </w:r>
    </w:p>
    <w:p>
      <w:r>
        <w:rPr>
          <w:b/>
          <w:sz w:val="26"/>
        </w:rPr>
        <w:t>3. Architecture and Control Plane</w:t>
      </w:r>
    </w:p>
    <w:p>
      <w:pPr>
        <w:spacing w:after="120"/>
      </w:pPr>
      <w:r>
        <w:t>AEGIS promotes a provider-independent control plane with modular components and replaceable subsystems.</w:t>
      </w:r>
    </w:p>
    <w:p>
      <w:pPr>
        <w:spacing w:after="120"/>
      </w:pPr>
      <w:r>
        <w:t>CyberArk provides an integrated proprietary stack; it is robust and mature but increases dependency on a single vendor ecosystem.</w:t>
      </w:r>
    </w:p>
    <w:p>
      <w:r>
        <w:rPr>
          <w:b/>
          <w:sz w:val="26"/>
        </w:rPr>
        <w:t>4. Multi-Cloud Strategy and Sovereignty</w:t>
      </w:r>
    </w:p>
    <w:p>
      <w:pPr>
        <w:spacing w:after="120"/>
      </w:pPr>
      <w:r>
        <w:t>AEGIS is designed to minimize reliance on cloud-native IAM/PAM models by centralizing governance and audit and using standardized connectors.</w:t>
      </w:r>
    </w:p>
    <w:p>
      <w:pPr>
        <w:spacing w:after="120"/>
      </w:pPr>
      <w:r>
        <w:t>CyberArk integrates well with major cloud providers but does not inherently replace their identity and authorization primitives.</w:t>
      </w:r>
    </w:p>
    <w:p>
      <w:r>
        <w:rPr>
          <w:b/>
          <w:sz w:val="26"/>
        </w:rPr>
        <w:t>5. Compliance and Audit Readiness</w:t>
      </w:r>
    </w:p>
    <w:p>
      <w:pPr>
        <w:spacing w:after="120"/>
      </w:pPr>
      <w:r>
        <w:t>Both can support compliance programs, but they contribute differently: CyberArk strongly addresses privileged controls; AEGIS targets broader governance alignment across IAM/IGA/PAM.</w:t>
      </w:r>
    </w:p>
    <w:p>
      <w:pPr>
        <w:spacing w:after="120"/>
      </w:pPr>
      <w:r>
        <w:t>AEGIS can be mapped to ISO 27001, NIST 800-207 (Zero Trust), CIS Controls, ENS, DORA, and other frameworks as an overarching architecture.</w:t>
      </w:r>
    </w:p>
    <w:p>
      <w:r>
        <w:rPr>
          <w:b/>
          <w:sz w:val="26"/>
        </w:rPr>
        <w:t>6. When to Choose Which</w:t>
      </w:r>
    </w:p>
    <w:p>
      <w:pPr>
        <w:spacing w:after="120"/>
      </w:pPr>
      <w:r>
        <w:t>Choose CyberArk when you need a proven PAM suite with minimal architectural assembly and have budget for enterprise licensing and services.</w:t>
      </w:r>
    </w:p>
    <w:p>
      <w:pPr>
        <w:spacing w:after="120"/>
      </w:pPr>
      <w:r>
        <w:t>Choose AEGIS when you need a vendor-neutral Identity Fabric, coherent policy across environments, and a long-term governance strategy that converges IAM/IGA/PAM.</w:t>
      </w:r>
    </w:p>
    <w:p>
      <w:r>
        <w:rPr>
          <w:b/>
          <w:sz w:val="26"/>
        </w:rPr>
        <w:t>Key Takeaways</w:t>
      </w:r>
    </w:p>
    <w:p>
      <w:pPr>
        <w:pStyle w:val="ListBullet"/>
      </w:pPr>
      <w:r>
        <w:t>CyberArk excels when PAM is the primary requirement and a packaged, vendor-supported solution is preferred.</w:t>
      </w:r>
    </w:p>
    <w:p>
      <w:pPr>
        <w:pStyle w:val="ListBullet"/>
      </w:pPr>
      <w:r>
        <w:t>AEGIS excels when strategic goals include multi-cloud independence, reduced vendor lock-in, and converged IAM/IGA/PAM governance.</w:t>
      </w:r>
    </w:p>
    <w:p>
      <w:pPr>
        <w:pStyle w:val="ListBullet"/>
      </w:pPr>
      <w:r>
        <w:t>They can coexist: CyberArk can be integrated as a PAM subsystem inside an AEGIS-based Identity Fabric when needed.</w:t>
      </w:r>
    </w:p>
    <w:p>
      <w:r>
        <w:rPr>
          <w:i/>
          <w:sz w:val="16"/>
        </w:rPr>
        <w:t>Generated on 2026-02-16 — AEGIS Identity Fabric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