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35CA0BB6"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w:t>
            </w:r>
            <w:r w:rsidR="00E30DE6">
              <w:rPr>
                <w:rFonts w:asciiTheme="minorHAnsi" w:eastAsia="Times New Roman" w:hAnsiTheme="minorHAnsi" w:cstheme="minorHAnsi"/>
                <w:color w:val="333333"/>
              </w:rPr>
              <w:t>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35EB1B59"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Written report (word document ONLY, No PDF’s),  </w:t>
            </w:r>
            <w:bookmarkStart w:id="0" w:name="_Hlk143505803"/>
            <w:r w:rsidRPr="00591DFB">
              <w:rPr>
                <w:rFonts w:asciiTheme="minorHAnsi" w:hAnsiTheme="minorHAnsi" w:cstheme="minorHAnsi"/>
                <w:b/>
                <w:bCs/>
              </w:rPr>
              <w:t>Code files (</w:t>
            </w:r>
            <w:proofErr w:type="spellStart"/>
            <w:r w:rsidR="001B5985">
              <w:rPr>
                <w:rFonts w:asciiTheme="minorHAnsi" w:hAnsiTheme="minorHAnsi" w:cstheme="minorHAnsi"/>
                <w:b/>
                <w:bCs/>
              </w:rPr>
              <w:t>J</w:t>
            </w:r>
            <w:r w:rsidRPr="00591DFB">
              <w:rPr>
                <w:rFonts w:asciiTheme="minorHAnsi" w:hAnsiTheme="minorHAnsi" w:cstheme="minorHAnsi"/>
                <w:b/>
                <w:bCs/>
              </w:rPr>
              <w:t>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386420F9"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w:t>
      </w:r>
      <w:r w:rsidR="004A5E5A">
        <w:rPr>
          <w:rFonts w:asciiTheme="minorHAnsi" w:eastAsia="Times New Roman" w:hAnsiTheme="minorHAnsi" w:cstheme="minorHAnsi"/>
          <w:color w:val="333333"/>
        </w:rPr>
        <w:t>o</w:t>
      </w:r>
      <w:r w:rsidRPr="00591DFB">
        <w:rPr>
          <w:rFonts w:asciiTheme="minorHAnsi" w:eastAsia="Times New Roman" w:hAnsiTheme="minorHAnsi" w:cstheme="minorHAnsi"/>
          <w:color w:val="333333"/>
        </w:rPr>
        <w:t xml:space="preserve">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proofErr w:type="spellStart"/>
      <w:r w:rsidR="00143658"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 xml:space="preserve">Grades will be </w:t>
      </w:r>
      <w:proofErr w:type="spellStart"/>
      <w:r w:rsidRPr="00EA3A02">
        <w:rPr>
          <w:rFonts w:asciiTheme="minorHAnsi" w:eastAsia="Times New Roman" w:hAnsiTheme="minorHAnsi" w:cstheme="minorHAnsi"/>
          <w:b/>
          <w:bCs/>
          <w:color w:val="333333"/>
        </w:rPr>
        <w:t>dependant</w:t>
      </w:r>
      <w:proofErr w:type="spellEnd"/>
      <w:r w:rsidRPr="00EA3A02">
        <w:rPr>
          <w:rFonts w:asciiTheme="minorHAnsi" w:eastAsia="Times New Roman" w:hAnsiTheme="minorHAnsi" w:cstheme="minorHAnsi"/>
          <w:b/>
          <w:bCs/>
          <w:color w:val="333333"/>
        </w:rPr>
        <w:t xml:space="preserve">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B5985"/>
    <w:rsid w:val="001E3783"/>
    <w:rsid w:val="00343302"/>
    <w:rsid w:val="00391A93"/>
    <w:rsid w:val="003D3B7F"/>
    <w:rsid w:val="003E3AB6"/>
    <w:rsid w:val="004A5E5A"/>
    <w:rsid w:val="00591DFB"/>
    <w:rsid w:val="00854A3D"/>
    <w:rsid w:val="008D07C7"/>
    <w:rsid w:val="00BB7999"/>
    <w:rsid w:val="00E30DE6"/>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Bruno Conti</cp:lastModifiedBy>
  <cp:revision>6</cp:revision>
  <dcterms:created xsi:type="dcterms:W3CDTF">2024-02-26T07:58:00Z</dcterms:created>
  <dcterms:modified xsi:type="dcterms:W3CDTF">2024-03-02T09:40:00Z</dcterms:modified>
</cp:coreProperties>
</file>