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28F" w:rsidRPr="002D628F" w:rsidRDefault="002D628F" w:rsidP="002D62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>Curriculum Vitae</w:t>
      </w:r>
    </w:p>
    <w:p w:rsidR="002D628F" w:rsidRDefault="002D628F" w:rsidP="00BF2A30">
      <w:pPr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Bart </w:t>
      </w:r>
      <w:proofErr w:type="gramStart"/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>Cant</w:t>
      </w:r>
      <w:proofErr w:type="gramEnd"/>
    </w:p>
    <w:p w:rsidR="005E6D37" w:rsidRDefault="00082230" w:rsidP="00BF2A30">
      <w:pPr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Cs w:val="36"/>
        </w:rPr>
      </w:pPr>
      <w:hyperlink r:id="rId5" w:history="1">
        <w:r w:rsidR="005E6D37" w:rsidRPr="005E6D37">
          <w:rPr>
            <w:rStyle w:val="Hyperlink"/>
            <w:rFonts w:ascii="Times New Roman" w:eastAsia="Times New Roman" w:hAnsi="Times New Roman" w:cs="Times New Roman"/>
            <w:b/>
            <w:bCs/>
            <w:smallCaps/>
            <w:szCs w:val="36"/>
          </w:rPr>
          <w:t>bart.cant@gmail.com</w:t>
        </w:r>
      </w:hyperlink>
      <w:r w:rsidR="005E6D37" w:rsidRPr="005E6D37">
        <w:rPr>
          <w:rFonts w:ascii="Times New Roman" w:eastAsia="Times New Roman" w:hAnsi="Times New Roman" w:cs="Times New Roman"/>
          <w:b/>
          <w:bCs/>
          <w:smallCaps/>
          <w:color w:val="000000"/>
          <w:szCs w:val="36"/>
        </w:rPr>
        <w:t xml:space="preserve">  </w:t>
      </w:r>
    </w:p>
    <w:p w:rsidR="005E6D37" w:rsidRPr="005E6D37" w:rsidRDefault="005E6D37" w:rsidP="00BF2A30">
      <w:pPr>
        <w:jc w:val="center"/>
        <w:rPr>
          <w:rFonts w:ascii="Times New Roman" w:eastAsia="Times New Roman" w:hAnsi="Times New Roman" w:cs="Times New Roman"/>
          <w:sz w:val="16"/>
          <w:szCs w:val="24"/>
        </w:rPr>
      </w:pPr>
      <w:r w:rsidRPr="005E6D37">
        <w:rPr>
          <w:rFonts w:ascii="Times New Roman" w:eastAsia="Times New Roman" w:hAnsi="Times New Roman" w:cs="Times New Roman"/>
          <w:b/>
          <w:bCs/>
          <w:smallCaps/>
          <w:color w:val="000000"/>
          <w:szCs w:val="36"/>
        </w:rPr>
        <w:t>Cell: 704-737-2724</w:t>
      </w:r>
    </w:p>
    <w:p w:rsidR="00BF2A30" w:rsidRPr="002D628F" w:rsidRDefault="00BF2A30" w:rsidP="00BF2A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Professional Summary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835A23" w:rsidRDefault="002D628F" w:rsidP="00835A23">
      <w:pPr>
        <w:pStyle w:val="ListParagraph"/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years of experience in </w:t>
      </w:r>
      <w:r w:rsidR="00D171FE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trategy </w:t>
      </w:r>
      <w:r w:rsidR="00D171F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onsulting, </w:t>
      </w:r>
      <w:r w:rsidR="00D171FE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ystem </w:t>
      </w:r>
      <w:r w:rsidR="00D171F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nalysis and </w:t>
      </w:r>
      <w:r w:rsidR="00D171FE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mplementation with focus on innovation, digital transformation, program management, finance transformation, treasury, cash management, domestic and international payments, wholesale</w:t>
      </w:r>
      <w:r w:rsidR="00887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/retail banking 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and capital markets industr</w:t>
      </w:r>
      <w:r w:rsidR="00724657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</w:p>
    <w:p w:rsidR="00C376C9" w:rsidRPr="00835A23" w:rsidRDefault="00C376C9" w:rsidP="00835A23">
      <w:pPr>
        <w:pStyle w:val="ListParagraph"/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Innovation leader with </w:t>
      </w:r>
      <w:r w:rsidR="00724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practical experience 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ognitive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rocesses, </w:t>
      </w:r>
      <w:r w:rsidR="00724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IOT, 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AI and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achine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earning,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loud and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ybrid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loud and Blockchain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echnologies</w:t>
      </w:r>
      <w:r w:rsidR="000D3A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(Hyperledger Fabric, Corda, Ethereum Enterprise Solutions</w:t>
      </w:r>
      <w:r w:rsidR="007718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like </w:t>
      </w:r>
      <w:proofErr w:type="spellStart"/>
      <w:r w:rsidR="00771801">
        <w:rPr>
          <w:rFonts w:ascii="Times New Roman" w:eastAsia="Times New Roman" w:hAnsi="Times New Roman" w:cs="Times New Roman"/>
          <w:color w:val="000000"/>
          <w:sz w:val="20"/>
          <w:szCs w:val="20"/>
        </w:rPr>
        <w:t>Axoni</w:t>
      </w:r>
      <w:proofErr w:type="spellEnd"/>
      <w:r w:rsidR="00771801">
        <w:rPr>
          <w:rFonts w:ascii="Times New Roman" w:eastAsia="Times New Roman" w:hAnsi="Times New Roman" w:cs="Times New Roman"/>
          <w:color w:val="000000"/>
          <w:sz w:val="20"/>
          <w:szCs w:val="20"/>
        </w:rPr>
        <w:t>/Quorum</w:t>
      </w:r>
      <w:r w:rsidR="000D3AA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2D628F" w:rsidRPr="00835A23" w:rsidRDefault="002D628F" w:rsidP="00835A23">
      <w:pPr>
        <w:pStyle w:val="ListParagraph"/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Functional and </w:t>
      </w:r>
      <w:r w:rsidR="00462FC9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ystem </w:t>
      </w:r>
      <w:r w:rsidR="00C376C9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rchitect in </w:t>
      </w:r>
      <w:r w:rsidR="00C376C9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B</w:t>
      </w:r>
      <w:r w:rsidR="001D320B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ockchain technology applied to various domains of core banking, cash management, global payments,</w:t>
      </w:r>
      <w:r w:rsidR="00724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mortgage origination, securitization and servicing, 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private securities, syndicated lending, identity management, </w:t>
      </w:r>
      <w:r w:rsidR="00724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equipment leasing, 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digital token management</w:t>
      </w:r>
      <w:r w:rsidR="00887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custody services, </w:t>
      </w:r>
      <w:r w:rsidR="00724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commercial insurance and claims processing, 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and regulatory reporting.</w:t>
      </w:r>
    </w:p>
    <w:p w:rsidR="002D628F" w:rsidRPr="00835A23" w:rsidRDefault="00887130" w:rsidP="00835A23">
      <w:pPr>
        <w:pStyle w:val="ListParagraph"/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IBM </w:t>
      </w:r>
      <w:r w:rsidR="00BF2A30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Partner and Co-leader for IBM’s Blockchain Services organization, growing team f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rom</w:t>
      </w:r>
      <w:r w:rsidR="00BF2A30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 to 100 people in last 2.5 years.  </w:t>
      </w:r>
      <w:r w:rsidR="002D628F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development </w:t>
      </w:r>
      <w:r w:rsidR="00C376C9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leader </w:t>
      </w:r>
      <w:r w:rsid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US Blockchain Servicing team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reaching 60 </w:t>
      </w:r>
      <w:r w:rsidR="001E0993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Million </w:t>
      </w:r>
      <w:proofErr w:type="gramStart"/>
      <w:r w:rsid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A39FE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</w:t>
      </w:r>
      <w:r w:rsidR="00BF2A30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2019 </w:t>
      </w:r>
      <w:r w:rsidR="001E0993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50</w:t>
      </w:r>
      <w:r w:rsidR="00BF2A30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%</w:t>
      </w:r>
      <w:r w:rsidR="001E0993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1E0993"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arget)</w:t>
      </w:r>
    </w:p>
    <w:p w:rsidR="002D628F" w:rsidRDefault="002D628F" w:rsidP="00835A23">
      <w:pPr>
        <w:pStyle w:val="ListParagraph"/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Previously,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ounder and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eader of Capgemini’s Blockchain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ractice, overseeing Capgemini’s Blockchain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835A23">
        <w:rPr>
          <w:rFonts w:ascii="Times New Roman" w:eastAsia="Times New Roman" w:hAnsi="Times New Roman" w:cs="Times New Roman"/>
          <w:color w:val="000000"/>
          <w:sz w:val="20"/>
          <w:szCs w:val="20"/>
        </w:rPr>
        <w:t>trategy, development of solutions, partnership alliances and resource development</w:t>
      </w:r>
    </w:p>
    <w:p w:rsidR="00835A23" w:rsidRPr="00835A23" w:rsidRDefault="00835A23" w:rsidP="00835A23">
      <w:pPr>
        <w:pStyle w:val="ListParagraph"/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Digital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trategy leader for various projects in the Financial Services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ector including: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Moody’s,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BankofAmerica,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WellsFargo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Sumito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Mitsui, PNC Bank, Cisco Capital, BMW Finance, Ally</w:t>
      </w:r>
      <w:r w:rsidR="00887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Bank, </w:t>
      </w:r>
      <w:r w:rsidR="00887130">
        <w:rPr>
          <w:rFonts w:ascii="Times New Roman" w:eastAsia="Times New Roman" w:hAnsi="Times New Roman" w:cs="Times New Roman"/>
          <w:color w:val="000000"/>
          <w:sz w:val="20"/>
          <w:szCs w:val="20"/>
        </w:rPr>
        <w:t>and others</w:t>
      </w:r>
    </w:p>
    <w:p w:rsidR="002D628F" w:rsidRPr="002D628F" w:rsidRDefault="002D628F" w:rsidP="002D628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Professional Experience</w:t>
      </w:r>
    </w:p>
    <w:p w:rsid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C376C9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b/>
        </w:rPr>
      </w:pPr>
      <w:r w:rsidRPr="00C376C9">
        <w:rPr>
          <w:rFonts w:ascii="Times New Roman" w:eastAsia="Times New Roman" w:hAnsi="Times New Roman" w:cs="Times New Roman"/>
          <w:b/>
        </w:rPr>
        <w:t>IBM Global Services - Charlotte NC (March 2017 – October 2019)</w:t>
      </w:r>
    </w:p>
    <w:p w:rsid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b/>
        </w:rPr>
      </w:pPr>
      <w:r w:rsidRPr="00C376C9">
        <w:rPr>
          <w:rFonts w:ascii="Times New Roman" w:eastAsia="Times New Roman" w:hAnsi="Times New Roman" w:cs="Times New Roman"/>
          <w:b/>
        </w:rPr>
        <w:t xml:space="preserve"> </w:t>
      </w:r>
      <w:r w:rsidR="00C376C9">
        <w:rPr>
          <w:rFonts w:ascii="Times New Roman" w:eastAsia="Times New Roman" w:hAnsi="Times New Roman" w:cs="Times New Roman"/>
          <w:b/>
        </w:rPr>
        <w:tab/>
        <w:t>Partner -</w:t>
      </w:r>
      <w:r w:rsidRPr="00C376C9">
        <w:rPr>
          <w:rFonts w:ascii="Times New Roman" w:eastAsia="Times New Roman" w:hAnsi="Times New Roman" w:cs="Times New Roman"/>
          <w:b/>
        </w:rPr>
        <w:t xml:space="preserve"> Blockchain Services - Financial Services</w:t>
      </w:r>
    </w:p>
    <w:p w:rsidR="006F3385" w:rsidRPr="00724657" w:rsidRDefault="006F3385" w:rsidP="006F3385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Leader for </w:t>
      </w:r>
      <w:proofErr w:type="gramStart"/>
      <w:r w:rsidRPr="00724657">
        <w:rPr>
          <w:rFonts w:ascii="Times New Roman" w:eastAsia="Times New Roman" w:hAnsi="Times New Roman" w:cs="Times New Roman"/>
          <w:sz w:val="20"/>
          <w:szCs w:val="20"/>
        </w:rPr>
        <w:t>100 person</w:t>
      </w:r>
      <w:proofErr w:type="gramEnd"/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 team of Blockchain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rchitects, </w:t>
      </w:r>
      <w:r w:rsidR="00B90E20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evelopers and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usiness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>nalysts</w:t>
      </w:r>
    </w:p>
    <w:p w:rsidR="006351F7" w:rsidRDefault="006351F7" w:rsidP="00D35AB4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DTCC TIW Warehouse project which is based on Ethereum Enterprise solution from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Axoni</w:t>
      </w:r>
      <w:proofErr w:type="spellEnd"/>
      <w:r w:rsidR="00771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35AB4" w:rsidRPr="00D35AB4" w:rsidRDefault="006F3385" w:rsidP="00D35AB4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Led various POC and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roduction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>olutions in the Financial Services Industry, including AIG Multinational Insurance</w:t>
      </w:r>
      <w:proofErr w:type="gramStart"/>
      <w:r w:rsidRPr="00724657">
        <w:rPr>
          <w:rFonts w:ascii="Times New Roman" w:eastAsia="Times New Roman" w:hAnsi="Times New Roman" w:cs="Times New Roman"/>
          <w:sz w:val="20"/>
          <w:szCs w:val="20"/>
        </w:rPr>
        <w:t>, ,</w:t>
      </w:r>
      <w:proofErr w:type="gramEnd"/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 State Farm Loss History, </w:t>
      </w:r>
      <w:proofErr w:type="spellStart"/>
      <w:r w:rsidRPr="00724657">
        <w:rPr>
          <w:rFonts w:ascii="Times New Roman" w:eastAsia="Times New Roman" w:hAnsi="Times New Roman" w:cs="Times New Roman"/>
          <w:sz w:val="20"/>
          <w:szCs w:val="20"/>
        </w:rPr>
        <w:t>Metlife</w:t>
      </w:r>
      <w:proofErr w:type="spellEnd"/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 Group Insurance,  US Housing Blockchain (Mortgage Industry) , USAA Claims Home Insurance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166FBE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6F3385" w:rsidRPr="00724657" w:rsidRDefault="006F3385" w:rsidP="006F3385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Led team of Strategy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onsultants focused on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usiness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v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alue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 xml:space="preserve">esign for Blockchain </w:t>
      </w:r>
      <w:r w:rsidR="00166FBE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724657">
        <w:rPr>
          <w:rFonts w:ascii="Times New Roman" w:eastAsia="Times New Roman" w:hAnsi="Times New Roman" w:cs="Times New Roman"/>
          <w:sz w:val="20"/>
          <w:szCs w:val="20"/>
        </w:rPr>
        <w:t>etworks</w:t>
      </w:r>
    </w:p>
    <w:p w:rsidR="00AE0F10" w:rsidRDefault="006F3385" w:rsidP="00AE0F10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 w:rsidRPr="00724657">
        <w:rPr>
          <w:rFonts w:ascii="Times New Roman" w:eastAsia="Times New Roman" w:hAnsi="Times New Roman" w:cs="Times New Roman"/>
          <w:sz w:val="20"/>
          <w:szCs w:val="20"/>
        </w:rPr>
        <w:t>Implementation lead for various solutions build on Hyperledger Fabric and IBM Blockchain Platform</w:t>
      </w:r>
    </w:p>
    <w:p w:rsidR="002D628F" w:rsidRDefault="005012E7" w:rsidP="00AE0F10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 w:rsidRPr="00AE0F10">
        <w:rPr>
          <w:rFonts w:ascii="Times New Roman" w:eastAsia="Times New Roman" w:hAnsi="Times New Roman" w:cs="Times New Roman"/>
          <w:sz w:val="20"/>
          <w:szCs w:val="20"/>
        </w:rPr>
        <w:t xml:space="preserve">Business </w:t>
      </w:r>
      <w:r w:rsidR="00166FBE" w:rsidRPr="00AE0F10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AE0F10">
        <w:rPr>
          <w:rFonts w:ascii="Times New Roman" w:eastAsia="Times New Roman" w:hAnsi="Times New Roman" w:cs="Times New Roman"/>
          <w:sz w:val="20"/>
          <w:szCs w:val="20"/>
        </w:rPr>
        <w:t xml:space="preserve">trategy </w:t>
      </w:r>
      <w:r w:rsidR="00166FBE" w:rsidRPr="00AE0F10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AE0F10">
        <w:rPr>
          <w:rFonts w:ascii="Times New Roman" w:eastAsia="Times New Roman" w:hAnsi="Times New Roman" w:cs="Times New Roman"/>
          <w:sz w:val="20"/>
          <w:szCs w:val="20"/>
        </w:rPr>
        <w:t>ev</w:t>
      </w:r>
      <w:r w:rsidR="002A0ED1" w:rsidRPr="00AE0F10">
        <w:rPr>
          <w:rFonts w:ascii="Times New Roman" w:eastAsia="Times New Roman" w:hAnsi="Times New Roman" w:cs="Times New Roman"/>
          <w:sz w:val="20"/>
          <w:szCs w:val="20"/>
        </w:rPr>
        <w:t>elopment</w:t>
      </w:r>
      <w:r w:rsidRPr="00AE0F10">
        <w:rPr>
          <w:rFonts w:ascii="Times New Roman" w:eastAsia="Times New Roman" w:hAnsi="Times New Roman" w:cs="Times New Roman"/>
          <w:sz w:val="20"/>
          <w:szCs w:val="20"/>
        </w:rPr>
        <w:t xml:space="preserve"> with various Blockchain </w:t>
      </w:r>
      <w:r w:rsidR="00166FBE" w:rsidRPr="00AE0F10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AE0F10">
        <w:rPr>
          <w:rFonts w:ascii="Times New Roman" w:eastAsia="Times New Roman" w:hAnsi="Times New Roman" w:cs="Times New Roman"/>
          <w:sz w:val="20"/>
          <w:szCs w:val="20"/>
        </w:rPr>
        <w:t xml:space="preserve">tartups </w:t>
      </w:r>
    </w:p>
    <w:p w:rsidR="00771801" w:rsidRPr="00AE0F10" w:rsidRDefault="00771801" w:rsidP="00AE0F10">
      <w:pPr>
        <w:pStyle w:val="ListParagraph"/>
        <w:numPr>
          <w:ilvl w:val="0"/>
          <w:numId w:val="46"/>
        </w:numPr>
        <w:spacing w:after="60"/>
        <w:ind w:left="6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Familiar with Enterprise Ethereum, Quorum,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Axoni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Hyperledger Fabric, Hyperledger Indy, Corda, Ripple, Platforms</w:t>
      </w:r>
    </w:p>
    <w:p w:rsidR="00166FBE" w:rsidRPr="00166FBE" w:rsidRDefault="00166FBE" w:rsidP="00166FBE">
      <w:pPr>
        <w:pStyle w:val="ListParagraph"/>
        <w:spacing w:after="60"/>
        <w:ind w:left="634"/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</w:rPr>
        <w:t>Capgemini Financial Services - Charlotte NC (Aug 2005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Feb 2017</w:t>
      </w:r>
      <w:r w:rsidRPr="002D628F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</w:rPr>
        <w:t>Leader Blockchain technology for Capgemini Financial Services</w:t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r w:rsidR="005555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Jan </w:t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201</w:t>
      </w:r>
      <w:r w:rsidR="005555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4</w:t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Feb</w:t>
      </w:r>
      <w:r w:rsidR="005555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2019</w:t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2D628F" w:rsidRPr="002D628F" w:rsidRDefault="002D628F" w:rsidP="005555BE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Founder and </w:t>
      </w:r>
      <w:r w:rsidR="00166FBE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eader of Capgemini’s Blockchain and </w:t>
      </w:r>
      <w:r w:rsidR="001E0993">
        <w:rPr>
          <w:rFonts w:ascii="Times New Roman" w:eastAsia="Times New Roman" w:hAnsi="Times New Roman" w:cs="Times New Roman"/>
          <w:color w:val="000000"/>
          <w:sz w:val="20"/>
          <w:szCs w:val="20"/>
        </w:rPr>
        <w:t>DLT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community (founded Jan 201</w:t>
      </w:r>
      <w:r w:rsidR="00C376C9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2D628F" w:rsidRPr="002D628F" w:rsidRDefault="002D628F" w:rsidP="005555BE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strategy assessments for Blockchain technology with Financial Services clients (Banking, Capital Markets and Insurance) globally</w:t>
      </w:r>
    </w:p>
    <w:p w:rsidR="002D628F" w:rsidRPr="002D628F" w:rsidRDefault="002D628F" w:rsidP="005555BE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Leading team of 30 </w:t>
      </w:r>
      <w:r w:rsidR="00BF2A30">
        <w:rPr>
          <w:rFonts w:ascii="Times New Roman" w:eastAsia="Times New Roman" w:hAnsi="Times New Roman" w:cs="Times New Roman"/>
          <w:color w:val="000000"/>
          <w:sz w:val="20"/>
          <w:szCs w:val="20"/>
        </w:rPr>
        <w:t>B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lockchain consultants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through 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elaboration of proof of concepts (internal and external)</w:t>
      </w:r>
    </w:p>
    <w:p w:rsidR="002D628F" w:rsidRPr="00323791" w:rsidRDefault="002D628F" w:rsidP="005555BE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Blockchain transformation capabilities include: Business case development, Business and technology assessment and improvement, Blockchain platform selection, Proof of Concept development, Market analysis, Industry relationship, Project and program management improvement, etc.</w:t>
      </w:r>
    </w:p>
    <w:p w:rsidR="00323791" w:rsidRPr="002D628F" w:rsidRDefault="00323791" w:rsidP="005555BE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Implementation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Etherreum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Entreprise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solution based on Quorum Technology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Global Rating Platform Transformation (One Rating Platform), Moody’s, New York, New York</w:t>
      </w:r>
    </w:p>
    <w:p w:rsidR="002D628F" w:rsidRPr="0007224E" w:rsidRDefault="002D628F" w:rsidP="005555BE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Finance Lead and Program Manager for global finance and billing solution for Moody’s future state Rating Platform</w:t>
      </w:r>
    </w:p>
    <w:p w:rsidR="0007224E" w:rsidRPr="0066145D" w:rsidRDefault="0007224E" w:rsidP="0007224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 completed 11 months elaboration phase for finance, pricing, billing and accounting for Moody’s Rating team</w:t>
      </w:r>
    </w:p>
    <w:p w:rsidR="0007224E" w:rsidRPr="0007224E" w:rsidRDefault="0007224E" w:rsidP="0007224E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Leader and mentor to 10 on-site and 16 off-site Capgemini resources during Elaboration Phase. </w:t>
      </w:r>
    </w:p>
    <w:p w:rsidR="00861E17" w:rsidRPr="002D628F" w:rsidRDefault="00861E17" w:rsidP="00861E17">
      <w:pPr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Global Lending and Leasing Platform Replacement - Cisco Capital, San Jose, CA</w:t>
      </w:r>
    </w:p>
    <w:p w:rsidR="002D628F" w:rsidRPr="002D628F" w:rsidRDefault="002D628F" w:rsidP="005555BE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 Manager for global replacement for </w:t>
      </w:r>
      <w:r w:rsidR="00BF2A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Cisco Capital Asset Finance 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system (Sales, Originations, Servicing, Reporting, Data Migration and Accounting)</w:t>
      </w:r>
    </w:p>
    <w:p w:rsidR="002D628F" w:rsidRPr="002D628F" w:rsidRDefault="002D628F" w:rsidP="005555BE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Leading team of 140 client and Capgemini resources.</w:t>
      </w:r>
    </w:p>
    <w:p w:rsidR="002D628F" w:rsidRPr="002D628F" w:rsidRDefault="002D628F" w:rsidP="005555BE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program planning, execution of the program and helping the client throughout the Transformation process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Insurance Platform Transformation, HomeServe UK, NA, France, Spain and Italy</w:t>
      </w:r>
    </w:p>
    <w:p w:rsidR="002D628F" w:rsidRPr="002D628F" w:rsidRDefault="002D628F" w:rsidP="005555BE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HomeServe is the leading Home Utilities Insurance provider in Europe and the United States</w:t>
      </w:r>
    </w:p>
    <w:p w:rsidR="002D628F" w:rsidRPr="002D628F" w:rsidRDefault="002D628F" w:rsidP="005555BE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Advisor to Senior IT Executive committee for global Insurance and Marketing platform replacement based on software package and IT architecture analysis. </w:t>
      </w:r>
    </w:p>
    <w:p w:rsidR="002D628F" w:rsidRPr="002D628F" w:rsidRDefault="002D628F" w:rsidP="005555BE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Defined business case and developed 50M+ GBP system replacement and transformation roadmap </w:t>
      </w:r>
    </w:p>
    <w:p w:rsidR="002D628F" w:rsidRPr="002D628F" w:rsidRDefault="002D628F" w:rsidP="005555BE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board presentation for final system replacement approval and initiation of the transformation plan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Process Harmonization - BMW Financial Services, UK/EMEA</w:t>
      </w:r>
    </w:p>
    <w:p w:rsidR="002D628F" w:rsidRPr="001E0993" w:rsidRDefault="002D628F" w:rsidP="005555BE">
      <w:pPr>
        <w:pStyle w:val="ListParagraph"/>
        <w:numPr>
          <w:ilvl w:val="0"/>
          <w:numId w:val="38"/>
        </w:numPr>
        <w:ind w:left="63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E0993">
        <w:rPr>
          <w:rFonts w:ascii="Times New Roman" w:eastAsia="Times New Roman" w:hAnsi="Times New Roman" w:cs="Times New Roman"/>
          <w:color w:val="000000"/>
          <w:sz w:val="20"/>
          <w:szCs w:val="20"/>
        </w:rPr>
        <w:t>BWW Financial Services is one of the largest global retail and wholesale finance providers in the automotive industry</w:t>
      </w:r>
    </w:p>
    <w:p w:rsidR="002D628F" w:rsidRPr="002D628F" w:rsidRDefault="002D628F" w:rsidP="005555BE">
      <w:pPr>
        <w:numPr>
          <w:ilvl w:val="0"/>
          <w:numId w:val="38"/>
        </w:numPr>
        <w:ind w:left="63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case and project estimation for a finance lending solution for </w:t>
      </w:r>
      <w:r w:rsidR="006E2190">
        <w:rPr>
          <w:rFonts w:ascii="Times New Roman" w:eastAsia="Times New Roman" w:hAnsi="Times New Roman" w:cs="Times New Roman"/>
          <w:color w:val="000000"/>
          <w:sz w:val="20"/>
          <w:szCs w:val="20"/>
        </w:rPr>
        <w:t>BMW’s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UK, Italy and Germany business units. Prioritized and estimated changes for a new global finance lending and leasing solution for BMW Financial Services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Finance Transformation / Platform Assessment, HomeServe UK/NA</w:t>
      </w:r>
    </w:p>
    <w:p w:rsidR="002D628F" w:rsidRPr="002D628F" w:rsidRDefault="002D628F" w:rsidP="005555BE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Advisor to Senior IT executive of the Finance Organization regarding </w:t>
      </w:r>
      <w:r w:rsidR="001E0993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standardized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finance processes globally and re-aligning them to best practices, improving transparency and control</w:t>
      </w:r>
    </w:p>
    <w:p w:rsidR="002D628F" w:rsidRPr="001E0993" w:rsidRDefault="002D628F" w:rsidP="005555BE">
      <w:pPr>
        <w:numPr>
          <w:ilvl w:val="0"/>
          <w:numId w:val="39"/>
        </w:num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Provided recommendations regarding an integrated, scalable finance system/architecture </w:t>
      </w:r>
      <w:r w:rsidR="001E0993" w:rsidRPr="001E09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on Oracle ERP Finance Solutions 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reduces business risk and enables growth </w:t>
      </w:r>
    </w:p>
    <w:p w:rsidR="001E0993" w:rsidRPr="002D628F" w:rsidRDefault="001E0993" w:rsidP="001E0993">
      <w:pPr>
        <w:ind w:left="63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Core / Online Banking Operational Effectiveness Assessment – Ally Bank</w:t>
      </w:r>
    </w:p>
    <w:p w:rsidR="002D628F" w:rsidRPr="002D628F" w:rsidRDefault="002D628F" w:rsidP="005555BE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Ally is the leading Direct Online Bank in the United States</w:t>
      </w:r>
    </w:p>
    <w:p w:rsidR="002D628F" w:rsidRPr="002D628F" w:rsidRDefault="002D628F" w:rsidP="005555BE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and recommendations for operational effectiveness for the delivery of Ally’s online banking projects including account balances and statements, account transfer, bill payments, deposit products</w:t>
      </w:r>
    </w:p>
    <w:p w:rsidR="002D628F" w:rsidRPr="002D628F" w:rsidRDefault="002D628F" w:rsidP="005555BE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Defined technology</w:t>
      </w:r>
      <w:r w:rsidR="00CF5EE5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based strategy based on revamped online and mobile channel strategy 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Regulatory Reporting and Global General Ledger – Ally Bank</w:t>
      </w:r>
    </w:p>
    <w:p w:rsidR="002D628F" w:rsidRPr="005555BE" w:rsidRDefault="002D628F" w:rsidP="005555BE">
      <w:pPr>
        <w:pStyle w:val="ListParagraph"/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Advised Ally Bank on meeting compliance with new B</w:t>
      </w:r>
      <w:r w:rsidR="001E0993"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ank Holding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0993"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Company 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Regulatory Reporting requirements including (FRY-9C, FRY-9LP, FRY-11, TIC B Series, FFIEC009, FFIEC001, Basel II) </w:t>
      </w:r>
    </w:p>
    <w:p w:rsidR="002D628F" w:rsidRPr="005555BE" w:rsidRDefault="002D628F" w:rsidP="005555BE">
      <w:pPr>
        <w:pStyle w:val="ListParagraph"/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process and IT strategy analysis on ERP solution, data warehousing and custom source system solution</w:t>
      </w:r>
    </w:p>
    <w:p w:rsidR="002D628F" w:rsidRPr="005555BE" w:rsidRDefault="002D628F" w:rsidP="005555BE">
      <w:pPr>
        <w:pStyle w:val="ListParagraph"/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Led team of BA analysts in the definition and data model design activities for a new global general ledger system to meet all B</w:t>
      </w:r>
      <w:r w:rsidR="001E0993"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ank Holding Company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regulatory reporting requirements</w:t>
      </w:r>
      <w:r w:rsidRPr="005555BE">
        <w:rPr>
          <w:rFonts w:ascii="Times New Roman" w:eastAsia="Times New Roman" w:hAnsi="Times New Roman" w:cs="Times New Roman"/>
          <w:sz w:val="24"/>
          <w:szCs w:val="24"/>
        </w:rPr>
        <w:br/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Defined RFP scoring model, prepared questionnaires, vendor interviews, evaluation and analysis </w:t>
      </w:r>
    </w:p>
    <w:p w:rsidR="002D628F" w:rsidRPr="005555BE" w:rsidRDefault="002D628F" w:rsidP="005555BE">
      <w:pPr>
        <w:pStyle w:val="ListParagraph"/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Prepared organization for the project implementation (Analysis/Design phase) 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FB9" w:rsidRPr="006F0FDC" w:rsidRDefault="00C36FB9" w:rsidP="002D62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B525B">
        <w:rPr>
          <w:rFonts w:ascii="Times New Roman" w:eastAsia="Times New Roman" w:hAnsi="Times New Roman" w:cs="Times New Roman"/>
          <w:b/>
          <w:sz w:val="24"/>
          <w:szCs w:val="24"/>
        </w:rPr>
        <w:t>Other Project experiences:</w:t>
      </w:r>
    </w:p>
    <w:p w:rsidR="005555BE" w:rsidRPr="005555BE" w:rsidRDefault="005555BE" w:rsidP="005555B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Global Payment System Selection – Sumitomo Mitsui Banking Corp, NY:  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Led RFP process for the global replacements of core front and back-office payments processing system covering NA and EMEA markets for global international banking institution</w:t>
      </w:r>
    </w:p>
    <w:p w:rsidR="00861E17" w:rsidRPr="005555BE" w:rsidRDefault="00861E17" w:rsidP="005555B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Retail / Commercial Credit Card Issuing Platform Assessment – Bank of America: 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System and operational evaluation for the replacements of the bank’s core commercial credit card issuing platform with a vendor solution</w:t>
      </w:r>
    </w:p>
    <w:p w:rsidR="00713F5A" w:rsidRPr="005555BE" w:rsidRDefault="00713F5A" w:rsidP="005555BE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Business and IT Strategy Global Finance System – TransUnion LLC:  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Creation of a 5</w:t>
      </w:r>
      <w:r w:rsidR="006E2190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year strategy roadmap for SAP East-Asia, EMEA and LATAM markets. </w:t>
      </w:r>
    </w:p>
    <w:p w:rsidR="00713F5A" w:rsidRPr="005555BE" w:rsidRDefault="002D628F" w:rsidP="005555BE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Global Payments Systems (NA / EMEA) – Sumitomo Mitsui Banking Corp</w:t>
      </w:r>
      <w:r w:rsidR="000B525B"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: 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of current payment platform and identification for the replacements of core front and back-office global payments processing system covering NA and EMEA markets</w:t>
      </w:r>
    </w:p>
    <w:p w:rsidR="00713F5A" w:rsidRPr="005555BE" w:rsidRDefault="000B525B" w:rsidP="005555BE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</w:t>
      </w:r>
      <w:r w:rsidR="002D628F"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reasury product evaluation implementation – Wachovia Bank/Wells Fargo</w:t>
      </w: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D628F"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Project manager on Treasury Management, fixed income interest rate and FX derivatives project for Wachovia Bank.</w:t>
      </w:r>
    </w:p>
    <w:p w:rsidR="002D628F" w:rsidRPr="005555BE" w:rsidRDefault="002D628F" w:rsidP="005555BE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55B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International ACH Payments implementation - Wachovia Bank/Wells Fargo</w:t>
      </w:r>
      <w:r w:rsidR="000B525B" w:rsidRPr="005555BE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0B525B"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555BE">
        <w:rPr>
          <w:rFonts w:ascii="Times New Roman" w:eastAsia="Times New Roman" w:hAnsi="Times New Roman" w:cs="Times New Roman"/>
          <w:color w:val="000000"/>
          <w:sz w:val="20"/>
          <w:szCs w:val="20"/>
        </w:rPr>
        <w:t>Project manager International ACH project (IACH)</w:t>
      </w:r>
    </w:p>
    <w:p w:rsidR="000B525B" w:rsidRDefault="000B525B" w:rsidP="005555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525B" w:rsidRPr="000B525B" w:rsidRDefault="000B525B" w:rsidP="000B52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6F0FDC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</w:rPr>
        <w:t>ACI Worldwide (S1 Corporation) - Charlotte NC (2000 - 2005)</w:t>
      </w:r>
    </w:p>
    <w:p w:rsidR="000B525B" w:rsidRPr="000B525B" w:rsidRDefault="002D628F" w:rsidP="005555BE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Global Treasury Services – Bank of </w:t>
      </w:r>
      <w:r w:rsid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America: Project Manager and lead Analyst: </w:t>
      </w:r>
      <w:r w:rsidRPr="000B52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“Consolidated Payments” initiative in </w:t>
      </w:r>
      <w:proofErr w:type="spellStart"/>
      <w:r w:rsidRPr="000B525B">
        <w:rPr>
          <w:rFonts w:ascii="Times New Roman" w:eastAsia="Times New Roman" w:hAnsi="Times New Roman" w:cs="Times New Roman"/>
          <w:color w:val="000000"/>
          <w:sz w:val="20"/>
          <w:szCs w:val="20"/>
        </w:rPr>
        <w:t>BankofAmerica’s</w:t>
      </w:r>
      <w:proofErr w:type="spellEnd"/>
      <w:r w:rsidRPr="000B52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global treasury department was a custom product implementation of S1’s Enterprise wholesale banking application</w:t>
      </w:r>
    </w:p>
    <w:p w:rsidR="002D628F" w:rsidRPr="000B525B" w:rsidRDefault="002D628F" w:rsidP="005555BE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Online Small Business App– FleetBoston (Bank of America) and </w:t>
      </w:r>
      <w:proofErr w:type="spellStart"/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PNCBank</w:t>
      </w:r>
      <w:proofErr w:type="spellEnd"/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  <w:t xml:space="preserve">               </w:t>
      </w:r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  <w:t>      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6F0FDC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</w:rPr>
        <w:t xml:space="preserve">ACI </w:t>
      </w:r>
      <w:proofErr w:type="gramStart"/>
      <w:r w:rsidRPr="002D628F">
        <w:rPr>
          <w:rFonts w:ascii="Times New Roman" w:eastAsia="Times New Roman" w:hAnsi="Times New Roman" w:cs="Times New Roman"/>
          <w:b/>
          <w:bCs/>
          <w:color w:val="000000"/>
        </w:rPr>
        <w:t>Worldwide  (</w:t>
      </w:r>
      <w:proofErr w:type="gramEnd"/>
      <w:r w:rsidRPr="002D628F">
        <w:rPr>
          <w:rFonts w:ascii="Times New Roman" w:eastAsia="Times New Roman" w:hAnsi="Times New Roman" w:cs="Times New Roman"/>
          <w:b/>
          <w:bCs/>
          <w:color w:val="000000"/>
        </w:rPr>
        <w:t>S1 Corporation)  - Brussels Belgium (1998 -  2000)</w:t>
      </w:r>
    </w:p>
    <w:p w:rsidR="002D628F" w:rsidRPr="000B525B" w:rsidRDefault="002D628F" w:rsidP="000B525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525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Business Analyst S1 Corporate Cash Management Product – EMEA</w:t>
      </w:r>
      <w:r w:rsidRPr="000B525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:rsidR="002D628F" w:rsidRPr="002D628F" w:rsidRDefault="002D628F" w:rsidP="002D628F">
      <w:pPr>
        <w:ind w:left="-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    </w:t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   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color w:val="000000"/>
        </w:rPr>
        <w:t>Systems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800"/>
      </w:tblGrid>
      <w:tr w:rsidR="002D628F" w:rsidRPr="002D628F" w:rsidTr="00724657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D628F" w:rsidRPr="002D628F" w:rsidRDefault="002D628F" w:rsidP="002D628F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62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Blockchain  Platform</w:t>
            </w:r>
            <w:proofErr w:type="gramEnd"/>
            <w:r w:rsidRPr="002D62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Experience</w:t>
            </w:r>
            <w:r w:rsidR="005555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and Solutions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555BE" w:rsidRPr="005555BE" w:rsidRDefault="005555BE" w:rsidP="005555BE">
            <w:pPr>
              <w:spacing w:before="60"/>
              <w:ind w:left="8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Hyperledger Fabric, Hyperledger Indy, Ethereum, </w:t>
            </w:r>
            <w:r w:rsidR="000D3A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Quorum,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Ripple,  IBM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Food Trust,  IBM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Tradelens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5012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IBM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Trust Your Supplier, </w:t>
            </w:r>
            <w:r w:rsidR="005012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28F" w:rsidRPr="002D628F" w:rsidTr="002D628F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D628F" w:rsidRPr="002D628F" w:rsidRDefault="002D628F" w:rsidP="002D628F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ERP / Treasury / Bank and Capital Markets Solutions</w:t>
            </w:r>
          </w:p>
          <w:p w:rsidR="002D628F" w:rsidRPr="002D628F" w:rsidRDefault="002D628F" w:rsidP="002D62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D628F" w:rsidRPr="002D628F" w:rsidRDefault="002D628F" w:rsidP="002D628F">
            <w:pPr>
              <w:spacing w:before="60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SAP ERP, Oracle ERP, Fundtech Global Payments, Clear2pay Open Payment Framework, Dovetail, </w:t>
            </w:r>
            <w:proofErr w:type="spellStart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BottomLine</w:t>
            </w:r>
            <w:proofErr w:type="spellEnd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5555BE"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ACI /S1 Enterprise Corporate Banking. </w:t>
            </w:r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SAP Treasury, Oracle Treasury, </w:t>
            </w:r>
            <w:proofErr w:type="spellStart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Reval</w:t>
            </w:r>
            <w:proofErr w:type="spellEnd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Treasury and Derivatives solution, Wallstreet Treasury Systems, Calypso, Murex, </w:t>
            </w:r>
            <w:proofErr w:type="spellStart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Sungard</w:t>
            </w:r>
            <w:proofErr w:type="spellEnd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Mysis</w:t>
            </w:r>
          </w:p>
        </w:tc>
      </w:tr>
      <w:tr w:rsidR="002D628F" w:rsidRPr="002D628F" w:rsidTr="002D628F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D628F" w:rsidRPr="002D628F" w:rsidRDefault="002D628F" w:rsidP="002D628F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Financial Standard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D628F" w:rsidRPr="002D628F" w:rsidRDefault="002D628F" w:rsidP="002D628F">
            <w:pPr>
              <w:spacing w:before="6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SWIFT (100/400/700/900 series), ISO20022, </w:t>
            </w:r>
            <w:proofErr w:type="spellStart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FpML</w:t>
            </w:r>
            <w:proofErr w:type="spellEnd"/>
            <w:r w:rsidRPr="002D62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5555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FIX, MISMO</w:t>
            </w:r>
            <w:r w:rsidR="00E343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(mortgage)</w:t>
            </w:r>
          </w:p>
        </w:tc>
      </w:tr>
    </w:tbl>
    <w:p w:rsidR="002D628F" w:rsidRPr="002D628F" w:rsidRDefault="002D628F" w:rsidP="002D628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Publications and Articles</w:t>
      </w:r>
    </w:p>
    <w:p w:rsidR="002D628F" w:rsidRPr="002D628F" w:rsidRDefault="002D628F" w:rsidP="002D628F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1696892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Author Research Paper “Smart Contracts in Financial Services: From Hype to Reality” (</w:t>
      </w:r>
      <w:hyperlink r:id="rId6" w:history="1">
        <w:r w:rsidR="00082230">
          <w:rPr>
            <w:rStyle w:val="Hyperlink"/>
          </w:rPr>
          <w:t>https://www.capgemini.com/consulting-de/wp-content/uploads/sites/32/2017/08/smart_contracts_paper_long_0.pdf</w:t>
        </w:r>
      </w:hyperlink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), November 2016 </w:t>
      </w:r>
    </w:p>
    <w:p w:rsidR="002D628F" w:rsidRPr="002D628F" w:rsidRDefault="002D628F" w:rsidP="002D628F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Author Research Paper  "Blockchain, a fundamental shift for financial services" (</w:t>
      </w:r>
      <w:hyperlink r:id="rId7" w:history="1">
        <w:r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https://www.capgemini.com/resources/blockchain-a-fundamental-shift-for-financial-services-institutions</w:t>
        </w:r>
      </w:hyperlink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), October 2015</w:t>
      </w:r>
      <w:bookmarkStart w:id="1" w:name="_GoBack"/>
      <w:bookmarkEnd w:id="1"/>
    </w:p>
    <w:bookmarkEnd w:id="0"/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ab/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News Article Mentions: </w:t>
      </w:r>
    </w:p>
    <w:p w:rsidR="002D628F" w:rsidRPr="002D628F" w:rsidRDefault="00082230" w:rsidP="002D62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D628F"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The Rising Need for Blockchain Pros</w:t>
        </w:r>
      </w:hyperlink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D628F"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buy William </w:t>
      </w:r>
      <w:proofErr w:type="spellStart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Terdoslavich</w:t>
      </w:r>
      <w:proofErr w:type="spellEnd"/>
      <w:r w:rsidR="002D628F"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Dice.com</w:t>
      </w:r>
      <w:r w:rsidR="002D628F"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August 16, 2016</w:t>
      </w:r>
    </w:p>
    <w:p w:rsidR="002D628F" w:rsidRPr="002D628F" w:rsidRDefault="00082230" w:rsidP="002D62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D628F"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Smart contracts in your future?</w:t>
        </w:r>
      </w:hyperlink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By Steve </w:t>
      </w:r>
      <w:proofErr w:type="spellStart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Cocheo</w:t>
      </w:r>
      <w:proofErr w:type="spellEnd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Banking </w:t>
      </w:r>
      <w:proofErr w:type="gramStart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Exchange  October</w:t>
      </w:r>
      <w:proofErr w:type="gramEnd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20, 2016</w:t>
      </w:r>
    </w:p>
    <w:p w:rsidR="002D628F" w:rsidRPr="002D628F" w:rsidRDefault="00082230" w:rsidP="002D62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D628F"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Blockchain Bootcamps emerge with rising demand for software pros</w:t>
        </w:r>
      </w:hyperlink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Olga </w:t>
      </w:r>
      <w:proofErr w:type="gramStart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Kharif,  Bloomberg</w:t>
      </w:r>
      <w:proofErr w:type="gramEnd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News, Sep 8</w:t>
      </w:r>
      <w:r w:rsidR="002D628F" w:rsidRPr="002D628F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</w:rPr>
        <w:t>th</w:t>
      </w:r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2016</w:t>
      </w:r>
    </w:p>
    <w:p w:rsidR="002D628F" w:rsidRPr="002D628F" w:rsidRDefault="00082230" w:rsidP="002D62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D628F"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The Blockchain Expert: In Search of Tech’s Near-Mythical Beast</w:t>
        </w:r>
      </w:hyperlink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2D628F" w:rsidRPr="002D62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By Kim Nash, Wall Street Journal: CIO Journal, May 17, 2016</w:t>
      </w:r>
    </w:p>
    <w:p w:rsidR="002D628F" w:rsidRPr="002D628F" w:rsidRDefault="00082230" w:rsidP="002D62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anchor="?mod=wsj_valettop_email" w:history="1">
        <w:r w:rsidR="002D628F"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Blockchain: Catalyst for Massive Change Across Industries,</w:t>
        </w:r>
      </w:hyperlink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  Wall Street Journal</w:t>
      </w:r>
      <w:proofErr w:type="gramStart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, ,</w:t>
      </w:r>
      <w:proofErr w:type="gramEnd"/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Feb 2, 2016 </w:t>
      </w:r>
    </w:p>
    <w:p w:rsidR="002D628F" w:rsidRPr="002D628F" w:rsidRDefault="00082230" w:rsidP="002D628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?mod=wsj_valettop_email" w:history="1">
        <w:r w:rsidR="002D628F" w:rsidRPr="002D628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Reporter’s Phablet: Bankers, Feeling the Heat, Contemplate Blockchain, Startups</w:t>
        </w:r>
      </w:hyperlink>
      <w:r w:rsidR="002D628F"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, Wall Street Journal, Nov 17, 2015</w:t>
      </w:r>
    </w:p>
    <w:p w:rsidR="002D628F" w:rsidRPr="002D628F" w:rsidRDefault="002D628F" w:rsidP="002D6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28F" w:rsidRP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Conference Speaking</w:t>
      </w:r>
    </w:p>
    <w:p w:rsidR="00C376C9" w:rsidRDefault="00C376C9" w:rsidP="002D628F">
      <w:pPr>
        <w:ind w:hanging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555BE" w:rsidRDefault="005555BE" w:rsidP="00815E9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CEMC </w:t>
      </w:r>
      <w:r w:rsid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(Commercial Equipment, Market</w:t>
      </w:r>
      <w:r w:rsidR="007A0918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lace Council), Jul2019, L</w:t>
      </w:r>
      <w:r w:rsidR="007A091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="007A0918"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 w:rsid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na Beach</w:t>
      </w:r>
    </w:p>
    <w:p w:rsidR="004E4619" w:rsidRPr="004E4619" w:rsidRDefault="004E4619" w:rsidP="004E461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 (</w:t>
      </w: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Society of Professional Asset Managers and Recordkeepers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Annual Conference, Boca Raton, May 2018</w:t>
      </w:r>
    </w:p>
    <w:p w:rsidR="005555BE" w:rsidRDefault="005555BE" w:rsidP="00815E9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LFA Equipment Leasing and Finance Association Tech and Ops Annual Conference, Oct 2018, Chicago</w:t>
      </w:r>
    </w:p>
    <w:p w:rsidR="004E4619" w:rsidRPr="004E4619" w:rsidRDefault="004E4619" w:rsidP="004E461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S&amp;P Symposium on Blockchain March 2018, New York</w:t>
      </w:r>
    </w:p>
    <w:p w:rsidR="00815E99" w:rsidRDefault="00815E99" w:rsidP="00815E9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LFA Equipment Leasing and Finance Association Tech and Ops Annual Conference, Oct 2017, Charlotte</w:t>
      </w:r>
    </w:p>
    <w:p w:rsidR="002D628F" w:rsidRPr="00815E99" w:rsidRDefault="002D628F" w:rsidP="00815E9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Microsoft Decoded Conference</w:t>
      </w:r>
      <w:r w:rsidR="007A09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June 2016, </w:t>
      </w: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Milan</w:t>
      </w:r>
      <w:r w:rsidR="007A0918">
        <w:rPr>
          <w:rFonts w:ascii="Times New Roman" w:eastAsia="Times New Roman" w:hAnsi="Times New Roman" w:cs="Times New Roman"/>
          <w:color w:val="000000"/>
          <w:sz w:val="20"/>
          <w:szCs w:val="20"/>
        </w:rPr>
        <w:t>, Italy</w:t>
      </w:r>
    </w:p>
    <w:p w:rsidR="002D628F" w:rsidRPr="00815E99" w:rsidRDefault="002D628F" w:rsidP="00815E9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15E99">
        <w:rPr>
          <w:rFonts w:ascii="Times New Roman" w:eastAsia="Times New Roman" w:hAnsi="Times New Roman" w:cs="Times New Roman"/>
          <w:color w:val="000000"/>
          <w:sz w:val="20"/>
          <w:szCs w:val="20"/>
        </w:rPr>
        <w:t>National Insurance conference of Canada Sep 28th, 2016 Vancouver</w:t>
      </w:r>
    </w:p>
    <w:p w:rsidR="005012E7" w:rsidRPr="005012E7" w:rsidRDefault="002D628F" w:rsidP="00AF63F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12E7">
        <w:rPr>
          <w:rFonts w:ascii="Times New Roman" w:eastAsia="Times New Roman" w:hAnsi="Times New Roman" w:cs="Times New Roman"/>
          <w:color w:val="000000"/>
          <w:sz w:val="20"/>
          <w:szCs w:val="20"/>
        </w:rPr>
        <w:t>The Clearing House Annual Conference Nov 17th</w:t>
      </w:r>
      <w:proofErr w:type="gramStart"/>
      <w:r w:rsidRPr="00501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2015</w:t>
      </w:r>
      <w:proofErr w:type="gramEnd"/>
      <w:r w:rsidRPr="00501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New York, </w:t>
      </w:r>
    </w:p>
    <w:p w:rsidR="007A0918" w:rsidRPr="007A0918" w:rsidRDefault="002D628F" w:rsidP="007A091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mallCaps/>
          <w:color w:val="000000"/>
        </w:rPr>
      </w:pPr>
      <w:r w:rsidRPr="005012E7">
        <w:rPr>
          <w:rFonts w:ascii="Times New Roman" w:eastAsia="Times New Roman" w:hAnsi="Times New Roman" w:cs="Times New Roman"/>
          <w:color w:val="000000"/>
          <w:sz w:val="20"/>
          <w:szCs w:val="20"/>
        </w:rPr>
        <w:t>Association of Financial Professional Annual Conference 2009, San Francisco,</w:t>
      </w:r>
    </w:p>
    <w:p w:rsidR="007A0918" w:rsidRDefault="007A0918" w:rsidP="007A0918">
      <w:pPr>
        <w:rPr>
          <w:rFonts w:ascii="Times New Roman" w:eastAsia="Times New Roman" w:hAnsi="Times New Roman" w:cs="Times New Roman"/>
          <w:b/>
          <w:bCs/>
          <w:smallCaps/>
          <w:color w:val="000000"/>
        </w:rPr>
      </w:pPr>
    </w:p>
    <w:p w:rsidR="006F3385" w:rsidRPr="007A0918" w:rsidRDefault="007A0918" w:rsidP="007A0918">
      <w:pPr>
        <w:rPr>
          <w:rFonts w:ascii="Times New Roman" w:eastAsia="Times New Roman" w:hAnsi="Times New Roman" w:cs="Times New Roman"/>
          <w:b/>
          <w:bCs/>
          <w:smallCaps/>
          <w:color w:val="000000"/>
        </w:rPr>
      </w:pPr>
      <w:r w:rsidRPr="007A0918">
        <w:rPr>
          <w:rFonts w:ascii="Times New Roman" w:eastAsia="Times New Roman" w:hAnsi="Times New Roman" w:cs="Times New Roman"/>
          <w:b/>
          <w:bCs/>
          <w:smallCaps/>
          <w:color w:val="000000"/>
        </w:rPr>
        <w:t xml:space="preserve"> </w:t>
      </w:r>
      <w:r w:rsidR="005012E7" w:rsidRPr="007A0918">
        <w:rPr>
          <w:rFonts w:ascii="Times New Roman" w:eastAsia="Times New Roman" w:hAnsi="Times New Roman" w:cs="Times New Roman"/>
          <w:b/>
          <w:bCs/>
          <w:smallCaps/>
          <w:color w:val="000000"/>
        </w:rPr>
        <w:t xml:space="preserve">Blockchain </w:t>
      </w:r>
      <w:r w:rsidR="006F3385" w:rsidRPr="007A0918">
        <w:rPr>
          <w:rFonts w:ascii="Times New Roman" w:eastAsia="Times New Roman" w:hAnsi="Times New Roman" w:cs="Times New Roman"/>
          <w:b/>
          <w:bCs/>
          <w:smallCaps/>
          <w:color w:val="000000"/>
        </w:rPr>
        <w:t>Project Experience</w:t>
      </w:r>
      <w:r w:rsidRPr="007A0918">
        <w:rPr>
          <w:rFonts w:ascii="Times New Roman" w:eastAsia="Times New Roman" w:hAnsi="Times New Roman" w:cs="Times New Roman"/>
          <w:b/>
          <w:bCs/>
          <w:smallCaps/>
          <w:color w:val="000000"/>
        </w:rPr>
        <w:t xml:space="preserve"> Samples</w:t>
      </w:r>
    </w:p>
    <w:p w:rsidR="006F3385" w:rsidRPr="00724657" w:rsidRDefault="006F3385" w:rsidP="00D171FE">
      <w:pPr>
        <w:spacing w:after="60"/>
        <w:ind w:left="1152" w:hanging="576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</w:pPr>
      <w:r w:rsidRPr="0072465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 xml:space="preserve">AIG –  </w:t>
      </w:r>
      <w:hyperlink r:id="rId14" w:history="1">
        <w:r w:rsidRPr="0072465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https://www.youtube.com/watch?v=Mhpe0d-nE7k</w:t>
        </w:r>
      </w:hyperlink>
    </w:p>
    <w:p w:rsidR="006F3385" w:rsidRPr="00724657" w:rsidRDefault="006F3385" w:rsidP="00D171FE">
      <w:pPr>
        <w:spacing w:after="60"/>
        <w:ind w:left="1152" w:hanging="576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</w:pPr>
      <w:r w:rsidRPr="0072465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 xml:space="preserve">DTCC – </w:t>
      </w:r>
      <w:hyperlink r:id="rId15" w:history="1">
        <w:r w:rsidRPr="00724657">
          <w:rPr>
            <w:rStyle w:val="Hyperlink"/>
            <w:rFonts w:ascii="Times New Roman" w:hAnsi="Times New Roman" w:cs="Times New Roman"/>
            <w:sz w:val="20"/>
            <w:szCs w:val="20"/>
          </w:rPr>
          <w:t>http://www.dtcc.com/news/2017/january/09/dtcc-selects-ibm-axoni-and-r3-to-develop-dtccs-distributed-ledger-solution</w:t>
        </w:r>
      </w:hyperlink>
    </w:p>
    <w:p w:rsidR="006F3385" w:rsidRDefault="006F3385" w:rsidP="006F3385">
      <w:pPr>
        <w:spacing w:after="60"/>
        <w:ind w:left="576" w:hanging="576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:rsidR="002D628F" w:rsidRPr="002D628F" w:rsidRDefault="002D628F" w:rsidP="002D628F">
      <w:pPr>
        <w:spacing w:after="60"/>
        <w:ind w:hanging="576"/>
        <w:rPr>
          <w:rFonts w:ascii="Times New Roman" w:eastAsia="Times New Roman" w:hAnsi="Times New Roman" w:cs="Times New Roman"/>
          <w:sz w:val="24"/>
          <w:szCs w:val="24"/>
        </w:rPr>
      </w:pPr>
      <w:r w:rsidRPr="002D628F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Education</w:t>
      </w:r>
    </w:p>
    <w:p w:rsidR="00B50005" w:rsidRDefault="002D628F" w:rsidP="002D628F"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M.S., Business Administration/Management Information Systems, University of Antwerp, Antwerp, Belgium, 1998</w:t>
      </w:r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Exchange Program, </w:t>
      </w:r>
      <w:proofErr w:type="spellStart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Facultes</w:t>
      </w:r>
      <w:proofErr w:type="spellEnd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Universitaires</w:t>
      </w:r>
      <w:proofErr w:type="spellEnd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>Catholiques</w:t>
      </w:r>
      <w:proofErr w:type="spellEnd"/>
      <w:r w:rsidRPr="002D6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Mons, Belgium (French),1996</w:t>
      </w:r>
    </w:p>
    <w:sectPr w:rsidR="00B5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B11"/>
    <w:multiLevelType w:val="hybridMultilevel"/>
    <w:tmpl w:val="85E41FAE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56C"/>
    <w:multiLevelType w:val="multilevel"/>
    <w:tmpl w:val="D482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792E"/>
    <w:multiLevelType w:val="multilevel"/>
    <w:tmpl w:val="7B3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E6629"/>
    <w:multiLevelType w:val="multilevel"/>
    <w:tmpl w:val="0A2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3391E"/>
    <w:multiLevelType w:val="multilevel"/>
    <w:tmpl w:val="F9B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B236B"/>
    <w:multiLevelType w:val="multilevel"/>
    <w:tmpl w:val="0C6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E4AEC"/>
    <w:multiLevelType w:val="hybridMultilevel"/>
    <w:tmpl w:val="043244FA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613DE"/>
    <w:multiLevelType w:val="hybridMultilevel"/>
    <w:tmpl w:val="A3F2E7D2"/>
    <w:lvl w:ilvl="0" w:tplc="CDFCC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A2D65"/>
    <w:multiLevelType w:val="multilevel"/>
    <w:tmpl w:val="4A26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F1479"/>
    <w:multiLevelType w:val="multilevel"/>
    <w:tmpl w:val="36C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800EC"/>
    <w:multiLevelType w:val="multilevel"/>
    <w:tmpl w:val="25D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2D8F"/>
    <w:multiLevelType w:val="multilevel"/>
    <w:tmpl w:val="E014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A6196"/>
    <w:multiLevelType w:val="multilevel"/>
    <w:tmpl w:val="E29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A0AD4"/>
    <w:multiLevelType w:val="multilevel"/>
    <w:tmpl w:val="110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536B6"/>
    <w:multiLevelType w:val="multilevel"/>
    <w:tmpl w:val="389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51AFC"/>
    <w:multiLevelType w:val="hybridMultilevel"/>
    <w:tmpl w:val="E1A4F62E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5636E"/>
    <w:multiLevelType w:val="hybridMultilevel"/>
    <w:tmpl w:val="5CAC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3AC4"/>
    <w:multiLevelType w:val="multilevel"/>
    <w:tmpl w:val="4A26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E0209"/>
    <w:multiLevelType w:val="multilevel"/>
    <w:tmpl w:val="AA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331C0"/>
    <w:multiLevelType w:val="multilevel"/>
    <w:tmpl w:val="AFC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632E2"/>
    <w:multiLevelType w:val="hybridMultilevel"/>
    <w:tmpl w:val="8F6CA7C2"/>
    <w:lvl w:ilvl="0" w:tplc="CDFCC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F43C35"/>
    <w:multiLevelType w:val="multilevel"/>
    <w:tmpl w:val="1532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F681A"/>
    <w:multiLevelType w:val="hybridMultilevel"/>
    <w:tmpl w:val="16CA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D3FD6"/>
    <w:multiLevelType w:val="multilevel"/>
    <w:tmpl w:val="58B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F32DA"/>
    <w:multiLevelType w:val="multilevel"/>
    <w:tmpl w:val="23A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8016B"/>
    <w:multiLevelType w:val="multilevel"/>
    <w:tmpl w:val="3A5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76295"/>
    <w:multiLevelType w:val="hybridMultilevel"/>
    <w:tmpl w:val="57A2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B4777"/>
    <w:multiLevelType w:val="multilevel"/>
    <w:tmpl w:val="D840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B4A2C"/>
    <w:multiLevelType w:val="multilevel"/>
    <w:tmpl w:val="823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C0912"/>
    <w:multiLevelType w:val="multilevel"/>
    <w:tmpl w:val="4AF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32716"/>
    <w:multiLevelType w:val="hybridMultilevel"/>
    <w:tmpl w:val="FE882E60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641720"/>
    <w:multiLevelType w:val="multilevel"/>
    <w:tmpl w:val="2B6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E4181"/>
    <w:multiLevelType w:val="hybridMultilevel"/>
    <w:tmpl w:val="45DEBB46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70FA1"/>
    <w:multiLevelType w:val="hybridMultilevel"/>
    <w:tmpl w:val="A3C66470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E2B06"/>
    <w:multiLevelType w:val="multilevel"/>
    <w:tmpl w:val="76E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696"/>
    <w:multiLevelType w:val="multilevel"/>
    <w:tmpl w:val="76A8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2E16CE"/>
    <w:multiLevelType w:val="multilevel"/>
    <w:tmpl w:val="0E3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74E68"/>
    <w:multiLevelType w:val="hybridMultilevel"/>
    <w:tmpl w:val="62560B76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F4964"/>
    <w:multiLevelType w:val="hybridMultilevel"/>
    <w:tmpl w:val="A158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4178F"/>
    <w:multiLevelType w:val="hybridMultilevel"/>
    <w:tmpl w:val="FFF862F0"/>
    <w:lvl w:ilvl="0" w:tplc="CDFCC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1D7DF0"/>
    <w:multiLevelType w:val="hybridMultilevel"/>
    <w:tmpl w:val="81F4D4F8"/>
    <w:lvl w:ilvl="0" w:tplc="CDFCC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E31EA5"/>
    <w:multiLevelType w:val="multilevel"/>
    <w:tmpl w:val="B57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666B3"/>
    <w:multiLevelType w:val="hybridMultilevel"/>
    <w:tmpl w:val="5BC4F314"/>
    <w:lvl w:ilvl="0" w:tplc="CDFC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D512A"/>
    <w:multiLevelType w:val="multilevel"/>
    <w:tmpl w:val="16F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85E21"/>
    <w:multiLevelType w:val="multilevel"/>
    <w:tmpl w:val="DEA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F4305"/>
    <w:multiLevelType w:val="multilevel"/>
    <w:tmpl w:val="D28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9"/>
  </w:num>
  <w:num w:numId="3">
    <w:abstractNumId w:val="23"/>
  </w:num>
  <w:num w:numId="4">
    <w:abstractNumId w:val="11"/>
  </w:num>
  <w:num w:numId="5">
    <w:abstractNumId w:val="41"/>
  </w:num>
  <w:num w:numId="6">
    <w:abstractNumId w:val="25"/>
  </w:num>
  <w:num w:numId="7">
    <w:abstractNumId w:val="2"/>
  </w:num>
  <w:num w:numId="8">
    <w:abstractNumId w:val="43"/>
  </w:num>
  <w:num w:numId="9">
    <w:abstractNumId w:val="29"/>
  </w:num>
  <w:num w:numId="10">
    <w:abstractNumId w:val="19"/>
  </w:num>
  <w:num w:numId="11">
    <w:abstractNumId w:val="3"/>
  </w:num>
  <w:num w:numId="12">
    <w:abstractNumId w:val="28"/>
  </w:num>
  <w:num w:numId="13">
    <w:abstractNumId w:val="31"/>
  </w:num>
  <w:num w:numId="14">
    <w:abstractNumId w:val="21"/>
  </w:num>
  <w:num w:numId="15">
    <w:abstractNumId w:val="36"/>
  </w:num>
  <w:num w:numId="16">
    <w:abstractNumId w:val="5"/>
  </w:num>
  <w:num w:numId="17">
    <w:abstractNumId w:val="14"/>
  </w:num>
  <w:num w:numId="18">
    <w:abstractNumId w:val="35"/>
  </w:num>
  <w:num w:numId="19">
    <w:abstractNumId w:val="12"/>
  </w:num>
  <w:num w:numId="20">
    <w:abstractNumId w:val="4"/>
  </w:num>
  <w:num w:numId="21">
    <w:abstractNumId w:val="24"/>
  </w:num>
  <w:num w:numId="22">
    <w:abstractNumId w:val="27"/>
  </w:num>
  <w:num w:numId="23">
    <w:abstractNumId w:val="34"/>
  </w:num>
  <w:num w:numId="24">
    <w:abstractNumId w:val="16"/>
  </w:num>
  <w:num w:numId="25">
    <w:abstractNumId w:val="38"/>
  </w:num>
  <w:num w:numId="26">
    <w:abstractNumId w:val="26"/>
  </w:num>
  <w:num w:numId="27">
    <w:abstractNumId w:val="30"/>
  </w:num>
  <w:num w:numId="28">
    <w:abstractNumId w:val="0"/>
  </w:num>
  <w:num w:numId="29">
    <w:abstractNumId w:val="22"/>
  </w:num>
  <w:num w:numId="30">
    <w:abstractNumId w:val="15"/>
  </w:num>
  <w:num w:numId="31">
    <w:abstractNumId w:val="37"/>
  </w:num>
  <w:num w:numId="32">
    <w:abstractNumId w:val="1"/>
  </w:num>
  <w:num w:numId="33">
    <w:abstractNumId w:val="10"/>
  </w:num>
  <w:num w:numId="34">
    <w:abstractNumId w:val="44"/>
  </w:num>
  <w:num w:numId="35">
    <w:abstractNumId w:val="18"/>
  </w:num>
  <w:num w:numId="36">
    <w:abstractNumId w:val="13"/>
  </w:num>
  <w:num w:numId="37">
    <w:abstractNumId w:val="39"/>
  </w:num>
  <w:num w:numId="38">
    <w:abstractNumId w:val="40"/>
  </w:num>
  <w:num w:numId="39">
    <w:abstractNumId w:val="17"/>
  </w:num>
  <w:num w:numId="40">
    <w:abstractNumId w:val="8"/>
  </w:num>
  <w:num w:numId="41">
    <w:abstractNumId w:val="32"/>
  </w:num>
  <w:num w:numId="42">
    <w:abstractNumId w:val="6"/>
  </w:num>
  <w:num w:numId="43">
    <w:abstractNumId w:val="42"/>
  </w:num>
  <w:num w:numId="44">
    <w:abstractNumId w:val="33"/>
  </w:num>
  <w:num w:numId="45">
    <w:abstractNumId w:val="2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F"/>
    <w:rsid w:val="00017A88"/>
    <w:rsid w:val="0007224E"/>
    <w:rsid w:val="00082230"/>
    <w:rsid w:val="000B525B"/>
    <w:rsid w:val="000D3AAB"/>
    <w:rsid w:val="00166FBE"/>
    <w:rsid w:val="001D320B"/>
    <w:rsid w:val="001E0993"/>
    <w:rsid w:val="002A0ED1"/>
    <w:rsid w:val="002D628F"/>
    <w:rsid w:val="00323791"/>
    <w:rsid w:val="00462FC9"/>
    <w:rsid w:val="004E4619"/>
    <w:rsid w:val="005012E7"/>
    <w:rsid w:val="005555BE"/>
    <w:rsid w:val="005A39FE"/>
    <w:rsid w:val="005E6D37"/>
    <w:rsid w:val="006351F7"/>
    <w:rsid w:val="006E2190"/>
    <w:rsid w:val="006F0FDC"/>
    <w:rsid w:val="006F3385"/>
    <w:rsid w:val="00713F5A"/>
    <w:rsid w:val="00724657"/>
    <w:rsid w:val="00771801"/>
    <w:rsid w:val="007A0918"/>
    <w:rsid w:val="00815E99"/>
    <w:rsid w:val="00835A23"/>
    <w:rsid w:val="00861E17"/>
    <w:rsid w:val="00887130"/>
    <w:rsid w:val="008E3134"/>
    <w:rsid w:val="00AE0F10"/>
    <w:rsid w:val="00B50005"/>
    <w:rsid w:val="00B90E20"/>
    <w:rsid w:val="00BF2A30"/>
    <w:rsid w:val="00C36FB9"/>
    <w:rsid w:val="00C376C9"/>
    <w:rsid w:val="00CF5EE5"/>
    <w:rsid w:val="00D171FE"/>
    <w:rsid w:val="00D3192F"/>
    <w:rsid w:val="00D35AB4"/>
    <w:rsid w:val="00E34384"/>
    <w:rsid w:val="00E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F36B"/>
  <w15:chartTrackingRefBased/>
  <w15:docId w15:val="{448A4056-91B6-4AE4-BE7F-2B11081A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3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D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22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4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ghts.dice.com/2016/08/16/rising-need-blockchain-pros/" TargetMode="External"/><Relationship Id="rId13" Type="http://schemas.openxmlformats.org/officeDocument/2006/relationships/hyperlink" Target="http://blogs.wsj.com/cio/2016/02/02/blockchain-catalyst-for-massive-change-across-indust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pgemini.com/resources/blockchain-a-fundamental-shift-for-financial-services-institutions" TargetMode="External"/><Relationship Id="rId12" Type="http://schemas.openxmlformats.org/officeDocument/2006/relationships/hyperlink" Target="http://blogs.wsj.com/cio/2016/02/02/blockchain-catalyst-for-massive-change-across-industri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pgemini.com/consulting-de/wp-content/uploads/sites/32/2017/08/smart_contracts_paper_long_0.pdf" TargetMode="External"/><Relationship Id="rId11" Type="http://schemas.openxmlformats.org/officeDocument/2006/relationships/hyperlink" Target="http://blogs.wsj.com/cio/2016/05/17/the-blockchain-expert-in-search-of-techs-near-mythical-beast/?cb=logged0.6181796765886247" TargetMode="External"/><Relationship Id="rId5" Type="http://schemas.openxmlformats.org/officeDocument/2006/relationships/hyperlink" Target="mailto:bart.cant@gmail.com" TargetMode="External"/><Relationship Id="rId15" Type="http://schemas.openxmlformats.org/officeDocument/2006/relationships/hyperlink" Target="http://www.dtcc.com/news/2017/january/09/dtcc-selects-ibm-axoni-and-r3-to-develop-dtccs-distributed-ledger-solution" TargetMode="External"/><Relationship Id="rId10" Type="http://schemas.openxmlformats.org/officeDocument/2006/relationships/hyperlink" Target="http://www.bloomberg.com/news/articles/2016-09-08/blockchain-bootcamps-emerge-with-rising-demand-for-software-p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nkingexchange.com/news-feed/item/6519-smart-contracts-in-your-future" TargetMode="External"/><Relationship Id="rId14" Type="http://schemas.openxmlformats.org/officeDocument/2006/relationships/hyperlink" Target="https://www.youtube.com/watch?v=Mhpe0d-nE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Cant</dc:creator>
  <cp:keywords/>
  <dc:description/>
  <cp:lastModifiedBy>Bart Cant</cp:lastModifiedBy>
  <cp:revision>8</cp:revision>
  <dcterms:created xsi:type="dcterms:W3CDTF">2019-10-08T20:38:00Z</dcterms:created>
  <dcterms:modified xsi:type="dcterms:W3CDTF">2019-10-11T18:37:00Z</dcterms:modified>
</cp:coreProperties>
</file>