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0A120" w14:textId="77777777" w:rsidR="001F0385" w:rsidRPr="001F0385" w:rsidRDefault="001F0385" w:rsidP="00743C95">
      <w:pPr>
        <w:spacing w:after="0" w:line="240" w:lineRule="auto"/>
        <w:jc w:val="center"/>
        <w:rPr>
          <w:rFonts w:ascii="Verdana" w:hAnsi="Verdana"/>
          <w:b/>
          <w:smallCaps/>
          <w:color w:val="244061"/>
          <w:spacing w:val="20"/>
          <w:sz w:val="8"/>
          <w:szCs w:val="8"/>
          <w:u w:val="single"/>
          <w14:shadow w14:blurRad="50800" w14:dist="38100" w14:dir="2700000" w14:sx="100000" w14:sy="100000" w14:kx="0" w14:ky="0" w14:algn="tl">
            <w14:srgbClr w14:val="000000">
              <w14:alpha w14:val="60000"/>
            </w14:srgbClr>
          </w14:shadow>
        </w:rPr>
      </w:pPr>
      <w:bookmarkStart w:id="0" w:name="_Hlk523919707"/>
      <w:bookmarkStart w:id="1" w:name="_Hlk523930784"/>
    </w:p>
    <w:p w14:paraId="126CA3BB" w14:textId="0E77F938" w:rsidR="00743C95" w:rsidRPr="003735F6" w:rsidRDefault="00743C95" w:rsidP="00743C95">
      <w:pPr>
        <w:spacing w:after="0" w:line="240" w:lineRule="auto"/>
        <w:jc w:val="center"/>
        <w:rPr>
          <w:rFonts w:ascii="Verdana" w:hAnsi="Verdana"/>
          <w:b/>
          <w:smallCaps/>
          <w:color w:val="244061"/>
          <w:spacing w:val="20"/>
          <w:sz w:val="18"/>
          <w:szCs w:val="16"/>
          <w:u w:val="single"/>
          <w14:shadow w14:blurRad="50800" w14:dist="38100" w14:dir="2700000" w14:sx="100000" w14:sy="100000" w14:kx="0" w14:ky="0" w14:algn="tl">
            <w14:srgbClr w14:val="000000">
              <w14:alpha w14:val="60000"/>
            </w14:srgbClr>
          </w14:shadow>
        </w:rPr>
      </w:pPr>
      <w:r w:rsidRPr="003735F6">
        <w:rPr>
          <w:rFonts w:ascii="Verdana" w:hAnsi="Verdana"/>
          <w:b/>
          <w:smallCaps/>
          <w:color w:val="244061"/>
          <w:spacing w:val="20"/>
          <w:sz w:val="18"/>
          <w:szCs w:val="16"/>
          <w:u w:val="single"/>
          <w14:shadow w14:blurRad="50800" w14:dist="38100" w14:dir="2700000" w14:sx="100000" w14:sy="100000" w14:kx="0" w14:ky="0" w14:algn="tl">
            <w14:srgbClr w14:val="000000">
              <w14:alpha w14:val="60000"/>
            </w14:srgbClr>
          </w14:shadow>
        </w:rPr>
        <w:t>Director of Infrastructure</w:t>
      </w:r>
    </w:p>
    <w:p w14:paraId="6CD1EEAF" w14:textId="77777777" w:rsidR="00743C95" w:rsidRPr="00B76984" w:rsidRDefault="00743C95" w:rsidP="00743C95">
      <w:pPr>
        <w:pStyle w:val="NoSpacing"/>
        <w:tabs>
          <w:tab w:val="left" w:pos="2385"/>
        </w:tabs>
        <w:jc w:val="center"/>
        <w:rPr>
          <w:rFonts w:ascii="Verdana" w:hAnsi="Verdana" w:cs="Arial"/>
          <w:b/>
          <w:i/>
          <w:sz w:val="17"/>
          <w:szCs w:val="17"/>
        </w:rPr>
      </w:pPr>
      <w:r w:rsidRPr="00B76984">
        <w:rPr>
          <w:rFonts w:ascii="Verdana" w:hAnsi="Verdana" w:cs="Arial"/>
          <w:b/>
          <w:i/>
          <w:sz w:val="17"/>
          <w:szCs w:val="17"/>
        </w:rPr>
        <w:t xml:space="preserve">IT Strategy &amp; Technology Road Mapping </w:t>
      </w:r>
      <w:r w:rsidRPr="00B76984">
        <w:rPr>
          <w:rFonts w:ascii="Verdana" w:hAnsi="Verdana" w:cs="Arial"/>
          <w:b/>
          <w:i/>
          <w:sz w:val="17"/>
          <w:szCs w:val="17"/>
        </w:rPr>
        <w:sym w:font="Wingdings" w:char="F09E"/>
      </w:r>
      <w:r w:rsidRPr="00B76984">
        <w:rPr>
          <w:rFonts w:ascii="Verdana" w:hAnsi="Verdana" w:cs="Arial"/>
          <w:b/>
          <w:i/>
          <w:sz w:val="17"/>
          <w:szCs w:val="17"/>
        </w:rPr>
        <w:t xml:space="preserve">  IT Operations and Governance </w:t>
      </w:r>
      <w:r w:rsidRPr="00B76984">
        <w:rPr>
          <w:rFonts w:ascii="Verdana" w:hAnsi="Verdana" w:cs="Arial"/>
          <w:b/>
          <w:i/>
          <w:sz w:val="17"/>
          <w:szCs w:val="17"/>
        </w:rPr>
        <w:sym w:font="Wingdings" w:char="F09E"/>
      </w:r>
      <w:r w:rsidRPr="00B76984">
        <w:rPr>
          <w:rFonts w:ascii="Verdana" w:hAnsi="Verdana" w:cs="Arial"/>
          <w:b/>
          <w:i/>
          <w:sz w:val="17"/>
          <w:szCs w:val="17"/>
        </w:rPr>
        <w:t xml:space="preserve"> Infrastructure Modernization </w:t>
      </w:r>
      <w:r w:rsidRPr="00B76984">
        <w:rPr>
          <w:rFonts w:ascii="Verdana" w:hAnsi="Verdana" w:cs="Arial"/>
          <w:b/>
          <w:i/>
          <w:sz w:val="17"/>
          <w:szCs w:val="17"/>
        </w:rPr>
        <w:sym w:font="Wingdings" w:char="F09E"/>
      </w:r>
      <w:r w:rsidRPr="00B76984">
        <w:rPr>
          <w:rFonts w:ascii="Verdana" w:hAnsi="Verdana" w:cs="Arial"/>
          <w:b/>
          <w:i/>
          <w:sz w:val="17"/>
          <w:szCs w:val="17"/>
        </w:rPr>
        <w:t xml:space="preserve"> Enterprise Architecture</w:t>
      </w:r>
    </w:p>
    <w:bookmarkEnd w:id="0"/>
    <w:p w14:paraId="4CBEA0CA" w14:textId="77777777" w:rsidR="00743C95" w:rsidRPr="006E481C" w:rsidRDefault="00743C95" w:rsidP="00743C95">
      <w:pPr>
        <w:spacing w:after="0" w:line="240" w:lineRule="auto"/>
        <w:jc w:val="both"/>
        <w:rPr>
          <w:rFonts w:ascii="Verdana" w:hAnsi="Verdana" w:cs="Calibri"/>
          <w:sz w:val="10"/>
          <w:szCs w:val="10"/>
        </w:rPr>
      </w:pPr>
    </w:p>
    <w:p w14:paraId="482B50E8" w14:textId="77777777" w:rsidR="00743C95" w:rsidRPr="00B76984" w:rsidRDefault="00743C95" w:rsidP="00743C95">
      <w:pPr>
        <w:pStyle w:val="Title"/>
        <w:pBdr>
          <w:top w:val="single" w:sz="18" w:space="1" w:color="A6A6A6"/>
          <w:bottom w:val="single" w:sz="18" w:space="1" w:color="365F91"/>
        </w:pBdr>
        <w:shd w:val="clear" w:color="auto" w:fill="F2F2F2"/>
        <w:ind w:right="54"/>
        <w:rPr>
          <w:rStyle w:val="BookTitle"/>
          <w:rFonts w:ascii="Verdana" w:hAnsi="Verdana" w:cs="Calibri Light"/>
          <w:b/>
          <w:i w:val="0"/>
          <w:spacing w:val="20"/>
          <w:sz w:val="17"/>
          <w:szCs w:val="17"/>
        </w:rPr>
      </w:pPr>
      <w:r w:rsidRPr="00B76984">
        <w:rPr>
          <w:rStyle w:val="BookTitle"/>
          <w:rFonts w:ascii="Verdana" w:hAnsi="Verdana" w:cs="Calibri Light"/>
          <w:spacing w:val="20"/>
          <w:sz w:val="17"/>
          <w:szCs w:val="17"/>
        </w:rPr>
        <w:t>Qualifications Profile</w:t>
      </w:r>
    </w:p>
    <w:p w14:paraId="40CBA0DC" w14:textId="77777777" w:rsidR="00743C95" w:rsidRPr="006E481C" w:rsidRDefault="00743C95" w:rsidP="00743C95">
      <w:pPr>
        <w:spacing w:after="0" w:line="240" w:lineRule="auto"/>
        <w:jc w:val="both"/>
        <w:rPr>
          <w:rFonts w:ascii="Verdana" w:hAnsi="Verdana" w:cs="Calibri"/>
          <w:sz w:val="10"/>
          <w:szCs w:val="10"/>
        </w:rPr>
      </w:pPr>
    </w:p>
    <w:p w14:paraId="5EE6E3D3" w14:textId="77777777" w:rsidR="00743C95" w:rsidRPr="00B76984" w:rsidRDefault="00743C95" w:rsidP="00743C95">
      <w:pPr>
        <w:pStyle w:val="NoSpacing"/>
        <w:tabs>
          <w:tab w:val="left" w:pos="2385"/>
        </w:tabs>
        <w:jc w:val="center"/>
        <w:rPr>
          <w:rFonts w:ascii="Verdana" w:hAnsi="Verdana" w:cs="Calibri"/>
          <w:b/>
          <w:i/>
          <w:sz w:val="17"/>
          <w:szCs w:val="17"/>
        </w:rPr>
      </w:pPr>
      <w:r w:rsidRPr="00B76984">
        <w:rPr>
          <w:rFonts w:ascii="Verdana" w:hAnsi="Verdana" w:cs="Calibri"/>
          <w:b/>
          <w:i/>
          <w:sz w:val="17"/>
          <w:szCs w:val="17"/>
        </w:rPr>
        <w:t>Results-driven, innovative, and hands-on professional with solid background in overseeing large-scale infrastructure projects and programs within a large enterprise environment</w:t>
      </w:r>
    </w:p>
    <w:p w14:paraId="5ABEEF91" w14:textId="77777777" w:rsidR="00743C95" w:rsidRPr="00B76984" w:rsidRDefault="00743C95" w:rsidP="00743C95">
      <w:pPr>
        <w:spacing w:after="0" w:line="240" w:lineRule="auto"/>
        <w:jc w:val="both"/>
        <w:rPr>
          <w:rFonts w:ascii="Verdana" w:hAnsi="Verdana" w:cs="Calibri"/>
          <w:sz w:val="17"/>
          <w:szCs w:val="17"/>
        </w:rPr>
      </w:pPr>
    </w:p>
    <w:p w14:paraId="5E241A2A" w14:textId="17FFFE29" w:rsidR="001162FD" w:rsidRPr="00661166" w:rsidRDefault="001162FD" w:rsidP="001162FD">
      <w:pPr>
        <w:ind w:right="54"/>
        <w:jc w:val="both"/>
        <w:rPr>
          <w:rFonts w:ascii="Verdana" w:hAnsi="Verdana"/>
          <w:sz w:val="17"/>
          <w:szCs w:val="17"/>
        </w:rPr>
      </w:pPr>
      <w:r w:rsidRPr="00661166">
        <w:rPr>
          <w:rFonts w:ascii="Verdana" w:hAnsi="Verdana" w:cs="Calibri"/>
          <w:sz w:val="17"/>
          <w:szCs w:val="17"/>
        </w:rPr>
        <w:t xml:space="preserve">Multifaceted, solutions-oriented, Senior IT executive with over 20 years of experience in architecture design, IT management, </w:t>
      </w:r>
      <w:r w:rsidRPr="00661166">
        <w:rPr>
          <w:rFonts w:ascii="Verdana" w:hAnsi="Verdana" w:cstheme="minorHAnsi"/>
          <w:sz w:val="17"/>
          <w:szCs w:val="17"/>
        </w:rPr>
        <w:t>business development, and hands-on experience with a successful history of building optimal solutions with highly productive and accountable teams focusing on delivering complex, scalable, and flexible application and service-oriented architecture (SOA) workflows to meet Cloud Infrastructure/SaaS, eCommerce, Lean-Agile, Kanban, DevOps, and compliance.</w:t>
      </w:r>
      <w:r>
        <w:rPr>
          <w:rFonts w:ascii="Verdana" w:hAnsi="Verdana" w:cstheme="minorHAnsi"/>
          <w:sz w:val="17"/>
          <w:szCs w:val="17"/>
        </w:rPr>
        <w:t xml:space="preserve">  </w:t>
      </w:r>
      <w:r w:rsidRPr="00661166">
        <w:rPr>
          <w:rFonts w:ascii="Verdana" w:hAnsi="Verdana" w:cs="Calibri"/>
          <w:spacing w:val="-2"/>
          <w:sz w:val="17"/>
          <w:szCs w:val="17"/>
        </w:rPr>
        <w:t>Offering proven success in providing guidance and leadership to a wide range of technology initiatives focused on streamlining technical operations and services; while ensuring profitability and steady growth of the organization.  Expert at evaluating business processes, systems, or technology changes; complemented with effective approach in identifying and resolving operational and program issues. Adept at building relationships and collaborating with cross-functional teams to support key initiatives and achieve business targets</w:t>
      </w:r>
      <w:r>
        <w:rPr>
          <w:rFonts w:ascii="Verdana" w:hAnsi="Verdana" w:cs="Calibri"/>
          <w:spacing w:val="-2"/>
          <w:sz w:val="17"/>
          <w:szCs w:val="17"/>
        </w:rPr>
        <w:t>.</w:t>
      </w:r>
      <w:r w:rsidRPr="00661166">
        <w:rPr>
          <w:rFonts w:ascii="Verdana" w:hAnsi="Verdana" w:cs="Calibri"/>
          <w:sz w:val="17"/>
          <w:szCs w:val="17"/>
        </w:rPr>
        <w:t xml:space="preserve">  </w:t>
      </w:r>
    </w:p>
    <w:p w14:paraId="1FD706B2" w14:textId="77777777" w:rsidR="00743C95" w:rsidRPr="00B76984" w:rsidRDefault="00743C95" w:rsidP="00743C95">
      <w:pPr>
        <w:pStyle w:val="Title"/>
        <w:pBdr>
          <w:top w:val="single" w:sz="18" w:space="1" w:color="A6A6A6"/>
          <w:bottom w:val="single" w:sz="18" w:space="1" w:color="365F91"/>
        </w:pBdr>
        <w:shd w:val="clear" w:color="auto" w:fill="F2F2F2"/>
        <w:ind w:right="54"/>
        <w:rPr>
          <w:rStyle w:val="BookTitle"/>
          <w:rFonts w:ascii="Verdana" w:hAnsi="Verdana" w:cs="Calibri Light"/>
          <w:b/>
          <w:i w:val="0"/>
          <w:spacing w:val="20"/>
          <w:sz w:val="17"/>
          <w:szCs w:val="17"/>
        </w:rPr>
      </w:pPr>
      <w:r w:rsidRPr="00B76984">
        <w:rPr>
          <w:rStyle w:val="BookTitle"/>
          <w:rFonts w:ascii="Verdana" w:hAnsi="Verdana" w:cs="Calibri Light"/>
          <w:spacing w:val="20"/>
          <w:sz w:val="17"/>
          <w:szCs w:val="17"/>
        </w:rPr>
        <w:t>Areas of Expertise</w:t>
      </w:r>
    </w:p>
    <w:p w14:paraId="1728A944" w14:textId="77777777" w:rsidR="00743C95" w:rsidRPr="006E481C" w:rsidRDefault="00743C95" w:rsidP="00743C95">
      <w:pPr>
        <w:spacing w:after="0" w:line="240" w:lineRule="auto"/>
        <w:ind w:right="54"/>
        <w:jc w:val="center"/>
        <w:rPr>
          <w:rFonts w:ascii="Verdana" w:hAnsi="Verdana" w:cs="Calibri"/>
          <w:smallCaps/>
          <w:sz w:val="10"/>
          <w:szCs w:val="10"/>
        </w:rPr>
      </w:pPr>
    </w:p>
    <w:p w14:paraId="0DF25DF0"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Visionary Leadership | Operational Streamlining | Organizational Transformation | IT Service Delivery</w:t>
      </w:r>
    </w:p>
    <w:p w14:paraId="260A7790"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Organizational Development and Administration | Budget and Cost Optimization | Vendor Management</w:t>
      </w:r>
    </w:p>
    <w:p w14:paraId="7A998BB4"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Strategic Planning and Implementation | Risk Management and Mitigation | Contract Administration</w:t>
      </w:r>
    </w:p>
    <w:p w14:paraId="6F9161AA"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Problem Resolution and Decision Making | System Migrations and Integrations | IT Operations Management</w:t>
      </w:r>
    </w:p>
    <w:p w14:paraId="375C988A" w14:textId="67EC2A7C"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Process Improvement | Cloud Architecture</w:t>
      </w:r>
      <w:r w:rsidR="00A43AD0" w:rsidRPr="00B76984">
        <w:rPr>
          <w:rFonts w:ascii="Verdana" w:hAnsi="Verdana" w:cs="Calibri"/>
          <w:smallCaps/>
          <w:sz w:val="17"/>
          <w:szCs w:val="17"/>
        </w:rPr>
        <w:t xml:space="preserve"> |</w:t>
      </w:r>
      <w:r w:rsidR="00A43AD0">
        <w:rPr>
          <w:rFonts w:ascii="Verdana" w:hAnsi="Verdana" w:cs="Calibri"/>
          <w:smallCaps/>
          <w:sz w:val="17"/>
          <w:szCs w:val="17"/>
        </w:rPr>
        <w:t xml:space="preserve"> Agile Methodologies</w:t>
      </w:r>
    </w:p>
    <w:p w14:paraId="7654C19E" w14:textId="77777777" w:rsidR="00743C95" w:rsidRPr="006E481C" w:rsidRDefault="00743C95" w:rsidP="00743C95">
      <w:pPr>
        <w:spacing w:after="0" w:line="240" w:lineRule="auto"/>
        <w:ind w:right="54"/>
        <w:jc w:val="center"/>
        <w:rPr>
          <w:rFonts w:ascii="Verdana" w:hAnsi="Verdana" w:cs="Calibri"/>
          <w:smallCaps/>
          <w:sz w:val="10"/>
          <w:szCs w:val="10"/>
        </w:rPr>
      </w:pPr>
    </w:p>
    <w:p w14:paraId="2C94C249" w14:textId="77777777" w:rsidR="00743C95" w:rsidRPr="00B76984" w:rsidRDefault="00743C95" w:rsidP="00743C95">
      <w:pPr>
        <w:pStyle w:val="Title"/>
        <w:pBdr>
          <w:top w:val="single" w:sz="18" w:space="1" w:color="A6A6A6"/>
          <w:bottom w:val="single" w:sz="18" w:space="1" w:color="365F91"/>
        </w:pBdr>
        <w:shd w:val="clear" w:color="auto" w:fill="F2F2F2"/>
        <w:ind w:right="54"/>
        <w:rPr>
          <w:rStyle w:val="BookTitle"/>
          <w:rFonts w:ascii="Verdana" w:hAnsi="Verdana" w:cs="Calibri Light"/>
          <w:b/>
          <w:i w:val="0"/>
          <w:spacing w:val="20"/>
          <w:sz w:val="17"/>
          <w:szCs w:val="17"/>
        </w:rPr>
      </w:pPr>
      <w:r w:rsidRPr="00B76984">
        <w:rPr>
          <w:rStyle w:val="BookTitle"/>
          <w:rFonts w:ascii="Verdana" w:hAnsi="Verdana" w:cs="Calibri Light"/>
          <w:spacing w:val="20"/>
          <w:sz w:val="17"/>
          <w:szCs w:val="17"/>
        </w:rPr>
        <w:t>Professional Experience</w:t>
      </w:r>
    </w:p>
    <w:p w14:paraId="61EE35F8" w14:textId="77777777" w:rsidR="00743C95" w:rsidRPr="006E481C" w:rsidRDefault="00743C95" w:rsidP="00743C95">
      <w:pPr>
        <w:spacing w:after="0" w:line="240" w:lineRule="auto"/>
        <w:jc w:val="both"/>
        <w:rPr>
          <w:rFonts w:ascii="Verdana" w:hAnsi="Verdana"/>
          <w:sz w:val="10"/>
          <w:szCs w:val="10"/>
        </w:rPr>
      </w:pPr>
    </w:p>
    <w:p w14:paraId="0A9967EE" w14:textId="77777777" w:rsidR="00743C95" w:rsidRPr="00B76984" w:rsidRDefault="00743C95" w:rsidP="00743C95">
      <w:pPr>
        <w:shd w:val="clear" w:color="auto" w:fill="DBE5F1"/>
        <w:spacing w:after="0" w:line="240" w:lineRule="auto"/>
        <w:jc w:val="both"/>
        <w:rPr>
          <w:rFonts w:ascii="Verdana" w:hAnsi="Verdana"/>
          <w:smallCaps/>
          <w:sz w:val="17"/>
          <w:szCs w:val="17"/>
        </w:rPr>
      </w:pPr>
      <w:r w:rsidRPr="00B76984">
        <w:rPr>
          <w:rFonts w:ascii="Verdana" w:hAnsi="Verdana"/>
          <w:smallCaps/>
          <w:sz w:val="17"/>
          <w:szCs w:val="17"/>
        </w:rPr>
        <w:t>BGC Partners | New York, NY</w:t>
      </w:r>
    </w:p>
    <w:p w14:paraId="3A34BA1A"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sz w:val="17"/>
          <w:szCs w:val="17"/>
        </w:rPr>
      </w:pPr>
      <w:r w:rsidRPr="00B76984">
        <w:rPr>
          <w:rFonts w:ascii="Verdana" w:hAnsi="Verdana"/>
          <w:b/>
          <w:sz w:val="17"/>
          <w:szCs w:val="17"/>
        </w:rPr>
        <w:t>Global Systems Manager</w:t>
      </w:r>
    </w:p>
    <w:p w14:paraId="13D44A78" w14:textId="2FA7E5F4"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color w:val="0000FF"/>
          <w:sz w:val="17"/>
          <w:szCs w:val="17"/>
        </w:rPr>
      </w:pPr>
      <w:r w:rsidRPr="00B76984">
        <w:rPr>
          <w:rFonts w:ascii="Verdana" w:hAnsi="Verdana"/>
          <w:b/>
          <w:sz w:val="17"/>
          <w:szCs w:val="17"/>
        </w:rPr>
        <w:t>Senior Vice President</w:t>
      </w:r>
      <w:r w:rsidRPr="00B76984">
        <w:rPr>
          <w:rFonts w:ascii="Verdana" w:hAnsi="Verdana"/>
          <w:sz w:val="17"/>
          <w:szCs w:val="17"/>
        </w:rPr>
        <w:tab/>
        <w:t xml:space="preserve">09/2016 – </w:t>
      </w:r>
      <w:r w:rsidR="00A25AA1">
        <w:rPr>
          <w:rFonts w:ascii="Verdana" w:hAnsi="Verdana"/>
          <w:sz w:val="17"/>
          <w:szCs w:val="17"/>
        </w:rPr>
        <w:t>12/2018</w:t>
      </w:r>
      <w:bookmarkStart w:id="2" w:name="_GoBack"/>
      <w:bookmarkEnd w:id="2"/>
    </w:p>
    <w:p w14:paraId="0FE2110F"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bookmarkStart w:id="3" w:name="_Hlk529781114"/>
      <w:r w:rsidRPr="00F06A79">
        <w:rPr>
          <w:rFonts w:ascii="Verdana" w:hAnsi="Verdana" w:cs="Tahoma"/>
          <w:sz w:val="17"/>
          <w:szCs w:val="17"/>
        </w:rPr>
        <w:t>Lead and manage a team of 29 Junior and Senior Engineers responsible globally for Server Platforms, Virtualization, Cloud, Citrix, Microsoft, Global Engineering and Support</w:t>
      </w:r>
    </w:p>
    <w:p w14:paraId="6EB52F95"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Global Executive managing strategic innovation while providing robust but simplistic solutions built around reliability and performance</w:t>
      </w:r>
    </w:p>
    <w:p w14:paraId="37EF5DBE" w14:textId="6E8142A1"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sz w:val="17"/>
          <w:szCs w:val="17"/>
          <w:lang w:val="en"/>
        </w:rPr>
        <w:t>Planned and facilitated the transition of technology teams to Agile development methodology. Led teams in sprint planning, retrospectives and demos that resulted in a doubling of sprint velocities and the release of production-ready features on a weekly basis</w:t>
      </w:r>
    </w:p>
    <w:p w14:paraId="74EC0A2D"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eastAsia="Times New Roman" w:hAnsi="Verdana"/>
          <w:color w:val="333333"/>
          <w:sz w:val="17"/>
          <w:szCs w:val="17"/>
        </w:rPr>
        <w:t>Significantly reduced the project/Development lifecycle by streamlining processes through the implementation of Kanban and Scrum, instilling accountability and upgrading tools and training</w:t>
      </w:r>
    </w:p>
    <w:p w14:paraId="1E4F5D7B" w14:textId="671CA6C1"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sz w:val="17"/>
          <w:szCs w:val="17"/>
          <w:lang w:val="en"/>
        </w:rPr>
        <w:t>Led development of different product releases as scrum master. Partnered with senior stakeholders and product owners to define feature roadmaps that supported strategic priorities. Managed engineers, testers and associate product manager to develop user stories, deliver incremental features in 2-week sprints and continually improve processes</w:t>
      </w:r>
    </w:p>
    <w:p w14:paraId="65C1F858"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Redesigned staffing model and organizational structure to better support the user environment and deal with issues quicker</w:t>
      </w:r>
    </w:p>
    <w:p w14:paraId="5D613ECE"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Coordinated implementation of company-wide IT controls, including policies and procedures, risk assessments, new systems and monitoring applications to enhance user and client services</w:t>
      </w:r>
    </w:p>
    <w:p w14:paraId="76B341D2"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Documented and presented technology directions for Office365, Azure, and AWS for C-level executives</w:t>
      </w:r>
    </w:p>
    <w:p w14:paraId="720514C4" w14:textId="77777777" w:rsidR="00BF750B" w:rsidRPr="00015C9A" w:rsidRDefault="00BF750B" w:rsidP="00BF750B">
      <w:pPr>
        <w:widowControl w:val="0"/>
        <w:spacing w:after="0" w:line="240" w:lineRule="auto"/>
        <w:rPr>
          <w:rFonts w:ascii="Verdana" w:hAnsi="Verdana" w:cs="Tahoma"/>
          <w:b/>
          <w:i/>
          <w:sz w:val="17"/>
          <w:szCs w:val="17"/>
        </w:rPr>
      </w:pPr>
      <w:r w:rsidRPr="00015C9A">
        <w:rPr>
          <w:rFonts w:ascii="Verdana" w:hAnsi="Verdana" w:cs="Tahoma"/>
          <w:b/>
          <w:i/>
          <w:sz w:val="17"/>
          <w:szCs w:val="17"/>
        </w:rPr>
        <w:t>Key Highlights:</w:t>
      </w:r>
    </w:p>
    <w:p w14:paraId="47FA9625" w14:textId="77777777"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sidRPr="00015C9A">
        <w:rPr>
          <w:rFonts w:ascii="Verdana" w:hAnsi="Verdana" w:cs="Calibri"/>
          <w:sz w:val="17"/>
          <w:szCs w:val="17"/>
        </w:rPr>
        <w:t>Integrated 9 acquisitions into the company streamlining operations and reducing technology costs by over 50%</w:t>
      </w:r>
    </w:p>
    <w:p w14:paraId="735ED57E" w14:textId="77777777"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sidRPr="00015C9A">
        <w:rPr>
          <w:rFonts w:ascii="Verdana" w:hAnsi="Verdana" w:cs="Calibri"/>
          <w:sz w:val="17"/>
          <w:szCs w:val="17"/>
        </w:rPr>
        <w:t>Successfully negotiated the Microsoft ELA and VMware ELA to take advantage of more services while reducing costs by over $500,000</w:t>
      </w:r>
    </w:p>
    <w:p w14:paraId="18312AA0" w14:textId="51363B10"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Pr>
          <w:rFonts w:ascii="Verdana" w:hAnsi="Verdana" w:cs="Calibri"/>
          <w:sz w:val="17"/>
          <w:szCs w:val="17"/>
        </w:rPr>
        <w:t>Utilized Agile methodologies to s</w:t>
      </w:r>
      <w:r w:rsidRPr="00015C9A">
        <w:rPr>
          <w:rFonts w:ascii="Verdana" w:hAnsi="Verdana" w:cs="Calibri"/>
          <w:sz w:val="17"/>
          <w:szCs w:val="17"/>
        </w:rPr>
        <w:t>uccessfully lead a team of Engineers to complete a 12,000-person migration to Office365 which included architecture, planning, testing, and implementation process for the migration of data users in a hybrid implementation using Azure Active Directory ahead of schedule and under budget</w:t>
      </w:r>
    </w:p>
    <w:p w14:paraId="313D0CAD" w14:textId="77777777"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sidRPr="00015C9A">
        <w:rPr>
          <w:rFonts w:ascii="Verdana" w:hAnsi="Verdana" w:cs="Tahoma"/>
          <w:sz w:val="17"/>
          <w:szCs w:val="17"/>
        </w:rPr>
        <w:t>Redesigned the BCP environment to take advantage of Citrix in the Cloud making the environment more scalable by a factor of 250%</w:t>
      </w:r>
    </w:p>
    <w:bookmarkEnd w:id="3"/>
    <w:p w14:paraId="551D87E6" w14:textId="77777777" w:rsidR="00743C95" w:rsidRPr="006E481C" w:rsidRDefault="00743C95" w:rsidP="00743C95">
      <w:pPr>
        <w:pStyle w:val="ListParagraph"/>
        <w:widowControl w:val="0"/>
        <w:spacing w:after="0" w:line="240" w:lineRule="auto"/>
        <w:jc w:val="both"/>
        <w:rPr>
          <w:rFonts w:ascii="Verdana" w:hAnsi="Verdana" w:cs="Tahoma"/>
          <w:sz w:val="10"/>
          <w:szCs w:val="10"/>
        </w:rPr>
      </w:pPr>
    </w:p>
    <w:p w14:paraId="68F36276" w14:textId="77777777" w:rsidR="00743C95" w:rsidRPr="00B76984" w:rsidRDefault="00743C95" w:rsidP="00743C95">
      <w:pPr>
        <w:shd w:val="clear" w:color="auto" w:fill="DBE5F1"/>
        <w:spacing w:after="0" w:line="240" w:lineRule="auto"/>
        <w:jc w:val="both"/>
        <w:rPr>
          <w:rFonts w:ascii="Verdana" w:hAnsi="Verdana"/>
          <w:smallCaps/>
          <w:sz w:val="17"/>
          <w:szCs w:val="17"/>
        </w:rPr>
      </w:pPr>
      <w:r w:rsidRPr="00B76984">
        <w:rPr>
          <w:rFonts w:ascii="Verdana" w:hAnsi="Verdana"/>
          <w:smallCaps/>
          <w:sz w:val="17"/>
          <w:szCs w:val="17"/>
        </w:rPr>
        <w:lastRenderedPageBreak/>
        <w:t>Marsh &amp; McLennan Companies Inc. | Fort Lauderdale, FL / Hoboken, NJ</w:t>
      </w:r>
    </w:p>
    <w:p w14:paraId="5C1535E3"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b/>
          <w:sz w:val="17"/>
          <w:szCs w:val="17"/>
        </w:rPr>
      </w:pPr>
      <w:r w:rsidRPr="00B76984">
        <w:rPr>
          <w:rFonts w:ascii="Verdana" w:hAnsi="Verdana"/>
          <w:b/>
          <w:sz w:val="17"/>
          <w:szCs w:val="17"/>
        </w:rPr>
        <w:t xml:space="preserve">Global Head Distributed Systems Engineering </w:t>
      </w:r>
    </w:p>
    <w:p w14:paraId="34C12A52"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color w:val="0000FF"/>
          <w:sz w:val="17"/>
          <w:szCs w:val="17"/>
        </w:rPr>
      </w:pPr>
      <w:r w:rsidRPr="00B76984">
        <w:rPr>
          <w:rFonts w:ascii="Verdana" w:hAnsi="Verdana"/>
          <w:b/>
          <w:sz w:val="17"/>
          <w:szCs w:val="17"/>
        </w:rPr>
        <w:t>Senior Vice President</w:t>
      </w:r>
      <w:r w:rsidRPr="00B76984">
        <w:rPr>
          <w:rFonts w:ascii="Verdana" w:hAnsi="Verdana"/>
          <w:sz w:val="17"/>
          <w:szCs w:val="17"/>
        </w:rPr>
        <w:tab/>
        <w:t>01/2009 – 06/2016</w:t>
      </w:r>
    </w:p>
    <w:p w14:paraId="718151FF"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Promoted to roles of increasing scope in designing and supporting IT infrastructure, operations, and end-user services for this global corporation with worldwide staff of 60,000</w:t>
      </w:r>
    </w:p>
    <w:p w14:paraId="0933850C"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Managed capital and operating budgets for designated locations, and planned, organized, and executed all IT functions across multiple sites</w:t>
      </w:r>
    </w:p>
    <w:p w14:paraId="1883D5EF"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Directed the global Distributed Systems Engineering teams for the Americas, Asia/Pacific and Europe/Middle East/Africa to the successful completion of design authority and implementation of new technologies with a team 15 people and virtual teams up to 75</w:t>
      </w:r>
    </w:p>
    <w:p w14:paraId="14B2EA9F"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Developed and implemented an IT strategy and operations improvements as technology leader across an enterprise of over 60,000 endpoints via the creation and maintenance of infrastructure standards</w:t>
      </w:r>
    </w:p>
    <w:p w14:paraId="2EDFA377"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Continually cut IT spend, with significant annual savings from enterprise-level Microsoft agreement negotiations and consolidation of IT maintenance contracts</w:t>
      </w:r>
    </w:p>
    <w:p w14:paraId="548ECD91" w14:textId="34036D6F" w:rsidR="00743C95" w:rsidRPr="00173C99" w:rsidRDefault="00743C95" w:rsidP="00743C95">
      <w:pPr>
        <w:numPr>
          <w:ilvl w:val="0"/>
          <w:numId w:val="4"/>
        </w:numPr>
        <w:suppressAutoHyphens/>
        <w:spacing w:after="0" w:line="240" w:lineRule="auto"/>
        <w:ind w:left="180" w:right="288" w:hanging="180"/>
        <w:rPr>
          <w:rFonts w:ascii="Verdana" w:hAnsi="Verdana" w:cs="Calibri"/>
          <w:sz w:val="17"/>
          <w:szCs w:val="17"/>
        </w:rPr>
      </w:pPr>
      <w:r w:rsidRPr="00173C99">
        <w:rPr>
          <w:rFonts w:ascii="Verdana" w:hAnsi="Verdana" w:cs="Calibri"/>
          <w:sz w:val="17"/>
          <w:szCs w:val="17"/>
        </w:rPr>
        <w:t>Successfully led a team of technologists to complete a 400 office, 60,000 user installations of Win7, SCCM and Lotus Notes to Exchange 2007</w:t>
      </w:r>
      <w:r w:rsidR="00BF750B">
        <w:rPr>
          <w:rFonts w:ascii="Verdana" w:hAnsi="Verdana" w:cs="Calibri"/>
          <w:sz w:val="17"/>
          <w:szCs w:val="17"/>
        </w:rPr>
        <w:t xml:space="preserve"> using Scrum and Agile</w:t>
      </w:r>
      <w:r w:rsidR="00EE788A">
        <w:rPr>
          <w:rFonts w:ascii="Verdana" w:hAnsi="Verdana" w:cs="Calibri"/>
          <w:sz w:val="17"/>
          <w:szCs w:val="17"/>
        </w:rPr>
        <w:t xml:space="preserve"> methodologies</w:t>
      </w:r>
    </w:p>
    <w:p w14:paraId="05711C81"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Developed and promoted a single technology vision across an enterprise of over 60,000 endpoints via the creation and maintenance of infrastructure standards that led to reduced user issues and operational costs</w:t>
      </w:r>
    </w:p>
    <w:p w14:paraId="5F5F38C2" w14:textId="77777777" w:rsidR="00743C95" w:rsidRPr="00B76984" w:rsidRDefault="00743C95" w:rsidP="00743C95">
      <w:pPr>
        <w:widowControl w:val="0"/>
        <w:spacing w:after="0" w:line="240" w:lineRule="auto"/>
        <w:rPr>
          <w:rFonts w:ascii="Verdana" w:hAnsi="Verdana" w:cs="Tahoma"/>
          <w:b/>
          <w:i/>
          <w:sz w:val="17"/>
          <w:szCs w:val="17"/>
        </w:rPr>
      </w:pPr>
      <w:r w:rsidRPr="00B76984">
        <w:rPr>
          <w:rFonts w:ascii="Verdana" w:hAnsi="Verdana" w:cs="Tahoma"/>
          <w:b/>
          <w:i/>
          <w:sz w:val="17"/>
          <w:szCs w:val="17"/>
        </w:rPr>
        <w:t>Key Highlights:</w:t>
      </w:r>
    </w:p>
    <w:p w14:paraId="631157A5"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Tahoma"/>
          <w:sz w:val="17"/>
          <w:szCs w:val="17"/>
        </w:rPr>
        <w:t>Achieved more than $3M in cost saving by consolidating application and database infrastructures and eliminating obsolete applications and use of virtualization technologies from the organization</w:t>
      </w:r>
    </w:p>
    <w:p w14:paraId="2B5C47BC"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Tahoma"/>
          <w:sz w:val="17"/>
          <w:szCs w:val="17"/>
        </w:rPr>
        <w:t>Ensured the successful completion of more than 50 global projects by overseeing their timely delivery</w:t>
      </w:r>
    </w:p>
    <w:p w14:paraId="0E38B544"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Tahoma"/>
          <w:sz w:val="17"/>
          <w:szCs w:val="17"/>
        </w:rPr>
        <w:t>Steered efforts in attaining two-fold increase in productivity as well as in eliminating five FTE positions by consolidating six various teams into three teams</w:t>
      </w:r>
    </w:p>
    <w:p w14:paraId="308EAD7F"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Calibri"/>
          <w:sz w:val="17"/>
          <w:szCs w:val="17"/>
        </w:rPr>
        <w:t>Successfully migrated standalone Citrix Server environment to ESX based Citrix environment significantly reducing run rate by 75%</w:t>
      </w:r>
    </w:p>
    <w:p w14:paraId="6CA2B906"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Calibri"/>
          <w:sz w:val="17"/>
          <w:szCs w:val="17"/>
        </w:rPr>
        <w:t>Successfully led the design and implementation of an Identity Management architecture used globally by all the operating companies to remove human error and audit failures. SLA for account lifecycle management was reduced by 85%</w:t>
      </w:r>
    </w:p>
    <w:p w14:paraId="39A11DDB"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Calibri"/>
          <w:sz w:val="17"/>
          <w:szCs w:val="17"/>
        </w:rPr>
        <w:t>Reduced annual company IT costs and application time to market significantly by implementing a private cloud virtual infrastructure using VMWare ESX Server</w:t>
      </w:r>
    </w:p>
    <w:p w14:paraId="75032C01" w14:textId="77777777" w:rsidR="00743C95" w:rsidRPr="006E481C" w:rsidRDefault="00743C95" w:rsidP="00743C95">
      <w:pPr>
        <w:pStyle w:val="ListParagraph"/>
        <w:widowControl w:val="0"/>
        <w:spacing w:after="0" w:line="240" w:lineRule="auto"/>
        <w:ind w:left="0"/>
        <w:jc w:val="both"/>
        <w:rPr>
          <w:rFonts w:ascii="Verdana" w:hAnsi="Verdana"/>
          <w:sz w:val="10"/>
          <w:szCs w:val="10"/>
        </w:rPr>
      </w:pPr>
    </w:p>
    <w:p w14:paraId="15BC0D37" w14:textId="77777777" w:rsidR="00743C95" w:rsidRPr="00B76984" w:rsidRDefault="00743C95" w:rsidP="00743C95">
      <w:pPr>
        <w:shd w:val="clear" w:color="auto" w:fill="DBE5F1"/>
        <w:spacing w:after="0" w:line="240" w:lineRule="auto"/>
        <w:jc w:val="both"/>
        <w:rPr>
          <w:rFonts w:ascii="Verdana" w:hAnsi="Verdana"/>
          <w:smallCaps/>
          <w:sz w:val="17"/>
          <w:szCs w:val="17"/>
        </w:rPr>
      </w:pPr>
      <w:r w:rsidRPr="00B76984">
        <w:rPr>
          <w:rFonts w:ascii="Verdana" w:hAnsi="Verdana"/>
          <w:smallCaps/>
          <w:sz w:val="17"/>
          <w:szCs w:val="17"/>
        </w:rPr>
        <w:t>Marsh &amp; McLennan Companies | Hoboken, NJ</w:t>
      </w:r>
    </w:p>
    <w:p w14:paraId="6A53AB5A"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sz w:val="17"/>
          <w:szCs w:val="17"/>
        </w:rPr>
      </w:pPr>
      <w:r w:rsidRPr="00B76984">
        <w:rPr>
          <w:rFonts w:ascii="Verdana" w:hAnsi="Verdana"/>
          <w:b/>
          <w:sz w:val="17"/>
          <w:szCs w:val="17"/>
        </w:rPr>
        <w:t>Global Head Windows Server Engineering</w:t>
      </w:r>
    </w:p>
    <w:p w14:paraId="26E19AA0"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color w:val="0000FF"/>
          <w:sz w:val="17"/>
          <w:szCs w:val="17"/>
        </w:rPr>
      </w:pPr>
      <w:r w:rsidRPr="00B76984">
        <w:rPr>
          <w:rFonts w:ascii="Verdana" w:hAnsi="Verdana"/>
          <w:b/>
          <w:sz w:val="17"/>
          <w:szCs w:val="17"/>
        </w:rPr>
        <w:t>Vice President</w:t>
      </w:r>
      <w:r w:rsidRPr="00B76984">
        <w:rPr>
          <w:rFonts w:ascii="Verdana" w:hAnsi="Verdana"/>
          <w:sz w:val="17"/>
          <w:szCs w:val="17"/>
        </w:rPr>
        <w:tab/>
        <w:t>03/2005 – 12/2008</w:t>
      </w:r>
    </w:p>
    <w:p w14:paraId="37F5BA6D"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Tahoma"/>
          <w:sz w:val="17"/>
          <w:szCs w:val="17"/>
        </w:rPr>
        <w:t xml:space="preserve">Directed global teams of six full-time equivalent </w:t>
      </w:r>
      <w:r w:rsidRPr="00B76984">
        <w:rPr>
          <w:rFonts w:ascii="Verdana" w:hAnsi="Verdana" w:cs="Calibri"/>
          <w:sz w:val="17"/>
          <w:szCs w:val="17"/>
        </w:rPr>
        <w:t>senior engineers who were tasked with enhancing corporate technology to increase the user experience from both an infrastructure and application perspective</w:t>
      </w:r>
    </w:p>
    <w:p w14:paraId="68FDBA51"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Successfully led the team of engineers responsible for designing and executing a global virtualization infrastructure to allow for datacenter consolidation</w:t>
      </w:r>
    </w:p>
    <w:p w14:paraId="68E1A3A5"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Created a highly-successful technology strategy to support the combination of multiple operating companies under one technology umbrella</w:t>
      </w:r>
    </w:p>
    <w:p w14:paraId="334FD233"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Responsible for the merging of four operating companies’ infrastructure environments to reduce redundancy across the environment</w:t>
      </w:r>
    </w:p>
    <w:p w14:paraId="183FBF87"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Successfully led a team of technologists to complete a 400 office, 60,000 user installation of Skype</w:t>
      </w:r>
    </w:p>
    <w:p w14:paraId="60A35F14"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Tahoma"/>
          <w:sz w:val="17"/>
          <w:szCs w:val="17"/>
        </w:rPr>
        <w:t xml:space="preserve">Established strategic plan </w:t>
      </w:r>
      <w:r w:rsidRPr="00B76984">
        <w:rPr>
          <w:rFonts w:ascii="Verdana" w:hAnsi="Verdana"/>
          <w:sz w:val="17"/>
          <w:szCs w:val="17"/>
        </w:rPr>
        <w:t xml:space="preserve">multi-tenant </w:t>
      </w:r>
      <w:r w:rsidRPr="00B76984">
        <w:rPr>
          <w:rFonts w:ascii="Verdana" w:hAnsi="Verdana" w:cs="Tahoma"/>
          <w:sz w:val="17"/>
          <w:szCs w:val="17"/>
        </w:rPr>
        <w:t xml:space="preserve">for four </w:t>
      </w:r>
      <w:r w:rsidRPr="00B76984">
        <w:rPr>
          <w:rFonts w:ascii="Verdana" w:hAnsi="Verdana"/>
          <w:sz w:val="17"/>
          <w:szCs w:val="17"/>
        </w:rPr>
        <w:t>operating companies across eight global datacenters supporting six different application environments; such as production, DR, QA, development, preproduction, and UAT</w:t>
      </w:r>
    </w:p>
    <w:p w14:paraId="76837594"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sz w:val="17"/>
          <w:szCs w:val="17"/>
        </w:rPr>
        <w:t xml:space="preserve">Capitalized on industry expertise in </w:t>
      </w:r>
      <w:r w:rsidRPr="00B76984">
        <w:rPr>
          <w:rFonts w:ascii="Verdana" w:hAnsi="Verdana" w:cs="Tahoma"/>
          <w:sz w:val="17"/>
          <w:szCs w:val="17"/>
        </w:rPr>
        <w:t>conceptualizing enterprise-wide multi-tenant virtualization framework for four distinct operating companies</w:t>
      </w:r>
    </w:p>
    <w:p w14:paraId="2C429D83"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Tahoma"/>
          <w:sz w:val="17"/>
          <w:szCs w:val="17"/>
        </w:rPr>
        <w:t xml:space="preserve">Formulated a global VMware solution for development, quality assurance (QA), user acceptance testing (UAT), and disaster recovery (DR) and production environments; including various advance VMware functionalities involving vCenter, High Availability (HA), </w:t>
      </w:r>
      <w:proofErr w:type="spellStart"/>
      <w:r w:rsidRPr="00B76984">
        <w:rPr>
          <w:rFonts w:ascii="Verdana" w:hAnsi="Verdana" w:cs="Tahoma"/>
          <w:sz w:val="17"/>
          <w:szCs w:val="17"/>
        </w:rPr>
        <w:t>vMotion</w:t>
      </w:r>
      <w:proofErr w:type="spellEnd"/>
      <w:r w:rsidRPr="00B76984">
        <w:rPr>
          <w:rFonts w:ascii="Verdana" w:hAnsi="Verdana" w:cs="Tahoma"/>
          <w:sz w:val="17"/>
          <w:szCs w:val="17"/>
        </w:rPr>
        <w:t xml:space="preserve"> (EMC SAN-based), and Distributed Resource Scheduler (DRS)</w:t>
      </w:r>
    </w:p>
    <w:p w14:paraId="12A1700D" w14:textId="77777777" w:rsidR="00743C95" w:rsidRPr="00B76984" w:rsidRDefault="00743C95" w:rsidP="00743C95">
      <w:pPr>
        <w:spacing w:after="0" w:line="240" w:lineRule="auto"/>
        <w:rPr>
          <w:rFonts w:ascii="Verdana" w:hAnsi="Verdana"/>
          <w:b/>
          <w:i/>
          <w:sz w:val="17"/>
          <w:szCs w:val="17"/>
          <w:u w:val="single"/>
        </w:rPr>
      </w:pPr>
      <w:r w:rsidRPr="00B76984">
        <w:rPr>
          <w:rFonts w:ascii="Verdana" w:hAnsi="Verdana"/>
          <w:b/>
          <w:i/>
          <w:sz w:val="17"/>
          <w:szCs w:val="17"/>
          <w:u w:val="single"/>
        </w:rPr>
        <w:t>Key Highlights:</w:t>
      </w:r>
    </w:p>
    <w:p w14:paraId="565464CF" w14:textId="77777777" w:rsidR="00743C95" w:rsidRPr="00B76984" w:rsidRDefault="00743C95" w:rsidP="00743C95">
      <w:pPr>
        <w:pStyle w:val="ListParagraph"/>
        <w:widowControl w:val="0"/>
        <w:numPr>
          <w:ilvl w:val="0"/>
          <w:numId w:val="2"/>
        </w:numPr>
        <w:spacing w:after="0" w:line="240" w:lineRule="auto"/>
        <w:ind w:left="630"/>
        <w:jc w:val="both"/>
        <w:rPr>
          <w:rFonts w:ascii="Verdana" w:hAnsi="Verdana" w:cs="Tahoma"/>
          <w:sz w:val="17"/>
          <w:szCs w:val="17"/>
        </w:rPr>
      </w:pPr>
      <w:r w:rsidRPr="00B76984">
        <w:rPr>
          <w:rFonts w:ascii="Verdana" w:hAnsi="Verdana" w:cs="Tahoma"/>
          <w:sz w:val="17"/>
          <w:szCs w:val="17"/>
        </w:rPr>
        <w:t>Significantly enhanced company’s virtual footprint, from 0 to 3,500 VMs (35% overall virtualized) and delivered 800 physical servers to VM (P2V) within three years</w:t>
      </w:r>
    </w:p>
    <w:p w14:paraId="7EAC3AFA" w14:textId="77777777" w:rsidR="00743C95" w:rsidRPr="00B76984" w:rsidRDefault="00743C95" w:rsidP="00743C95">
      <w:pPr>
        <w:pStyle w:val="ListParagraph"/>
        <w:widowControl w:val="0"/>
        <w:numPr>
          <w:ilvl w:val="0"/>
          <w:numId w:val="2"/>
        </w:numPr>
        <w:spacing w:after="0" w:line="240" w:lineRule="auto"/>
        <w:ind w:left="630"/>
        <w:jc w:val="both"/>
        <w:rPr>
          <w:rFonts w:ascii="Verdana" w:hAnsi="Verdana" w:cs="Tahoma"/>
          <w:sz w:val="17"/>
          <w:szCs w:val="17"/>
        </w:rPr>
      </w:pPr>
      <w:r w:rsidRPr="00B76984">
        <w:rPr>
          <w:rFonts w:ascii="Verdana" w:hAnsi="Verdana" w:cs="Tahoma"/>
          <w:sz w:val="17"/>
          <w:szCs w:val="17"/>
        </w:rPr>
        <w:t>Combined local office server infrastructure and reduced overall server infrastructure in remote offices through global Hyper-V utility server infrastructure</w:t>
      </w:r>
    </w:p>
    <w:p w14:paraId="305F8A99" w14:textId="77777777" w:rsidR="00743C95" w:rsidRPr="00B76984" w:rsidRDefault="00743C95" w:rsidP="00743C95">
      <w:pPr>
        <w:pStyle w:val="ListParagraph"/>
        <w:widowControl w:val="0"/>
        <w:numPr>
          <w:ilvl w:val="0"/>
          <w:numId w:val="2"/>
        </w:numPr>
        <w:spacing w:after="0" w:line="240" w:lineRule="auto"/>
        <w:ind w:left="630"/>
        <w:jc w:val="both"/>
        <w:rPr>
          <w:rFonts w:ascii="Verdana" w:hAnsi="Verdana" w:cs="Tahoma"/>
          <w:sz w:val="17"/>
          <w:szCs w:val="17"/>
        </w:rPr>
      </w:pPr>
      <w:r w:rsidRPr="00B76984">
        <w:rPr>
          <w:rFonts w:ascii="Verdana" w:hAnsi="Verdana" w:cs="Tahoma"/>
          <w:sz w:val="17"/>
          <w:szCs w:val="17"/>
        </w:rPr>
        <w:t>Defined migration solution for 26 various applications from acquired company’s datacenter to MMC’s strategic datacenters, including production and nonproduction infrastructure environments</w:t>
      </w:r>
    </w:p>
    <w:p w14:paraId="5C54DA22" w14:textId="77777777" w:rsidR="00743C95" w:rsidRPr="006B3039" w:rsidRDefault="00743C95" w:rsidP="00743C95">
      <w:pPr>
        <w:pStyle w:val="ListParagraph"/>
        <w:widowControl w:val="0"/>
        <w:spacing w:after="0" w:line="240" w:lineRule="auto"/>
        <w:jc w:val="both"/>
        <w:rPr>
          <w:rFonts w:ascii="Verdana" w:hAnsi="Verdana" w:cs="Tahoma"/>
          <w:sz w:val="10"/>
          <w:szCs w:val="10"/>
        </w:rPr>
      </w:pPr>
    </w:p>
    <w:p w14:paraId="3E41404A" w14:textId="77777777" w:rsidR="00743C95" w:rsidRPr="00B76984" w:rsidRDefault="00743C95" w:rsidP="00743C95">
      <w:pPr>
        <w:pStyle w:val="Title"/>
        <w:pBdr>
          <w:top w:val="single" w:sz="18" w:space="1" w:color="A6A6A6"/>
          <w:bottom w:val="single" w:sz="18" w:space="1" w:color="365F91"/>
        </w:pBdr>
        <w:shd w:val="clear" w:color="auto" w:fill="F2F2F2"/>
        <w:ind w:right="-36"/>
        <w:rPr>
          <w:rStyle w:val="BookTitle"/>
          <w:rFonts w:ascii="Verdana" w:hAnsi="Verdana" w:cs="Calibri"/>
          <w:b/>
          <w:i w:val="0"/>
          <w:caps w:val="0"/>
          <w:spacing w:val="20"/>
          <w:sz w:val="17"/>
          <w:szCs w:val="17"/>
        </w:rPr>
      </w:pPr>
      <w:r w:rsidRPr="00B76984">
        <w:rPr>
          <w:rStyle w:val="BookTitle"/>
          <w:rFonts w:ascii="Verdana" w:hAnsi="Verdana" w:cs="Calibri"/>
          <w:spacing w:val="20"/>
          <w:sz w:val="17"/>
          <w:szCs w:val="17"/>
        </w:rPr>
        <w:t>Education</w:t>
      </w:r>
    </w:p>
    <w:p w14:paraId="684C2CF9" w14:textId="77777777" w:rsidR="00743C95" w:rsidRPr="006B3039" w:rsidRDefault="00743C95" w:rsidP="00743C95">
      <w:pPr>
        <w:widowControl w:val="0"/>
        <w:tabs>
          <w:tab w:val="left" w:pos="3240"/>
        </w:tabs>
        <w:spacing w:after="0" w:line="240" w:lineRule="auto"/>
        <w:jc w:val="both"/>
        <w:rPr>
          <w:rFonts w:ascii="Verdana" w:hAnsi="Verdana" w:cs="Tahoma"/>
          <w:b/>
          <w:smallCaps/>
          <w:sz w:val="10"/>
          <w:szCs w:val="10"/>
        </w:rPr>
      </w:pPr>
    </w:p>
    <w:p w14:paraId="4D664158" w14:textId="77777777" w:rsidR="00743C95" w:rsidRPr="00B76984" w:rsidRDefault="00743C95" w:rsidP="00743C95">
      <w:pPr>
        <w:widowControl w:val="0"/>
        <w:tabs>
          <w:tab w:val="left" w:pos="3240"/>
        </w:tabs>
        <w:spacing w:after="0" w:line="240" w:lineRule="auto"/>
        <w:jc w:val="both"/>
        <w:rPr>
          <w:rFonts w:ascii="Verdana" w:hAnsi="Verdana" w:cs="Tahoma"/>
          <w:b/>
          <w:smallCaps/>
          <w:sz w:val="17"/>
          <w:szCs w:val="17"/>
        </w:rPr>
      </w:pPr>
      <w:r w:rsidRPr="00B76984">
        <w:rPr>
          <w:rFonts w:ascii="Verdana" w:hAnsi="Verdana" w:cs="Tahoma"/>
          <w:b/>
          <w:smallCaps/>
          <w:sz w:val="17"/>
          <w:szCs w:val="17"/>
        </w:rPr>
        <w:t>Bachelor of Arts</w:t>
      </w:r>
    </w:p>
    <w:p w14:paraId="69225E0D" w14:textId="6E587448" w:rsidR="008D0C12" w:rsidRPr="00743C95" w:rsidRDefault="00743C95" w:rsidP="00743C95">
      <w:pPr>
        <w:widowControl w:val="0"/>
        <w:tabs>
          <w:tab w:val="left" w:pos="3240"/>
        </w:tabs>
        <w:spacing w:after="0" w:line="240" w:lineRule="auto"/>
        <w:jc w:val="both"/>
        <w:rPr>
          <w:rFonts w:ascii="Verdana" w:hAnsi="Verdana"/>
          <w:sz w:val="17"/>
          <w:szCs w:val="17"/>
        </w:rPr>
      </w:pPr>
      <w:r w:rsidRPr="00B76984">
        <w:rPr>
          <w:rFonts w:ascii="Verdana" w:hAnsi="Verdana" w:cs="Tahoma"/>
          <w:smallCaps/>
          <w:sz w:val="17"/>
          <w:szCs w:val="17"/>
        </w:rPr>
        <w:t>Binghamton University, Binghamton, NY</w:t>
      </w:r>
      <w:bookmarkEnd w:id="1"/>
    </w:p>
    <w:sectPr w:rsidR="008D0C12" w:rsidRPr="00743C95" w:rsidSect="00743C95">
      <w:headerReference w:type="even" r:id="rId7"/>
      <w:headerReference w:type="default" r:id="rId8"/>
      <w:footerReference w:type="even" r:id="rId9"/>
      <w:footerReference w:type="default" r:id="rId10"/>
      <w:headerReference w:type="first" r:id="rId11"/>
      <w:footerReference w:type="first" r:id="rId12"/>
      <w:pgSz w:w="12240" w:h="15840"/>
      <w:pgMar w:top="432" w:right="1008" w:bottom="432"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32D02" w14:textId="77777777" w:rsidR="00F113B8" w:rsidRDefault="00F113B8" w:rsidP="00743C95">
      <w:pPr>
        <w:spacing w:after="0" w:line="240" w:lineRule="auto"/>
      </w:pPr>
      <w:r>
        <w:separator/>
      </w:r>
    </w:p>
  </w:endnote>
  <w:endnote w:type="continuationSeparator" w:id="0">
    <w:p w14:paraId="56B9A617" w14:textId="77777777" w:rsidR="00F113B8" w:rsidRDefault="00F113B8" w:rsidP="0074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69294" w14:textId="77777777" w:rsidR="002F475E" w:rsidRDefault="002F4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CA6A" w14:textId="5EF0AF9F" w:rsidR="00743C95" w:rsidRPr="00743C95" w:rsidRDefault="00743C95" w:rsidP="00743C95">
    <w:pPr>
      <w:pStyle w:val="Footer"/>
      <w:tabs>
        <w:tab w:val="clear" w:pos="4680"/>
        <w:tab w:val="clear" w:pos="9360"/>
      </w:tabs>
      <w:jc w:val="center"/>
      <w:rPr>
        <w:rFonts w:ascii="Verdana" w:hAnsi="Verdana"/>
        <w:sz w:val="16"/>
        <w:szCs w:val="18"/>
      </w:rPr>
    </w:pPr>
    <w:r w:rsidRPr="009D5BEF">
      <w:rPr>
        <w:rFonts w:ascii="Verdana" w:hAnsi="Verdana"/>
        <w:sz w:val="16"/>
        <w:szCs w:val="18"/>
      </w:rPr>
      <w:t xml:space="preserve">Page </w:t>
    </w:r>
    <w:r w:rsidRPr="009D5BEF">
      <w:rPr>
        <w:rFonts w:ascii="Verdana" w:hAnsi="Verdana"/>
        <w:b/>
        <w:bCs/>
        <w:sz w:val="16"/>
        <w:szCs w:val="18"/>
      </w:rPr>
      <w:fldChar w:fldCharType="begin"/>
    </w:r>
    <w:r w:rsidRPr="009D5BEF">
      <w:rPr>
        <w:rFonts w:ascii="Verdana" w:hAnsi="Verdana"/>
        <w:b/>
        <w:bCs/>
        <w:sz w:val="16"/>
        <w:szCs w:val="18"/>
      </w:rPr>
      <w:instrText xml:space="preserve"> PAGE </w:instrText>
    </w:r>
    <w:r w:rsidRPr="009D5BEF">
      <w:rPr>
        <w:rFonts w:ascii="Verdana" w:hAnsi="Verdana"/>
        <w:b/>
        <w:bCs/>
        <w:sz w:val="16"/>
        <w:szCs w:val="18"/>
      </w:rPr>
      <w:fldChar w:fldCharType="separate"/>
    </w:r>
    <w:r>
      <w:rPr>
        <w:rFonts w:ascii="Verdana" w:hAnsi="Verdana"/>
        <w:b/>
        <w:bCs/>
        <w:sz w:val="16"/>
        <w:szCs w:val="18"/>
      </w:rPr>
      <w:t>1</w:t>
    </w:r>
    <w:r w:rsidRPr="009D5BEF">
      <w:rPr>
        <w:rFonts w:ascii="Verdana" w:hAnsi="Verdana"/>
        <w:b/>
        <w:bCs/>
        <w:sz w:val="16"/>
        <w:szCs w:val="18"/>
      </w:rPr>
      <w:fldChar w:fldCharType="end"/>
    </w:r>
    <w:r w:rsidRPr="009D5BEF">
      <w:rPr>
        <w:rFonts w:ascii="Verdana" w:hAnsi="Verdana"/>
        <w:sz w:val="16"/>
        <w:szCs w:val="18"/>
      </w:rPr>
      <w:t xml:space="preserve"> of </w:t>
    </w:r>
    <w:r w:rsidRPr="009D5BEF">
      <w:rPr>
        <w:rFonts w:ascii="Verdana" w:hAnsi="Verdana"/>
        <w:b/>
        <w:bCs/>
        <w:sz w:val="16"/>
        <w:szCs w:val="18"/>
      </w:rPr>
      <w:fldChar w:fldCharType="begin"/>
    </w:r>
    <w:r w:rsidRPr="009D5BEF">
      <w:rPr>
        <w:rFonts w:ascii="Verdana" w:hAnsi="Verdana"/>
        <w:b/>
        <w:bCs/>
        <w:sz w:val="16"/>
        <w:szCs w:val="18"/>
      </w:rPr>
      <w:instrText xml:space="preserve"> NUMPAGES  </w:instrText>
    </w:r>
    <w:r w:rsidRPr="009D5BEF">
      <w:rPr>
        <w:rFonts w:ascii="Verdana" w:hAnsi="Verdana"/>
        <w:b/>
        <w:bCs/>
        <w:sz w:val="16"/>
        <w:szCs w:val="18"/>
      </w:rPr>
      <w:fldChar w:fldCharType="separate"/>
    </w:r>
    <w:r>
      <w:rPr>
        <w:rFonts w:ascii="Verdana" w:hAnsi="Verdana"/>
        <w:b/>
        <w:bCs/>
        <w:sz w:val="16"/>
        <w:szCs w:val="18"/>
      </w:rPr>
      <w:t>2</w:t>
    </w:r>
    <w:r w:rsidRPr="009D5BEF">
      <w:rPr>
        <w:rFonts w:ascii="Verdana" w:hAnsi="Verdana"/>
        <w:b/>
        <w:bC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85540" w14:textId="77777777" w:rsidR="002F475E" w:rsidRDefault="002F4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F8E47" w14:textId="77777777" w:rsidR="00F113B8" w:rsidRDefault="00F113B8" w:rsidP="00743C95">
      <w:pPr>
        <w:spacing w:after="0" w:line="240" w:lineRule="auto"/>
      </w:pPr>
      <w:r>
        <w:separator/>
      </w:r>
    </w:p>
  </w:footnote>
  <w:footnote w:type="continuationSeparator" w:id="0">
    <w:p w14:paraId="6BFD131F" w14:textId="77777777" w:rsidR="00F113B8" w:rsidRDefault="00F113B8" w:rsidP="00743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87653" w14:textId="77777777" w:rsidR="002F475E" w:rsidRDefault="002F4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6F1F" w14:textId="4849DDD5" w:rsidR="00743C95" w:rsidRPr="003735F6" w:rsidRDefault="00743C95" w:rsidP="00743C95">
    <w:pPr>
      <w:pStyle w:val="Header"/>
      <w:pBdr>
        <w:bottom w:val="single" w:sz="4" w:space="1" w:color="95B3D7"/>
      </w:pBdr>
      <w:tabs>
        <w:tab w:val="clear" w:pos="4680"/>
        <w:tab w:val="clear" w:pos="9360"/>
      </w:tabs>
      <w:jc w:val="center"/>
      <w:rPr>
        <w:rFonts w:ascii="Verdana" w:hAnsi="Verdana"/>
        <w:smallCaps/>
        <w:spacing w:val="20"/>
        <w:sz w:val="40"/>
        <w:szCs w:val="19"/>
        <w14:shadow w14:blurRad="50800" w14:dist="38100" w14:dir="2700000" w14:sx="100000" w14:sy="100000" w14:kx="0" w14:ky="0" w14:algn="tl">
          <w14:srgbClr w14:val="000000">
            <w14:alpha w14:val="60000"/>
          </w14:srgbClr>
        </w14:shadow>
      </w:rPr>
    </w:pPr>
    <w:r w:rsidRPr="003735F6">
      <w:rPr>
        <w:rFonts w:ascii="Verdana" w:hAnsi="Verdana"/>
        <w:smallCaps/>
        <w:spacing w:val="20"/>
        <w:sz w:val="40"/>
        <w:szCs w:val="19"/>
        <w14:shadow w14:blurRad="50800" w14:dist="38100" w14:dir="2700000" w14:sx="100000" w14:sy="100000" w14:kx="0" w14:ky="0" w14:algn="tl">
          <w14:srgbClr w14:val="000000">
            <w14:alpha w14:val="60000"/>
          </w14:srgbClr>
        </w14:shadow>
      </w:rPr>
      <w:t>Marc Wishansky</w:t>
    </w:r>
  </w:p>
  <w:p w14:paraId="2A08C5F7" w14:textId="43D7DB5E" w:rsidR="00743C95" w:rsidRPr="009D5BEF" w:rsidRDefault="00743C95" w:rsidP="00743C95">
    <w:pPr>
      <w:pStyle w:val="Header"/>
      <w:tabs>
        <w:tab w:val="clear" w:pos="4680"/>
        <w:tab w:val="clear" w:pos="9360"/>
      </w:tabs>
      <w:jc w:val="center"/>
      <w:rPr>
        <w:rFonts w:ascii="Verdana" w:hAnsi="Verdana"/>
        <w:spacing w:val="10"/>
        <w:sz w:val="18"/>
        <w:szCs w:val="19"/>
      </w:rPr>
    </w:pPr>
    <w:r w:rsidRPr="009D5BEF">
      <w:rPr>
        <w:rFonts w:ascii="Verdana" w:hAnsi="Verdana"/>
        <w:spacing w:val="10"/>
        <w:sz w:val="18"/>
        <w:szCs w:val="19"/>
      </w:rPr>
      <w:sym w:font="Webdings" w:char="F048"/>
    </w:r>
    <w:r w:rsidRPr="009D5BEF">
      <w:rPr>
        <w:rFonts w:ascii="Verdana" w:hAnsi="Verdana"/>
        <w:spacing w:val="10"/>
        <w:sz w:val="18"/>
        <w:szCs w:val="19"/>
      </w:rPr>
      <w:t xml:space="preserve"> </w:t>
    </w:r>
    <w:r w:rsidR="00183CC1">
      <w:rPr>
        <w:rFonts w:ascii="Verdana" w:hAnsi="Verdana"/>
        <w:spacing w:val="10"/>
        <w:sz w:val="18"/>
        <w:szCs w:val="19"/>
      </w:rPr>
      <w:t>Boca Raton</w:t>
    </w:r>
    <w:r>
      <w:rPr>
        <w:rFonts w:ascii="Verdana" w:hAnsi="Verdana"/>
        <w:spacing w:val="10"/>
        <w:sz w:val="18"/>
        <w:szCs w:val="19"/>
      </w:rPr>
      <w:t xml:space="preserve">, </w:t>
    </w:r>
    <w:r w:rsidR="00183CC1">
      <w:rPr>
        <w:rFonts w:ascii="Verdana" w:hAnsi="Verdana"/>
        <w:spacing w:val="10"/>
        <w:sz w:val="18"/>
        <w:szCs w:val="19"/>
      </w:rPr>
      <w:t>FL</w:t>
    </w:r>
    <w:r>
      <w:rPr>
        <w:rFonts w:ascii="Verdana" w:hAnsi="Verdana"/>
        <w:spacing w:val="10"/>
        <w:sz w:val="18"/>
        <w:szCs w:val="19"/>
      </w:rPr>
      <w:t xml:space="preserve"> </w:t>
    </w:r>
    <w:r w:rsidR="00183CC1">
      <w:rPr>
        <w:rFonts w:ascii="Verdana" w:hAnsi="Verdana"/>
        <w:spacing w:val="10"/>
        <w:sz w:val="18"/>
        <w:szCs w:val="19"/>
      </w:rPr>
      <w:t>33428</w:t>
    </w:r>
    <w:r w:rsidRPr="009D5BEF">
      <w:rPr>
        <w:rFonts w:ascii="Verdana" w:hAnsi="Verdana"/>
        <w:spacing w:val="10"/>
        <w:sz w:val="18"/>
        <w:szCs w:val="19"/>
      </w:rPr>
      <w:t xml:space="preserve"> </w:t>
    </w:r>
  </w:p>
  <w:p w14:paraId="56C08C1A" w14:textId="0D000BD4" w:rsidR="00743C95" w:rsidRDefault="00743C95" w:rsidP="00743C95">
    <w:pPr>
      <w:pStyle w:val="Header"/>
      <w:tabs>
        <w:tab w:val="clear" w:pos="4680"/>
        <w:tab w:val="clear" w:pos="9360"/>
      </w:tabs>
      <w:jc w:val="center"/>
      <w:rPr>
        <w:rFonts w:ascii="Verdana" w:hAnsi="Verdana"/>
        <w:spacing w:val="10"/>
        <w:sz w:val="18"/>
        <w:szCs w:val="19"/>
      </w:rPr>
    </w:pPr>
    <w:r w:rsidRPr="009D5BEF">
      <w:rPr>
        <w:rFonts w:ascii="Verdana" w:hAnsi="Verdana"/>
        <w:spacing w:val="10"/>
        <w:sz w:val="18"/>
        <w:szCs w:val="19"/>
      </w:rPr>
      <w:sym w:font="Webdings" w:char="F0C8"/>
    </w:r>
    <w:r w:rsidRPr="009D5BEF">
      <w:rPr>
        <w:rFonts w:ascii="Verdana" w:hAnsi="Verdana"/>
        <w:spacing w:val="10"/>
        <w:sz w:val="18"/>
        <w:szCs w:val="19"/>
      </w:rPr>
      <w:t xml:space="preserve"> </w:t>
    </w:r>
    <w:r>
      <w:rPr>
        <w:rFonts w:ascii="Verdana" w:hAnsi="Verdana"/>
        <w:spacing w:val="10"/>
        <w:sz w:val="18"/>
        <w:szCs w:val="19"/>
      </w:rPr>
      <w:t>561</w:t>
    </w:r>
    <w:r w:rsidRPr="009D5BEF">
      <w:rPr>
        <w:rFonts w:ascii="Verdana" w:hAnsi="Verdana"/>
        <w:spacing w:val="10"/>
        <w:sz w:val="18"/>
        <w:szCs w:val="19"/>
      </w:rPr>
      <w:t>.</w:t>
    </w:r>
    <w:r>
      <w:rPr>
        <w:rFonts w:ascii="Verdana" w:hAnsi="Verdana"/>
        <w:spacing w:val="10"/>
        <w:sz w:val="18"/>
        <w:szCs w:val="19"/>
      </w:rPr>
      <w:t>325</w:t>
    </w:r>
    <w:r w:rsidRPr="009D5BEF">
      <w:rPr>
        <w:rFonts w:ascii="Verdana" w:hAnsi="Verdana"/>
        <w:spacing w:val="10"/>
        <w:sz w:val="18"/>
        <w:szCs w:val="19"/>
      </w:rPr>
      <w:t>.</w:t>
    </w:r>
    <w:r>
      <w:rPr>
        <w:rFonts w:ascii="Verdana" w:hAnsi="Verdana"/>
        <w:spacing w:val="10"/>
        <w:sz w:val="18"/>
        <w:szCs w:val="19"/>
      </w:rPr>
      <w:t>2944</w:t>
    </w:r>
    <w:r w:rsidRPr="009D5BEF">
      <w:rPr>
        <w:rFonts w:ascii="Verdana" w:hAnsi="Verdana"/>
        <w:spacing w:val="10"/>
        <w:sz w:val="18"/>
        <w:szCs w:val="19"/>
      </w:rPr>
      <w:t xml:space="preserve"> </w:t>
    </w:r>
    <w:r w:rsidRPr="009D5BEF">
      <w:rPr>
        <w:rFonts w:ascii="Verdana" w:hAnsi="Verdana"/>
        <w:spacing w:val="10"/>
        <w:sz w:val="18"/>
        <w:szCs w:val="19"/>
      </w:rPr>
      <w:sym w:font="Wingdings" w:char="F03A"/>
    </w:r>
    <w:r w:rsidRPr="009D5BEF">
      <w:rPr>
        <w:rFonts w:ascii="Verdana" w:hAnsi="Verdana"/>
        <w:spacing w:val="10"/>
        <w:sz w:val="18"/>
        <w:szCs w:val="19"/>
      </w:rPr>
      <w:t xml:space="preserve"> </w:t>
    </w:r>
    <w:hyperlink r:id="rId1" w:history="1">
      <w:r w:rsidR="007F75E5" w:rsidRPr="000D74FB">
        <w:rPr>
          <w:rStyle w:val="Hyperlink"/>
          <w:rFonts w:ascii="Verdana" w:hAnsi="Verdana"/>
          <w:spacing w:val="10"/>
          <w:sz w:val="18"/>
          <w:szCs w:val="19"/>
        </w:rPr>
        <w:t>marcwishansky@gmail.com</w:t>
      </w:r>
    </w:hyperlink>
  </w:p>
  <w:p w14:paraId="55D27A90" w14:textId="77777777" w:rsidR="007F75E5" w:rsidRDefault="007F75E5" w:rsidP="007F75E5">
    <w:pPr>
      <w:pStyle w:val="Header"/>
      <w:numPr>
        <w:ilvl w:val="0"/>
        <w:numId w:val="7"/>
      </w:numPr>
      <w:tabs>
        <w:tab w:val="clear" w:pos="4680"/>
        <w:tab w:val="clear" w:pos="9360"/>
      </w:tabs>
      <w:jc w:val="center"/>
      <w:rPr>
        <w:rFonts w:ascii="Verdana" w:hAnsi="Verdana"/>
        <w:spacing w:val="10"/>
        <w:sz w:val="18"/>
        <w:szCs w:val="19"/>
      </w:rPr>
    </w:pPr>
    <w:r w:rsidRPr="008F1D99">
      <w:rPr>
        <w:rFonts w:ascii="Verdana" w:hAnsi="Verdana"/>
        <w:spacing w:val="10"/>
        <w:sz w:val="18"/>
        <w:szCs w:val="19"/>
      </w:rPr>
      <w:t>https://www.linkedin.com/in/marcwishansky/</w:t>
    </w:r>
  </w:p>
  <w:p w14:paraId="24455701" w14:textId="77777777" w:rsidR="00743C95" w:rsidRPr="007F75E5" w:rsidRDefault="00743C9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488F" w14:textId="77777777" w:rsidR="002F475E" w:rsidRDefault="002F4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icons.iconarchive.com/icons/custom-icon-design/pretty-social-media/16/Linkedin-icon.png" style="width:12pt;height:12pt;visibility:visible;mso-wrap-style:square" o:bullet="t">
        <v:imagedata r:id="rId1" o:title="Linkedin-icon"/>
      </v:shape>
    </w:pict>
  </w:numPicBullet>
  <w:abstractNum w:abstractNumId="0" w15:restartNumberingAfterBreak="0">
    <w:nsid w:val="0B0739C8"/>
    <w:multiLevelType w:val="hybridMultilevel"/>
    <w:tmpl w:val="0058804A"/>
    <w:lvl w:ilvl="0" w:tplc="6A56C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A2096"/>
    <w:multiLevelType w:val="hybridMultilevel"/>
    <w:tmpl w:val="C0728C1A"/>
    <w:lvl w:ilvl="0" w:tplc="6A56C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E3728"/>
    <w:multiLevelType w:val="multilevel"/>
    <w:tmpl w:val="8F066F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86E21EA"/>
    <w:multiLevelType w:val="hybridMultilevel"/>
    <w:tmpl w:val="87184716"/>
    <w:lvl w:ilvl="0" w:tplc="6A56C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373B3"/>
    <w:multiLevelType w:val="multilevel"/>
    <w:tmpl w:val="E81C0E22"/>
    <w:lvl w:ilvl="0">
      <w:start w:val="1"/>
      <w:numFmt w:val="bullet"/>
      <w:lvlText w:val=""/>
      <w:lvlJc w:val="left"/>
      <w:pPr>
        <w:ind w:left="753" w:hanging="360"/>
      </w:pPr>
      <w:rPr>
        <w:rFonts w:ascii="Symbol" w:hAnsi="Symbol" w:cs="Symbol" w:hint="default"/>
      </w:rPr>
    </w:lvl>
    <w:lvl w:ilvl="1">
      <w:start w:val="1"/>
      <w:numFmt w:val="bullet"/>
      <w:lvlText w:val="o"/>
      <w:lvlJc w:val="left"/>
      <w:pPr>
        <w:ind w:left="1473" w:hanging="360"/>
      </w:pPr>
      <w:rPr>
        <w:rFonts w:ascii="Courier New" w:hAnsi="Courier New" w:cs="Courier New"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Symbol" w:hint="default"/>
      </w:rPr>
    </w:lvl>
    <w:lvl w:ilvl="4">
      <w:start w:val="1"/>
      <w:numFmt w:val="bullet"/>
      <w:lvlText w:val="o"/>
      <w:lvlJc w:val="left"/>
      <w:pPr>
        <w:ind w:left="3633" w:hanging="360"/>
      </w:pPr>
      <w:rPr>
        <w:rFonts w:ascii="Courier New" w:hAnsi="Courier New" w:cs="Courier New"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Symbol" w:hint="default"/>
      </w:rPr>
    </w:lvl>
    <w:lvl w:ilvl="7">
      <w:start w:val="1"/>
      <w:numFmt w:val="bullet"/>
      <w:lvlText w:val="o"/>
      <w:lvlJc w:val="left"/>
      <w:pPr>
        <w:ind w:left="5793" w:hanging="360"/>
      </w:pPr>
      <w:rPr>
        <w:rFonts w:ascii="Courier New" w:hAnsi="Courier New" w:cs="Courier New" w:hint="default"/>
      </w:rPr>
    </w:lvl>
    <w:lvl w:ilvl="8">
      <w:start w:val="1"/>
      <w:numFmt w:val="bullet"/>
      <w:lvlText w:val=""/>
      <w:lvlJc w:val="left"/>
      <w:pPr>
        <w:ind w:left="6513" w:hanging="360"/>
      </w:pPr>
      <w:rPr>
        <w:rFonts w:ascii="Wingdings" w:hAnsi="Wingdings" w:cs="Wingdings" w:hint="default"/>
      </w:rPr>
    </w:lvl>
  </w:abstractNum>
  <w:abstractNum w:abstractNumId="5" w15:restartNumberingAfterBreak="0">
    <w:nsid w:val="748D093B"/>
    <w:multiLevelType w:val="hybridMultilevel"/>
    <w:tmpl w:val="75CA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B5707"/>
    <w:multiLevelType w:val="hybridMultilevel"/>
    <w:tmpl w:val="FD54043A"/>
    <w:lvl w:ilvl="0" w:tplc="6D78F996">
      <w:start w:val="1"/>
      <w:numFmt w:val="bullet"/>
      <w:lvlText w:val=""/>
      <w:lvlPicBulletId w:val="0"/>
      <w:lvlJc w:val="left"/>
      <w:pPr>
        <w:tabs>
          <w:tab w:val="num" w:pos="720"/>
        </w:tabs>
        <w:ind w:left="720" w:hanging="360"/>
      </w:pPr>
      <w:rPr>
        <w:rFonts w:ascii="Symbol" w:hAnsi="Symbol" w:hint="default"/>
      </w:rPr>
    </w:lvl>
    <w:lvl w:ilvl="1" w:tplc="ADE839FA" w:tentative="1">
      <w:start w:val="1"/>
      <w:numFmt w:val="bullet"/>
      <w:lvlText w:val=""/>
      <w:lvlJc w:val="left"/>
      <w:pPr>
        <w:tabs>
          <w:tab w:val="num" w:pos="1440"/>
        </w:tabs>
        <w:ind w:left="1440" w:hanging="360"/>
      </w:pPr>
      <w:rPr>
        <w:rFonts w:ascii="Symbol" w:hAnsi="Symbol" w:hint="default"/>
      </w:rPr>
    </w:lvl>
    <w:lvl w:ilvl="2" w:tplc="AFAE302C" w:tentative="1">
      <w:start w:val="1"/>
      <w:numFmt w:val="bullet"/>
      <w:lvlText w:val=""/>
      <w:lvlJc w:val="left"/>
      <w:pPr>
        <w:tabs>
          <w:tab w:val="num" w:pos="2160"/>
        </w:tabs>
        <w:ind w:left="2160" w:hanging="360"/>
      </w:pPr>
      <w:rPr>
        <w:rFonts w:ascii="Symbol" w:hAnsi="Symbol" w:hint="default"/>
      </w:rPr>
    </w:lvl>
    <w:lvl w:ilvl="3" w:tplc="65FA8E62" w:tentative="1">
      <w:start w:val="1"/>
      <w:numFmt w:val="bullet"/>
      <w:lvlText w:val=""/>
      <w:lvlJc w:val="left"/>
      <w:pPr>
        <w:tabs>
          <w:tab w:val="num" w:pos="2880"/>
        </w:tabs>
        <w:ind w:left="2880" w:hanging="360"/>
      </w:pPr>
      <w:rPr>
        <w:rFonts w:ascii="Symbol" w:hAnsi="Symbol" w:hint="default"/>
      </w:rPr>
    </w:lvl>
    <w:lvl w:ilvl="4" w:tplc="C5C6C73A" w:tentative="1">
      <w:start w:val="1"/>
      <w:numFmt w:val="bullet"/>
      <w:lvlText w:val=""/>
      <w:lvlJc w:val="left"/>
      <w:pPr>
        <w:tabs>
          <w:tab w:val="num" w:pos="3600"/>
        </w:tabs>
        <w:ind w:left="3600" w:hanging="360"/>
      </w:pPr>
      <w:rPr>
        <w:rFonts w:ascii="Symbol" w:hAnsi="Symbol" w:hint="default"/>
      </w:rPr>
    </w:lvl>
    <w:lvl w:ilvl="5" w:tplc="B338E720" w:tentative="1">
      <w:start w:val="1"/>
      <w:numFmt w:val="bullet"/>
      <w:lvlText w:val=""/>
      <w:lvlJc w:val="left"/>
      <w:pPr>
        <w:tabs>
          <w:tab w:val="num" w:pos="4320"/>
        </w:tabs>
        <w:ind w:left="4320" w:hanging="360"/>
      </w:pPr>
      <w:rPr>
        <w:rFonts w:ascii="Symbol" w:hAnsi="Symbol" w:hint="default"/>
      </w:rPr>
    </w:lvl>
    <w:lvl w:ilvl="6" w:tplc="340C2824" w:tentative="1">
      <w:start w:val="1"/>
      <w:numFmt w:val="bullet"/>
      <w:lvlText w:val=""/>
      <w:lvlJc w:val="left"/>
      <w:pPr>
        <w:tabs>
          <w:tab w:val="num" w:pos="5040"/>
        </w:tabs>
        <w:ind w:left="5040" w:hanging="360"/>
      </w:pPr>
      <w:rPr>
        <w:rFonts w:ascii="Symbol" w:hAnsi="Symbol" w:hint="default"/>
      </w:rPr>
    </w:lvl>
    <w:lvl w:ilvl="7" w:tplc="7B607C9E" w:tentative="1">
      <w:start w:val="1"/>
      <w:numFmt w:val="bullet"/>
      <w:lvlText w:val=""/>
      <w:lvlJc w:val="left"/>
      <w:pPr>
        <w:tabs>
          <w:tab w:val="num" w:pos="5760"/>
        </w:tabs>
        <w:ind w:left="5760" w:hanging="360"/>
      </w:pPr>
      <w:rPr>
        <w:rFonts w:ascii="Symbol" w:hAnsi="Symbol" w:hint="default"/>
      </w:rPr>
    </w:lvl>
    <w:lvl w:ilvl="8" w:tplc="2C4CCE6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95"/>
    <w:rsid w:val="001162FD"/>
    <w:rsid w:val="00183CC1"/>
    <w:rsid w:val="0018788C"/>
    <w:rsid w:val="001C7199"/>
    <w:rsid w:val="001F0385"/>
    <w:rsid w:val="0027022D"/>
    <w:rsid w:val="002D4FBF"/>
    <w:rsid w:val="002F475E"/>
    <w:rsid w:val="00493F13"/>
    <w:rsid w:val="00541156"/>
    <w:rsid w:val="00641A31"/>
    <w:rsid w:val="00743C95"/>
    <w:rsid w:val="007F75E5"/>
    <w:rsid w:val="00A25AA1"/>
    <w:rsid w:val="00A43AD0"/>
    <w:rsid w:val="00A93E0B"/>
    <w:rsid w:val="00BF750B"/>
    <w:rsid w:val="00CC3B51"/>
    <w:rsid w:val="00DB456B"/>
    <w:rsid w:val="00E31DBC"/>
    <w:rsid w:val="00EE788A"/>
    <w:rsid w:val="00F11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DFB09"/>
  <w15:chartTrackingRefBased/>
  <w15:docId w15:val="{1453E327-E0F0-4831-898C-30B9BA0B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C9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C95"/>
  </w:style>
  <w:style w:type="paragraph" w:styleId="Footer">
    <w:name w:val="footer"/>
    <w:basedOn w:val="Normal"/>
    <w:link w:val="FooterChar"/>
    <w:uiPriority w:val="99"/>
    <w:unhideWhenUsed/>
    <w:rsid w:val="0074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C95"/>
  </w:style>
  <w:style w:type="paragraph" w:styleId="ListParagraph">
    <w:name w:val="List Paragraph"/>
    <w:basedOn w:val="Normal"/>
    <w:uiPriority w:val="34"/>
    <w:qFormat/>
    <w:rsid w:val="00743C95"/>
    <w:pPr>
      <w:ind w:left="720"/>
      <w:contextualSpacing/>
    </w:pPr>
    <w:rPr>
      <w:rFonts w:eastAsia="SimSun"/>
      <w:lang w:eastAsia="zh-CN"/>
    </w:rPr>
  </w:style>
  <w:style w:type="paragraph" w:styleId="NoSpacing">
    <w:name w:val="No Spacing"/>
    <w:link w:val="NoSpacingChar"/>
    <w:uiPriority w:val="1"/>
    <w:qFormat/>
    <w:rsid w:val="00743C95"/>
    <w:pPr>
      <w:spacing w:after="0" w:line="240" w:lineRule="auto"/>
      <w:jc w:val="both"/>
    </w:pPr>
    <w:rPr>
      <w:rFonts w:ascii="Cambria" w:eastAsia="Calibri" w:hAnsi="Cambria" w:cs="Times New Roman"/>
      <w:sz w:val="19"/>
      <w:szCs w:val="19"/>
    </w:rPr>
  </w:style>
  <w:style w:type="character" w:customStyle="1" w:styleId="NoSpacingChar">
    <w:name w:val="No Spacing Char"/>
    <w:link w:val="NoSpacing"/>
    <w:uiPriority w:val="1"/>
    <w:locked/>
    <w:rsid w:val="00743C95"/>
    <w:rPr>
      <w:rFonts w:ascii="Cambria" w:eastAsia="Calibri" w:hAnsi="Cambria" w:cs="Times New Roman"/>
      <w:sz w:val="19"/>
      <w:szCs w:val="19"/>
    </w:rPr>
  </w:style>
  <w:style w:type="paragraph" w:styleId="Title">
    <w:name w:val="Title"/>
    <w:basedOn w:val="Normal"/>
    <w:link w:val="TitleChar"/>
    <w:qFormat/>
    <w:rsid w:val="00743C95"/>
    <w:pPr>
      <w:spacing w:after="0" w:line="240" w:lineRule="auto"/>
      <w:jc w:val="center"/>
    </w:pPr>
    <w:rPr>
      <w:rFonts w:ascii="Arial" w:eastAsia="Times New Roman" w:hAnsi="Arial"/>
      <w:b/>
      <w:smallCaps/>
      <w:sz w:val="38"/>
      <w:szCs w:val="24"/>
    </w:rPr>
  </w:style>
  <w:style w:type="character" w:customStyle="1" w:styleId="TitleChar">
    <w:name w:val="Title Char"/>
    <w:basedOn w:val="DefaultParagraphFont"/>
    <w:link w:val="Title"/>
    <w:rsid w:val="00743C95"/>
    <w:rPr>
      <w:rFonts w:ascii="Arial" w:eastAsia="Times New Roman" w:hAnsi="Arial" w:cs="Times New Roman"/>
      <w:b/>
      <w:smallCaps/>
      <w:sz w:val="38"/>
      <w:szCs w:val="24"/>
    </w:rPr>
  </w:style>
  <w:style w:type="character" w:styleId="BookTitle">
    <w:name w:val="Book Title"/>
    <w:uiPriority w:val="33"/>
    <w:qFormat/>
    <w:rsid w:val="00743C95"/>
    <w:rPr>
      <w:rFonts w:ascii="Trebuchet MS" w:hAnsi="Trebuchet MS"/>
      <w:b/>
      <w:bCs/>
      <w:i/>
      <w:iCs/>
      <w:caps/>
      <w:smallCaps w:val="0"/>
      <w:strike w:val="0"/>
      <w:dstrike w:val="0"/>
      <w:shadow w:val="0"/>
      <w:emboss w:val="0"/>
      <w:imprint w:val="0"/>
      <w:vanish w:val="0"/>
      <w:spacing w:val="5"/>
      <w:sz w:val="20"/>
      <w:vertAlign w:val="baseline"/>
    </w:rPr>
  </w:style>
  <w:style w:type="character" w:styleId="Hyperlink">
    <w:name w:val="Hyperlink"/>
    <w:basedOn w:val="DefaultParagraphFont"/>
    <w:uiPriority w:val="99"/>
    <w:unhideWhenUsed/>
    <w:rsid w:val="007F75E5"/>
    <w:rPr>
      <w:color w:val="0563C1" w:themeColor="hyperlink"/>
      <w:u w:val="single"/>
    </w:rPr>
  </w:style>
  <w:style w:type="character" w:styleId="UnresolvedMention">
    <w:name w:val="Unresolved Mention"/>
    <w:basedOn w:val="DefaultParagraphFont"/>
    <w:uiPriority w:val="99"/>
    <w:semiHidden/>
    <w:unhideWhenUsed/>
    <w:rsid w:val="007F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arcwishansk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Wishansky, Marc</dc:creator>
  <cp:keywords/>
  <dc:description/>
  <cp:lastModifiedBy>USER</cp:lastModifiedBy>
  <cp:revision>7</cp:revision>
  <dcterms:created xsi:type="dcterms:W3CDTF">2018-11-12T15:38:00Z</dcterms:created>
  <dcterms:modified xsi:type="dcterms:W3CDTF">2019-03-20T16:28:00Z</dcterms:modified>
</cp:coreProperties>
</file>