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553BFF2C238249FEBCAC6CC33068A6F1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501"/>
            <w:gridCol w:w="1028"/>
          </w:tblGrid>
          <w:tr w:rsidR="00EB5556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EB5556" w:rsidRDefault="00354C06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7E6FAC08C4574ECF91B19CC09EA87BAA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F56F52">
                      <w:rPr>
                        <w:b w:val="0"/>
                        <w:bCs/>
                      </w:rPr>
                      <w:t>Rose, Stacey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EB5556" w:rsidRDefault="00D93E97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5C0657D9" wp14:editId="7A650249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16F24601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EB5556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EB5556" w:rsidRDefault="00354C06" w:rsidP="00B202CD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A740AAC5988049019E3D2837F5163500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B202CD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1352 Maple Knoll ct, lawrenceburg, IN 47025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EB5556" w:rsidRDefault="00EB5556">
                <w:pPr>
                  <w:pStyle w:val="NoSpacing"/>
                </w:pPr>
              </w:p>
            </w:tc>
          </w:tr>
          <w:tr w:rsidR="00EB5556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B5556" w:rsidRDefault="00354C06" w:rsidP="00721880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44D7DBF18E784F4BA11CB8DF33EC2D1A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721880">
                      <w:rPr>
                        <w:color w:val="93A299" w:themeColor="accent1"/>
                        <w:sz w:val="18"/>
                        <w:szCs w:val="18"/>
                      </w:rPr>
                      <w:t>812.655.2444</w:t>
                    </w:r>
                  </w:sdtContent>
                </w:sdt>
                <w:r w:rsidR="00D93E97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D93E97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EE0D2EE5ECF44D10901C53A639C930D8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B202CD">
                      <w:rPr>
                        <w:color w:val="93A299" w:themeColor="accent1"/>
                        <w:sz w:val="18"/>
                        <w:szCs w:val="18"/>
                      </w:rPr>
                      <w:t>Staceydrose@yahoo</w:t>
                    </w:r>
                    <w:r w:rsidR="00721880">
                      <w:rPr>
                        <w:color w:val="93A299" w:themeColor="accent1"/>
                        <w:sz w:val="18"/>
                        <w:szCs w:val="18"/>
                      </w:rPr>
                      <w:t>.com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B5556" w:rsidRDefault="00EB5556">
                <w:pPr>
                  <w:pStyle w:val="NoSpacing"/>
                </w:pPr>
              </w:p>
            </w:tc>
          </w:tr>
        </w:tbl>
        <w:p w:rsidR="00EB5556" w:rsidRDefault="00354C06">
          <w:pPr>
            <w:rPr>
              <w:b/>
              <w:bCs/>
            </w:rPr>
          </w:pPr>
        </w:p>
      </w:sdtContent>
    </w:sdt>
    <w:p w:rsidR="00EB5556" w:rsidRDefault="00D93E97">
      <w:pPr>
        <w:pStyle w:val="SectionHeading"/>
      </w:pPr>
      <w:r>
        <w:t>Objectives</w:t>
      </w:r>
    </w:p>
    <w:p w:rsidR="00EB5556" w:rsidRDefault="00891ED3">
      <w:r>
        <w:t>S</w:t>
      </w:r>
      <w:r w:rsidR="00721880" w:rsidRPr="00721880">
        <w:t xml:space="preserve">uccessful Human Resources </w:t>
      </w:r>
      <w:r w:rsidR="00B202CD">
        <w:t>&amp; Labor Relations professional with over 16</w:t>
      </w:r>
      <w:r w:rsidR="00721880" w:rsidRPr="00721880">
        <w:t xml:space="preserve"> years of progressive HR and Operations experience in</w:t>
      </w:r>
      <w:r w:rsidR="00721880">
        <w:t xml:space="preserve"> the food and beverage industry </w:t>
      </w:r>
      <w:r w:rsidR="009C5EBE">
        <w:t>supporting plant leadership teams and the Corporate MFG Leadership Team</w:t>
      </w:r>
      <w:r w:rsidR="00721880">
        <w:t xml:space="preserve">. </w:t>
      </w:r>
      <w:r w:rsidR="00721880" w:rsidRPr="00721880">
        <w:t xml:space="preserve"> </w:t>
      </w:r>
      <w:r w:rsidR="009C5EBE">
        <w:t xml:space="preserve">Instrumental in development of the Manufacturing Registered Apprenticeship Program, in partnership with the DOL/Office of Apprenticeship </w:t>
      </w:r>
      <w:r w:rsidR="00FC3E1D">
        <w:t xml:space="preserve">(federal and state) </w:t>
      </w:r>
      <w:r w:rsidR="009C5EBE">
        <w:t xml:space="preserve">and Kroger Manufacturing plants. </w:t>
      </w:r>
    </w:p>
    <w:p w:rsidR="00EB5556" w:rsidRDefault="00D93E97">
      <w:pPr>
        <w:pStyle w:val="SectionHeading"/>
      </w:pPr>
      <w:r>
        <w:t>Experience</w:t>
      </w:r>
    </w:p>
    <w:p w:rsidR="00EB5556" w:rsidRDefault="00B202CD">
      <w:pPr>
        <w:pStyle w:val="Subsection"/>
        <w:rPr>
          <w:vanish/>
          <w:specVanish/>
        </w:rPr>
      </w:pPr>
      <w:r>
        <w:t>S</w:t>
      </w:r>
      <w:r w:rsidR="00FB7B48">
        <w:t>enio</w:t>
      </w:r>
      <w:r>
        <w:t xml:space="preserve">r </w:t>
      </w:r>
      <w:r w:rsidR="00721880">
        <w:t>Manager of Human Resources &amp; Labor Relations</w:t>
      </w:r>
    </w:p>
    <w:p w:rsidR="00EB5556" w:rsidRDefault="00D93E97">
      <w:pPr>
        <w:pStyle w:val="NoSpacing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 w:rsidR="00721880">
        <w:t>11/1/12</w:t>
      </w:r>
      <w:r>
        <w:t xml:space="preserve"> - </w:t>
      </w:r>
      <w:r w:rsidR="00721880">
        <w:t>Present</w:t>
      </w:r>
    </w:p>
    <w:p w:rsidR="00EB5556" w:rsidRDefault="00721880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The </w:t>
      </w:r>
      <w:r w:rsidRPr="00721880">
        <w:rPr>
          <w:color w:val="564B3C" w:themeColor="text2"/>
        </w:rPr>
        <w:t>Kroger Co.</w:t>
      </w:r>
      <w:r w:rsidR="00D93E97">
        <w:rPr>
          <w:color w:val="564B3C" w:themeColor="text2"/>
          <w:spacing w:val="24"/>
        </w:rPr>
        <w:t xml:space="preserve"> </w:t>
      </w:r>
      <w:r w:rsidR="00D93E97"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r>
        <w:rPr>
          <w:color w:val="564B3C" w:themeColor="text2"/>
        </w:rPr>
        <w:t>1014 Vine St., Cincinnati</w:t>
      </w:r>
      <w:r w:rsidR="00B067E3">
        <w:rPr>
          <w:color w:val="564B3C" w:themeColor="text2"/>
        </w:rPr>
        <w:t xml:space="preserve"> OH 45202</w:t>
      </w:r>
    </w:p>
    <w:p w:rsidR="00EB5556" w:rsidRDefault="00B067E3" w:rsidP="00891ED3">
      <w:pPr>
        <w:pStyle w:val="ListParagraph"/>
        <w:numPr>
          <w:ilvl w:val="0"/>
          <w:numId w:val="7"/>
        </w:numPr>
        <w:spacing w:after="0" w:line="276" w:lineRule="auto"/>
        <w:rPr>
          <w:color w:val="000000" w:themeColor="text1" w:themeShade="BF"/>
        </w:rPr>
      </w:pPr>
      <w:r w:rsidRPr="00B067E3">
        <w:rPr>
          <w:color w:val="000000" w:themeColor="text1" w:themeShade="BF"/>
        </w:rPr>
        <w:t>Performed as chief Company representative and lead negotiator during contract negotiations</w:t>
      </w:r>
      <w:r w:rsidR="00B202CD">
        <w:rPr>
          <w:color w:val="000000" w:themeColor="text1" w:themeShade="BF"/>
        </w:rPr>
        <w:t xml:space="preserve"> (approximately 22 labor contracts total)</w:t>
      </w:r>
    </w:p>
    <w:p w:rsidR="00F84E5A" w:rsidRDefault="00F84E5A" w:rsidP="00891ED3">
      <w:pPr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Successfully defended several non-union plants during contentious union campaigns, winning two elections (BCTGM in Greensburg, IN and UFCW in Denver, CO)</w:t>
      </w:r>
      <w:r w:rsidR="00C356D5">
        <w:rPr>
          <w:sz w:val="20"/>
          <w:szCs w:val="20"/>
        </w:rPr>
        <w:t xml:space="preserve"> </w:t>
      </w:r>
    </w:p>
    <w:p w:rsidR="00F84E5A" w:rsidRDefault="00F84E5A" w:rsidP="00891ED3">
      <w:pPr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Successfully implemented a Last, Best &amp; Final Offer (LBFO) after reaching impasse in bargaining with BCTGM</w:t>
      </w:r>
    </w:p>
    <w:p w:rsidR="00891ED3" w:rsidRDefault="00891ED3" w:rsidP="00891ED3">
      <w:pPr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Negotiate mid-term Letters of Agreement and interpretation of collective bargaining agreement</w:t>
      </w:r>
      <w:r w:rsidR="00BD2852">
        <w:rPr>
          <w:sz w:val="20"/>
          <w:szCs w:val="20"/>
        </w:rPr>
        <w:t>, as needed</w:t>
      </w:r>
    </w:p>
    <w:p w:rsidR="00891ED3" w:rsidRDefault="00891ED3" w:rsidP="00891ED3">
      <w:pPr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Advise</w:t>
      </w:r>
      <w:r w:rsidR="00BD2852">
        <w:rPr>
          <w:sz w:val="20"/>
          <w:szCs w:val="20"/>
        </w:rPr>
        <w:t>d</w:t>
      </w:r>
      <w:r>
        <w:rPr>
          <w:sz w:val="20"/>
          <w:szCs w:val="20"/>
        </w:rPr>
        <w:t xml:space="preserve"> and counsel</w:t>
      </w:r>
      <w:r w:rsidR="00BD2852">
        <w:rPr>
          <w:sz w:val="20"/>
          <w:szCs w:val="20"/>
        </w:rPr>
        <w:t>ed</w:t>
      </w:r>
      <w:r>
        <w:rPr>
          <w:sz w:val="20"/>
          <w:szCs w:val="20"/>
        </w:rPr>
        <w:t xml:space="preserve"> division </w:t>
      </w:r>
      <w:r w:rsidR="00370179">
        <w:rPr>
          <w:sz w:val="20"/>
          <w:szCs w:val="20"/>
        </w:rPr>
        <w:t xml:space="preserve">(35 manufacturing plants, and 400 corporate support department managers/associates) </w:t>
      </w:r>
      <w:r>
        <w:rPr>
          <w:sz w:val="20"/>
          <w:szCs w:val="20"/>
        </w:rPr>
        <w:t>on collective bargaining agreement</w:t>
      </w:r>
      <w:r w:rsidR="00BD2852">
        <w:rPr>
          <w:sz w:val="20"/>
          <w:szCs w:val="20"/>
        </w:rPr>
        <w:t>, management and hourly compensation, leadership development</w:t>
      </w:r>
      <w:r>
        <w:rPr>
          <w:sz w:val="20"/>
          <w:szCs w:val="20"/>
        </w:rPr>
        <w:t xml:space="preserve"> </w:t>
      </w:r>
      <w:r w:rsidR="00BD2852">
        <w:rPr>
          <w:sz w:val="20"/>
          <w:szCs w:val="20"/>
        </w:rPr>
        <w:t xml:space="preserve">and other associate relations </w:t>
      </w:r>
      <w:r>
        <w:rPr>
          <w:sz w:val="20"/>
          <w:szCs w:val="20"/>
        </w:rPr>
        <w:t xml:space="preserve">issues </w:t>
      </w:r>
    </w:p>
    <w:p w:rsidR="00891ED3" w:rsidRDefault="00891ED3" w:rsidP="00891ED3">
      <w:pPr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Review</w:t>
      </w:r>
      <w:r w:rsidR="00B202CD"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  <w:r w:rsidR="00B202CD">
        <w:rPr>
          <w:sz w:val="20"/>
          <w:szCs w:val="20"/>
        </w:rPr>
        <w:t xml:space="preserve">and responded to </w:t>
      </w:r>
      <w:r>
        <w:rPr>
          <w:sz w:val="20"/>
          <w:szCs w:val="20"/>
        </w:rPr>
        <w:t>National Labor Relations Board and other related administrative charges for handling labor relations matters</w:t>
      </w:r>
    </w:p>
    <w:p w:rsidR="00BD2852" w:rsidRDefault="00BD2852" w:rsidP="00891ED3">
      <w:pPr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Reviewed and responded to EEOC complaint</w:t>
      </w:r>
      <w:r w:rsidR="00B202CD">
        <w:rPr>
          <w:sz w:val="20"/>
          <w:szCs w:val="20"/>
        </w:rPr>
        <w:t>s and charges for division</w:t>
      </w:r>
      <w:r>
        <w:rPr>
          <w:sz w:val="20"/>
          <w:szCs w:val="20"/>
        </w:rPr>
        <w:t>, in conference with legal</w:t>
      </w:r>
    </w:p>
    <w:p w:rsidR="00891ED3" w:rsidRDefault="00891ED3" w:rsidP="00891ED3">
      <w:pPr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Establish</w:t>
      </w:r>
      <w:r w:rsidR="00BD2852">
        <w:rPr>
          <w:sz w:val="20"/>
          <w:szCs w:val="20"/>
        </w:rPr>
        <w:t>ed</w:t>
      </w:r>
      <w:r>
        <w:rPr>
          <w:sz w:val="20"/>
          <w:szCs w:val="20"/>
        </w:rPr>
        <w:t xml:space="preserve"> and maintain</w:t>
      </w:r>
      <w:r w:rsidR="00BD2852">
        <w:rPr>
          <w:sz w:val="20"/>
          <w:szCs w:val="20"/>
        </w:rPr>
        <w:t>ed</w:t>
      </w:r>
      <w:r>
        <w:rPr>
          <w:sz w:val="20"/>
          <w:szCs w:val="20"/>
        </w:rPr>
        <w:t xml:space="preserve"> effective communication with Union and bargaining partners</w:t>
      </w:r>
    </w:p>
    <w:p w:rsidR="00891ED3" w:rsidRDefault="00891ED3" w:rsidP="00891ED3">
      <w:pPr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Partner</w:t>
      </w:r>
      <w:r w:rsidR="00BD2852">
        <w:rPr>
          <w:sz w:val="20"/>
          <w:szCs w:val="20"/>
        </w:rPr>
        <w:t>ed</w:t>
      </w:r>
      <w:r>
        <w:rPr>
          <w:sz w:val="20"/>
          <w:szCs w:val="20"/>
        </w:rPr>
        <w:t xml:space="preserve"> with Corporate Labor Relations to assure consistency</w:t>
      </w:r>
    </w:p>
    <w:p w:rsidR="00891ED3" w:rsidRDefault="00891ED3" w:rsidP="00891ED3">
      <w:pPr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Ensure</w:t>
      </w:r>
      <w:r w:rsidR="00BD2852">
        <w:rPr>
          <w:sz w:val="20"/>
          <w:szCs w:val="20"/>
        </w:rPr>
        <w:t>d</w:t>
      </w:r>
      <w:r>
        <w:rPr>
          <w:sz w:val="20"/>
          <w:szCs w:val="20"/>
        </w:rPr>
        <w:t xml:space="preserve"> compliance with all federal, state and local labor and employment laws and regulations</w:t>
      </w:r>
    </w:p>
    <w:p w:rsidR="00891ED3" w:rsidRPr="00BD2852" w:rsidRDefault="00891ED3" w:rsidP="00BD2852">
      <w:pPr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Use</w:t>
      </w:r>
      <w:r w:rsidR="00BD2852">
        <w:rPr>
          <w:sz w:val="20"/>
          <w:szCs w:val="20"/>
        </w:rPr>
        <w:t>d</w:t>
      </w:r>
      <w:r>
        <w:rPr>
          <w:sz w:val="20"/>
          <w:szCs w:val="20"/>
        </w:rPr>
        <w:t xml:space="preserve"> all available HR technology to efficiently and effectively provide support to HR/people processes</w:t>
      </w:r>
    </w:p>
    <w:p w:rsidR="00891ED3" w:rsidRDefault="00BD2852" w:rsidP="00891ED3">
      <w:pPr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Provided relevant compensation data to division, and m</w:t>
      </w:r>
      <w:r w:rsidR="00891ED3">
        <w:rPr>
          <w:sz w:val="20"/>
          <w:szCs w:val="20"/>
        </w:rPr>
        <w:t>aintain</w:t>
      </w:r>
      <w:r>
        <w:rPr>
          <w:sz w:val="20"/>
          <w:szCs w:val="20"/>
        </w:rPr>
        <w:t>ed</w:t>
      </w:r>
      <w:r w:rsidR="00891ED3">
        <w:rPr>
          <w:sz w:val="20"/>
          <w:szCs w:val="20"/>
        </w:rPr>
        <w:t xml:space="preserve"> non-union hourly compensation schedules based on prevailing local market conditions</w:t>
      </w:r>
    </w:p>
    <w:p w:rsidR="00891ED3" w:rsidRDefault="00891ED3" w:rsidP="00891ED3">
      <w:pPr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Coach</w:t>
      </w:r>
      <w:r w:rsidR="00BD2852">
        <w:rPr>
          <w:sz w:val="20"/>
          <w:szCs w:val="20"/>
        </w:rPr>
        <w:t>ed</w:t>
      </w:r>
      <w:r>
        <w:rPr>
          <w:sz w:val="20"/>
          <w:szCs w:val="20"/>
        </w:rPr>
        <w:t xml:space="preserve"> division management in the effective, strategic use of the company’s compensation programs, including salary offers and pay level determination, stock option allocation, and management of merit budget</w:t>
      </w:r>
    </w:p>
    <w:p w:rsidR="00891ED3" w:rsidRDefault="00891ED3" w:rsidP="00BD2852">
      <w:pPr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Advise</w:t>
      </w:r>
      <w:r w:rsidR="00EB204B">
        <w:rPr>
          <w:sz w:val="20"/>
          <w:szCs w:val="20"/>
        </w:rPr>
        <w:t>d</w:t>
      </w:r>
      <w:r>
        <w:rPr>
          <w:sz w:val="20"/>
          <w:szCs w:val="20"/>
        </w:rPr>
        <w:t xml:space="preserve"> senior staff</w:t>
      </w:r>
      <w:r w:rsidR="00BD2852">
        <w:rPr>
          <w:sz w:val="20"/>
          <w:szCs w:val="20"/>
        </w:rPr>
        <w:t xml:space="preserve">/team leaders on </w:t>
      </w:r>
      <w:r>
        <w:rPr>
          <w:sz w:val="20"/>
          <w:szCs w:val="20"/>
        </w:rPr>
        <w:t>Human Resources</w:t>
      </w:r>
      <w:r w:rsidR="00BD2852">
        <w:rPr>
          <w:sz w:val="20"/>
          <w:szCs w:val="20"/>
        </w:rPr>
        <w:t>, leadership development</w:t>
      </w:r>
      <w:r w:rsidR="00B202CD">
        <w:rPr>
          <w:sz w:val="20"/>
          <w:szCs w:val="20"/>
        </w:rPr>
        <w:t xml:space="preserve">, associate relations </w:t>
      </w:r>
      <w:r>
        <w:rPr>
          <w:sz w:val="20"/>
          <w:szCs w:val="20"/>
        </w:rPr>
        <w:t>and legal issues</w:t>
      </w:r>
    </w:p>
    <w:p w:rsidR="00BD2852" w:rsidRDefault="00BD2852" w:rsidP="00BD2852">
      <w:pPr>
        <w:spacing w:after="0" w:line="276" w:lineRule="auto"/>
        <w:rPr>
          <w:sz w:val="20"/>
          <w:szCs w:val="20"/>
        </w:rPr>
      </w:pPr>
    </w:p>
    <w:p w:rsidR="00BD2852" w:rsidRDefault="00BD2852" w:rsidP="00BD2852">
      <w:pPr>
        <w:pStyle w:val="Subsection"/>
        <w:rPr>
          <w:vanish/>
          <w:specVanish/>
        </w:rPr>
      </w:pPr>
      <w:r>
        <w:t xml:space="preserve">Human Resources Manager </w:t>
      </w:r>
    </w:p>
    <w:p w:rsidR="00BD2852" w:rsidRDefault="00BD2852" w:rsidP="00BD2852">
      <w:pPr>
        <w:pStyle w:val="NoSpacing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 w:rsidR="00AF23C8">
        <w:t>6</w:t>
      </w:r>
      <w:r>
        <w:t>/1/</w:t>
      </w:r>
      <w:r w:rsidR="00AF23C8">
        <w:t>07</w:t>
      </w:r>
      <w:r>
        <w:t xml:space="preserve"> </w:t>
      </w:r>
      <w:r w:rsidR="00AF23C8">
        <w:t>–</w:t>
      </w:r>
      <w:r>
        <w:t xml:space="preserve"> </w:t>
      </w:r>
      <w:r w:rsidR="00AF23C8">
        <w:t>10/18/12</w:t>
      </w:r>
    </w:p>
    <w:p w:rsidR="00BD2852" w:rsidRDefault="00BD2852" w:rsidP="00BD2852">
      <w:pPr>
        <w:spacing w:line="264" w:lineRule="auto"/>
        <w:rPr>
          <w:color w:val="564B3C" w:themeColor="text2"/>
          <w:spacing w:val="24"/>
        </w:rPr>
      </w:pPr>
      <w:r>
        <w:rPr>
          <w:color w:val="564B3C" w:themeColor="text2"/>
        </w:rPr>
        <w:t xml:space="preserve">The </w:t>
      </w:r>
      <w:r w:rsidRPr="00721880">
        <w:rPr>
          <w:color w:val="564B3C" w:themeColor="text2"/>
        </w:rPr>
        <w:t>Kroger Co.</w:t>
      </w:r>
      <w:r>
        <w:rPr>
          <w:color w:val="564B3C" w:themeColor="text2"/>
        </w:rPr>
        <w:t xml:space="preserve"> – Crossroad Farms Dairy/Springdale Ice Cream &amp; Beverages</w:t>
      </w:r>
      <w:r>
        <w:rPr>
          <w:color w:val="564B3C" w:themeColor="text2"/>
          <w:spacing w:val="24"/>
        </w:rPr>
        <w:t xml:space="preserve"> </w:t>
      </w:r>
    </w:p>
    <w:p w:rsidR="00AF23C8" w:rsidRPr="00AF23C8" w:rsidRDefault="00AF23C8" w:rsidP="00AF23C8">
      <w:pPr>
        <w:numPr>
          <w:ilvl w:val="0"/>
          <w:numId w:val="9"/>
        </w:numPr>
        <w:spacing w:before="20" w:after="0" w:line="240" w:lineRule="auto"/>
        <w:jc w:val="both"/>
        <w:rPr>
          <w:rFonts w:cs="Calibri"/>
          <w:sz w:val="20"/>
          <w:szCs w:val="20"/>
        </w:rPr>
      </w:pPr>
      <w:r w:rsidRPr="00AF23C8">
        <w:rPr>
          <w:rFonts w:cs="Calibri"/>
          <w:sz w:val="20"/>
          <w:szCs w:val="20"/>
        </w:rPr>
        <w:lastRenderedPageBreak/>
        <w:t>Manage</w:t>
      </w:r>
      <w:r w:rsidR="00EB204B">
        <w:rPr>
          <w:rFonts w:cs="Calibri"/>
          <w:sz w:val="20"/>
          <w:szCs w:val="20"/>
        </w:rPr>
        <w:t>d</w:t>
      </w:r>
      <w:r w:rsidRPr="00AF23C8">
        <w:rPr>
          <w:rFonts w:cs="Calibri"/>
          <w:sz w:val="20"/>
          <w:szCs w:val="20"/>
        </w:rPr>
        <w:t xml:space="preserve"> Human Resources function of complex multi-union dairy</w:t>
      </w:r>
      <w:r>
        <w:rPr>
          <w:rFonts w:cs="Calibri"/>
          <w:sz w:val="20"/>
          <w:szCs w:val="20"/>
        </w:rPr>
        <w:t xml:space="preserve"> and beverage </w:t>
      </w:r>
      <w:r w:rsidRPr="00AF23C8">
        <w:rPr>
          <w:rFonts w:cs="Calibri"/>
          <w:sz w:val="20"/>
          <w:szCs w:val="20"/>
        </w:rPr>
        <w:t xml:space="preserve">manufacturing facilities.  </w:t>
      </w:r>
    </w:p>
    <w:p w:rsidR="00AF23C8" w:rsidRPr="00AF23C8" w:rsidRDefault="00AF23C8" w:rsidP="00AF23C8">
      <w:pPr>
        <w:numPr>
          <w:ilvl w:val="0"/>
          <w:numId w:val="9"/>
        </w:numPr>
        <w:spacing w:before="20" w:after="0" w:line="240" w:lineRule="auto"/>
        <w:jc w:val="both"/>
        <w:rPr>
          <w:rFonts w:cs="Calibri"/>
          <w:sz w:val="20"/>
          <w:szCs w:val="20"/>
        </w:rPr>
      </w:pPr>
      <w:r w:rsidRPr="00AF23C8">
        <w:rPr>
          <w:rFonts w:cs="Calibri"/>
          <w:sz w:val="20"/>
          <w:szCs w:val="20"/>
        </w:rPr>
        <w:t>Act</w:t>
      </w:r>
      <w:r w:rsidR="00EB204B">
        <w:rPr>
          <w:rFonts w:cs="Calibri"/>
          <w:sz w:val="20"/>
          <w:szCs w:val="20"/>
        </w:rPr>
        <w:t>ed</w:t>
      </w:r>
      <w:r w:rsidRPr="00AF23C8">
        <w:rPr>
          <w:rFonts w:cs="Calibri"/>
          <w:sz w:val="20"/>
          <w:szCs w:val="20"/>
        </w:rPr>
        <w:t xml:space="preserve"> as Lead Plant Consultant i</w:t>
      </w:r>
      <w:r w:rsidR="00B202CD">
        <w:rPr>
          <w:rFonts w:cs="Calibri"/>
          <w:sz w:val="20"/>
          <w:szCs w:val="20"/>
        </w:rPr>
        <w:t xml:space="preserve">n all activities related to the </w:t>
      </w:r>
      <w:r w:rsidRPr="00AF23C8">
        <w:rPr>
          <w:rFonts w:cs="Calibri"/>
          <w:sz w:val="20"/>
          <w:szCs w:val="20"/>
        </w:rPr>
        <w:t>IAM, RWDSU, OPEIU, NCFO and Teamsters Unions.</w:t>
      </w:r>
    </w:p>
    <w:p w:rsidR="00AF23C8" w:rsidRPr="00AF23C8" w:rsidRDefault="00AF23C8" w:rsidP="00AF23C8">
      <w:pPr>
        <w:numPr>
          <w:ilvl w:val="0"/>
          <w:numId w:val="9"/>
        </w:numPr>
        <w:spacing w:before="20" w:after="0" w:line="240" w:lineRule="auto"/>
        <w:jc w:val="both"/>
        <w:rPr>
          <w:rFonts w:cs="Calibri"/>
          <w:sz w:val="20"/>
          <w:szCs w:val="20"/>
        </w:rPr>
      </w:pPr>
      <w:r w:rsidRPr="00AF23C8">
        <w:rPr>
          <w:rFonts w:cs="Calibri"/>
          <w:sz w:val="20"/>
          <w:szCs w:val="20"/>
        </w:rPr>
        <w:t>Collaborate</w:t>
      </w:r>
      <w:r w:rsidR="00EB204B">
        <w:rPr>
          <w:rFonts w:cs="Calibri"/>
          <w:sz w:val="20"/>
          <w:szCs w:val="20"/>
        </w:rPr>
        <w:t>d</w:t>
      </w:r>
      <w:r w:rsidRPr="00AF23C8">
        <w:rPr>
          <w:rFonts w:cs="Calibri"/>
          <w:sz w:val="20"/>
          <w:szCs w:val="20"/>
        </w:rPr>
        <w:t xml:space="preserve"> with Union representatives to explore areas of opportunity and agree on mutually beneficial solutions.</w:t>
      </w:r>
    </w:p>
    <w:p w:rsidR="00AF23C8" w:rsidRPr="00AF23C8" w:rsidRDefault="00AF23C8" w:rsidP="00AF23C8">
      <w:pPr>
        <w:numPr>
          <w:ilvl w:val="0"/>
          <w:numId w:val="9"/>
        </w:numPr>
        <w:spacing w:before="20" w:after="0" w:line="240" w:lineRule="auto"/>
        <w:jc w:val="both"/>
        <w:rPr>
          <w:rFonts w:cs="Calibri"/>
          <w:sz w:val="20"/>
          <w:szCs w:val="20"/>
        </w:rPr>
      </w:pPr>
      <w:r w:rsidRPr="00AF23C8">
        <w:rPr>
          <w:rFonts w:cs="Calibri"/>
          <w:sz w:val="20"/>
          <w:szCs w:val="20"/>
        </w:rPr>
        <w:t>Prepare</w:t>
      </w:r>
      <w:r w:rsidR="00EB204B">
        <w:rPr>
          <w:rFonts w:cs="Calibri"/>
          <w:sz w:val="20"/>
          <w:szCs w:val="20"/>
        </w:rPr>
        <w:t>d</w:t>
      </w:r>
      <w:r w:rsidRPr="00AF23C8">
        <w:rPr>
          <w:rFonts w:cs="Calibri"/>
          <w:sz w:val="20"/>
          <w:szCs w:val="20"/>
        </w:rPr>
        <w:t xml:space="preserve"> documents and act</w:t>
      </w:r>
      <w:r w:rsidR="00EB204B">
        <w:rPr>
          <w:rFonts w:cs="Calibri"/>
          <w:sz w:val="20"/>
          <w:szCs w:val="20"/>
        </w:rPr>
        <w:t>ed</w:t>
      </w:r>
      <w:r w:rsidRPr="00AF23C8">
        <w:rPr>
          <w:rFonts w:cs="Calibri"/>
          <w:sz w:val="20"/>
          <w:szCs w:val="20"/>
        </w:rPr>
        <w:t xml:space="preserve"> as the primary Plant Consultant during union negotiations and educate</w:t>
      </w:r>
      <w:r w:rsidR="00EB204B">
        <w:rPr>
          <w:rFonts w:cs="Calibri"/>
          <w:sz w:val="20"/>
          <w:szCs w:val="20"/>
        </w:rPr>
        <w:t>d</w:t>
      </w:r>
      <w:r w:rsidRPr="00AF23C8">
        <w:rPr>
          <w:rFonts w:cs="Calibri"/>
          <w:sz w:val="20"/>
          <w:szCs w:val="20"/>
        </w:rPr>
        <w:t xml:space="preserve"> management on all contracts to ensure contract compliance.</w:t>
      </w:r>
    </w:p>
    <w:p w:rsidR="00AF23C8" w:rsidRPr="00AF23C8" w:rsidRDefault="00AF23C8" w:rsidP="00AF23C8">
      <w:pPr>
        <w:numPr>
          <w:ilvl w:val="0"/>
          <w:numId w:val="9"/>
        </w:numPr>
        <w:spacing w:before="20" w:after="0" w:line="240" w:lineRule="auto"/>
        <w:jc w:val="both"/>
        <w:rPr>
          <w:rFonts w:cs="Calibri"/>
          <w:sz w:val="20"/>
          <w:szCs w:val="20"/>
        </w:rPr>
      </w:pPr>
      <w:r w:rsidRPr="00AF23C8">
        <w:rPr>
          <w:rFonts w:cs="Calibri"/>
          <w:sz w:val="20"/>
          <w:szCs w:val="20"/>
        </w:rPr>
        <w:t>Investigate</w:t>
      </w:r>
      <w:r w:rsidR="00EB204B">
        <w:rPr>
          <w:rFonts w:cs="Calibri"/>
          <w:sz w:val="20"/>
          <w:szCs w:val="20"/>
        </w:rPr>
        <w:t>d</w:t>
      </w:r>
      <w:r w:rsidRPr="00AF23C8">
        <w:rPr>
          <w:rFonts w:cs="Calibri"/>
          <w:sz w:val="20"/>
          <w:szCs w:val="20"/>
        </w:rPr>
        <w:t xml:space="preserve"> and prepare</w:t>
      </w:r>
      <w:r w:rsidR="00EB204B">
        <w:rPr>
          <w:rFonts w:cs="Calibri"/>
          <w:sz w:val="20"/>
          <w:szCs w:val="20"/>
        </w:rPr>
        <w:t>d</w:t>
      </w:r>
      <w:r w:rsidRPr="00AF23C8">
        <w:rPr>
          <w:rFonts w:cs="Calibri"/>
          <w:sz w:val="20"/>
          <w:szCs w:val="20"/>
        </w:rPr>
        <w:t xml:space="preserve"> defense of all grievances and arbitrations.</w:t>
      </w:r>
    </w:p>
    <w:p w:rsidR="00AF23C8" w:rsidRPr="00AF23C8" w:rsidRDefault="00EB204B" w:rsidP="00AF23C8">
      <w:pPr>
        <w:numPr>
          <w:ilvl w:val="0"/>
          <w:numId w:val="9"/>
        </w:numPr>
        <w:spacing w:before="20"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Le</w:t>
      </w:r>
      <w:r w:rsidR="00AF23C8" w:rsidRPr="00AF23C8">
        <w:rPr>
          <w:rFonts w:cs="Calibri"/>
          <w:sz w:val="20"/>
          <w:szCs w:val="20"/>
        </w:rPr>
        <w:t>d the safety pr</w:t>
      </w:r>
      <w:r>
        <w:rPr>
          <w:rFonts w:cs="Calibri"/>
          <w:sz w:val="20"/>
          <w:szCs w:val="20"/>
        </w:rPr>
        <w:t>ocess, owned and facilitated</w:t>
      </w:r>
      <w:r w:rsidR="00AF23C8" w:rsidRPr="00AF23C8">
        <w:rPr>
          <w:rFonts w:cs="Calibri"/>
          <w:sz w:val="20"/>
          <w:szCs w:val="20"/>
        </w:rPr>
        <w:t xml:space="preserve"> the Key Element Assessment, and the Safety First Team, Behavior Safety Team, and Physical Safety Team. </w:t>
      </w:r>
    </w:p>
    <w:p w:rsidR="00AF23C8" w:rsidRPr="00AF23C8" w:rsidRDefault="00AF23C8" w:rsidP="00AF23C8">
      <w:pPr>
        <w:numPr>
          <w:ilvl w:val="0"/>
          <w:numId w:val="9"/>
        </w:numPr>
        <w:spacing w:before="20" w:after="0" w:line="240" w:lineRule="auto"/>
        <w:jc w:val="both"/>
        <w:rPr>
          <w:rFonts w:cs="Calibri"/>
          <w:sz w:val="20"/>
          <w:szCs w:val="20"/>
        </w:rPr>
      </w:pPr>
      <w:r w:rsidRPr="00AF23C8">
        <w:rPr>
          <w:rFonts w:cs="Calibri"/>
          <w:sz w:val="20"/>
          <w:szCs w:val="20"/>
        </w:rPr>
        <w:t>Administer</w:t>
      </w:r>
      <w:r w:rsidR="00EB204B">
        <w:rPr>
          <w:rFonts w:cs="Calibri"/>
          <w:sz w:val="20"/>
          <w:szCs w:val="20"/>
        </w:rPr>
        <w:t>ed</w:t>
      </w:r>
      <w:r w:rsidRPr="00AF23C8">
        <w:rPr>
          <w:rFonts w:cs="Calibri"/>
          <w:sz w:val="20"/>
          <w:szCs w:val="20"/>
        </w:rPr>
        <w:t xml:space="preserve"> Worker’s Compensation claims against the Company, and work</w:t>
      </w:r>
      <w:r w:rsidR="00EB204B">
        <w:rPr>
          <w:rFonts w:cs="Calibri"/>
          <w:sz w:val="20"/>
          <w:szCs w:val="20"/>
        </w:rPr>
        <w:t>ed</w:t>
      </w:r>
      <w:r w:rsidRPr="00AF23C8">
        <w:rPr>
          <w:rFonts w:cs="Calibri"/>
          <w:sz w:val="20"/>
          <w:szCs w:val="20"/>
        </w:rPr>
        <w:t xml:space="preserve"> with 3</w:t>
      </w:r>
      <w:r w:rsidRPr="00AF23C8">
        <w:rPr>
          <w:rFonts w:cs="Calibri"/>
          <w:sz w:val="20"/>
          <w:szCs w:val="20"/>
          <w:vertAlign w:val="superscript"/>
        </w:rPr>
        <w:t>rd</w:t>
      </w:r>
      <w:r w:rsidRPr="00AF23C8">
        <w:rPr>
          <w:rFonts w:cs="Calibri"/>
          <w:sz w:val="20"/>
          <w:szCs w:val="20"/>
        </w:rPr>
        <w:t xml:space="preserve"> party administrators as a liaison with Worker’s Comp Bureau of Ohio.</w:t>
      </w:r>
    </w:p>
    <w:p w:rsidR="00AF23C8" w:rsidRPr="00AF23C8" w:rsidRDefault="00AF23C8" w:rsidP="00AF23C8">
      <w:pPr>
        <w:numPr>
          <w:ilvl w:val="0"/>
          <w:numId w:val="9"/>
        </w:numPr>
        <w:spacing w:before="20" w:after="0" w:line="240" w:lineRule="auto"/>
        <w:jc w:val="both"/>
        <w:rPr>
          <w:rFonts w:cs="Calibri"/>
          <w:sz w:val="20"/>
          <w:szCs w:val="20"/>
        </w:rPr>
      </w:pPr>
      <w:r w:rsidRPr="00AF23C8">
        <w:rPr>
          <w:rFonts w:cs="Calibri"/>
          <w:sz w:val="20"/>
          <w:szCs w:val="20"/>
        </w:rPr>
        <w:t>Prepare</w:t>
      </w:r>
      <w:r w:rsidR="00EB204B">
        <w:rPr>
          <w:rFonts w:cs="Calibri"/>
          <w:sz w:val="20"/>
          <w:szCs w:val="20"/>
        </w:rPr>
        <w:t>d</w:t>
      </w:r>
      <w:r w:rsidRPr="00AF23C8">
        <w:rPr>
          <w:rFonts w:cs="Calibri"/>
          <w:sz w:val="20"/>
          <w:szCs w:val="20"/>
        </w:rPr>
        <w:t xml:space="preserve"> budget reconciliation and other forecasting/planning activities for the Human Resources Department for all Company events.</w:t>
      </w:r>
    </w:p>
    <w:p w:rsidR="00AF23C8" w:rsidRPr="00AF23C8" w:rsidRDefault="00AF23C8" w:rsidP="00AF23C8">
      <w:pPr>
        <w:numPr>
          <w:ilvl w:val="0"/>
          <w:numId w:val="9"/>
        </w:numPr>
        <w:spacing w:before="20" w:after="0" w:line="240" w:lineRule="auto"/>
        <w:jc w:val="both"/>
        <w:rPr>
          <w:rFonts w:cs="Calibri"/>
          <w:sz w:val="20"/>
          <w:szCs w:val="20"/>
        </w:rPr>
      </w:pPr>
      <w:r w:rsidRPr="00AF23C8">
        <w:rPr>
          <w:rFonts w:cs="Calibri"/>
          <w:sz w:val="20"/>
          <w:szCs w:val="20"/>
        </w:rPr>
        <w:t>Facilitate</w:t>
      </w:r>
      <w:r w:rsidR="00EB204B">
        <w:rPr>
          <w:rFonts w:cs="Calibri"/>
          <w:sz w:val="20"/>
          <w:szCs w:val="20"/>
        </w:rPr>
        <w:t>d</w:t>
      </w:r>
      <w:r w:rsidRPr="00AF23C8">
        <w:rPr>
          <w:rFonts w:cs="Calibri"/>
          <w:sz w:val="20"/>
          <w:szCs w:val="20"/>
        </w:rPr>
        <w:t>/monitor</w:t>
      </w:r>
      <w:r w:rsidR="00EB204B">
        <w:rPr>
          <w:rFonts w:cs="Calibri"/>
          <w:sz w:val="20"/>
          <w:szCs w:val="20"/>
        </w:rPr>
        <w:t>ed</w:t>
      </w:r>
      <w:r w:rsidRPr="00AF23C8">
        <w:rPr>
          <w:rFonts w:cs="Calibri"/>
          <w:sz w:val="20"/>
          <w:szCs w:val="20"/>
        </w:rPr>
        <w:t xml:space="preserve"> New Employee Orientation training and all new employee activities and sessions, which provide continuity in all company and safety information and OSHA regulatory compliance programs presented verbally and in writing.</w:t>
      </w:r>
    </w:p>
    <w:p w:rsidR="00AF23C8" w:rsidRPr="00AF23C8" w:rsidRDefault="00AF23C8" w:rsidP="00AF23C8">
      <w:pPr>
        <w:numPr>
          <w:ilvl w:val="0"/>
          <w:numId w:val="9"/>
        </w:numPr>
        <w:spacing w:before="20" w:after="0" w:line="240" w:lineRule="auto"/>
        <w:jc w:val="both"/>
        <w:rPr>
          <w:rFonts w:cs="Calibri"/>
          <w:sz w:val="20"/>
          <w:szCs w:val="20"/>
        </w:rPr>
      </w:pPr>
      <w:r w:rsidRPr="00AF23C8">
        <w:rPr>
          <w:rFonts w:cs="Calibri"/>
          <w:sz w:val="20"/>
          <w:szCs w:val="20"/>
        </w:rPr>
        <w:t>Responsible for staffing management, ASP and hourly positions (screening, interviews, offer, etc.).</w:t>
      </w:r>
    </w:p>
    <w:p w:rsidR="00AF23C8" w:rsidRPr="00AF23C8" w:rsidRDefault="00AF23C8" w:rsidP="00AF23C8">
      <w:pPr>
        <w:numPr>
          <w:ilvl w:val="0"/>
          <w:numId w:val="9"/>
        </w:numPr>
        <w:spacing w:before="20" w:after="0" w:line="240" w:lineRule="auto"/>
        <w:jc w:val="both"/>
        <w:rPr>
          <w:rFonts w:cs="Calibri"/>
          <w:sz w:val="20"/>
          <w:szCs w:val="20"/>
        </w:rPr>
      </w:pPr>
      <w:r w:rsidRPr="00AF23C8">
        <w:rPr>
          <w:rFonts w:cs="Calibri"/>
          <w:sz w:val="20"/>
          <w:szCs w:val="20"/>
        </w:rPr>
        <w:t>Responsible for administering all Company benefit plans for both automated and non-automated groups.</w:t>
      </w:r>
    </w:p>
    <w:p w:rsidR="00BD2852" w:rsidRPr="00AF23C8" w:rsidRDefault="00AF23C8" w:rsidP="00AF23C8">
      <w:pPr>
        <w:numPr>
          <w:ilvl w:val="0"/>
          <w:numId w:val="9"/>
        </w:numPr>
        <w:spacing w:before="20" w:after="0" w:line="240" w:lineRule="auto"/>
        <w:jc w:val="both"/>
        <w:rPr>
          <w:rFonts w:cs="Calibri"/>
          <w:sz w:val="20"/>
          <w:szCs w:val="20"/>
        </w:rPr>
      </w:pPr>
      <w:r w:rsidRPr="00AF23C8">
        <w:rPr>
          <w:rFonts w:cs="Calibri"/>
          <w:sz w:val="20"/>
          <w:szCs w:val="20"/>
        </w:rPr>
        <w:t>Cooperate</w:t>
      </w:r>
      <w:r w:rsidR="00EB204B">
        <w:rPr>
          <w:rFonts w:cs="Calibri"/>
          <w:sz w:val="20"/>
          <w:szCs w:val="20"/>
        </w:rPr>
        <w:t>d</w:t>
      </w:r>
      <w:r w:rsidRPr="00AF23C8">
        <w:rPr>
          <w:rFonts w:cs="Calibri"/>
          <w:sz w:val="20"/>
          <w:szCs w:val="20"/>
        </w:rPr>
        <w:t xml:space="preserve"> with Federal, State and Local agencies pertaining to employment law, unemployment and Worker’s Compensation.</w:t>
      </w:r>
    </w:p>
    <w:p w:rsidR="00EB5556" w:rsidRDefault="00D93E97">
      <w:pPr>
        <w:pStyle w:val="SectionHeading"/>
      </w:pPr>
      <w:r>
        <w:t>Skills</w:t>
      </w:r>
    </w:p>
    <w:p w:rsidR="00FC3E1D" w:rsidRDefault="00FC3E1D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Registered Apprenticeship Program</w:t>
      </w:r>
      <w:r w:rsidR="00F84E5A">
        <w:rPr>
          <w:color w:val="40382D" w:themeColor="text2" w:themeShade="BF"/>
        </w:rPr>
        <w:t xml:space="preserve"> – Champion and Company Representative with DOL</w:t>
      </w:r>
    </w:p>
    <w:p w:rsidR="00AA400A" w:rsidRDefault="00AA400A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Arbitrations and Negotiations Strategy and Facilitation</w:t>
      </w:r>
    </w:p>
    <w:p w:rsidR="00AA400A" w:rsidRDefault="00AA400A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Labor Relations, State and Federal Labor Law Compliance</w:t>
      </w:r>
    </w:p>
    <w:p w:rsidR="0044608F" w:rsidRDefault="0044608F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 xml:space="preserve">Senior Leadership Counsel and Guidance </w:t>
      </w:r>
    </w:p>
    <w:p w:rsidR="00AA400A" w:rsidRDefault="00AA400A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HRIS Administration and Design</w:t>
      </w:r>
    </w:p>
    <w:p w:rsidR="00AA400A" w:rsidRDefault="00AA400A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Employee/Associate Relations and Engagement</w:t>
      </w:r>
    </w:p>
    <w:p w:rsidR="00AA400A" w:rsidRDefault="00AA400A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Policy Design and Administration</w:t>
      </w:r>
    </w:p>
    <w:p w:rsidR="00AF23C8" w:rsidRDefault="00AF23C8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Harassment/EEO Compliance</w:t>
      </w:r>
    </w:p>
    <w:p w:rsidR="00AF23C8" w:rsidRDefault="00AF23C8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Succession Planning</w:t>
      </w:r>
    </w:p>
    <w:p w:rsidR="00AF23C8" w:rsidRDefault="00AF23C8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Training and Development</w:t>
      </w:r>
    </w:p>
    <w:p w:rsidR="00AF23C8" w:rsidRDefault="00AF23C8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Compensation/Benefit Design</w:t>
      </w:r>
    </w:p>
    <w:p w:rsidR="00EB5556" w:rsidRDefault="00AF23C8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Operations Management</w:t>
      </w:r>
    </w:p>
    <w:p w:rsidR="00EB5556" w:rsidRDefault="00D93E97">
      <w:pPr>
        <w:pStyle w:val="SectionHeading"/>
      </w:pPr>
      <w:r>
        <w:t>Education</w:t>
      </w:r>
      <w:r w:rsidR="00AA400A">
        <w:t xml:space="preserve"> &amp; Certifications</w:t>
      </w:r>
    </w:p>
    <w:p w:rsidR="00EB5556" w:rsidRDefault="00AA400A">
      <w:pPr>
        <w:pStyle w:val="Subsection"/>
      </w:pPr>
      <w:r>
        <w:rPr>
          <w:color w:val="564B3C" w:themeColor="text2"/>
        </w:rPr>
        <w:t>Indiana Wesleyan University</w:t>
      </w:r>
    </w:p>
    <w:p w:rsidR="00EB5556" w:rsidRDefault="00AA400A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April, 2014</w:t>
      </w:r>
      <w:r w:rsidR="00D93E97">
        <w:rPr>
          <w:color w:val="564B3C" w:themeColor="text2"/>
          <w:spacing w:val="24"/>
        </w:rPr>
        <w:t xml:space="preserve"> </w:t>
      </w:r>
      <w:r w:rsidR="00D93E97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Masters of Science (MSM), Management, with Human Resources Specialization</w:t>
      </w:r>
    </w:p>
    <w:p w:rsidR="00EB5556" w:rsidRDefault="00EB5556" w:rsidP="00AA400A">
      <w:pPr>
        <w:spacing w:line="264" w:lineRule="auto"/>
        <w:contextualSpacing/>
        <w:rPr>
          <w:color w:val="000000" w:themeColor="text1" w:themeShade="BF"/>
        </w:rPr>
      </w:pPr>
    </w:p>
    <w:p w:rsidR="00AA400A" w:rsidRDefault="00AA400A" w:rsidP="00AA400A">
      <w:p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Purdue University</w:t>
      </w:r>
    </w:p>
    <w:p w:rsidR="00AA400A" w:rsidRDefault="00AA400A" w:rsidP="00AA400A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</w:rPr>
      </w:pPr>
      <w:r>
        <w:rPr>
          <w:color w:val="564B3C" w:themeColor="text2"/>
        </w:rPr>
        <w:t>May, 2001</w:t>
      </w:r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Bachelors of Science (BS), Organizational Leadership &amp; Supervision</w:t>
      </w:r>
    </w:p>
    <w:p w:rsidR="00372523" w:rsidRDefault="00372523" w:rsidP="00AA400A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</w:rPr>
      </w:pPr>
    </w:p>
    <w:p w:rsidR="00372523" w:rsidRDefault="00372523" w:rsidP="00372523">
      <w:p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PHR/HRCI </w:t>
      </w:r>
    </w:p>
    <w:p w:rsidR="00372523" w:rsidRDefault="00372523" w:rsidP="00AA400A">
      <w:pPr>
        <w:spacing w:after="0" w:line="240" w:lineRule="auto"/>
        <w:rPr>
          <w:color w:val="564B3C" w:themeColor="text2"/>
        </w:rPr>
      </w:pPr>
      <w:r>
        <w:rPr>
          <w:rFonts w:asciiTheme="majorHAnsi" w:eastAsiaTheme="majorEastAsia" w:hAnsiTheme="majorHAnsi" w:cstheme="majorBidi"/>
          <w:color w:val="93A299" w:themeColor="accent1"/>
        </w:rPr>
        <w:t>Certification (since 2007)</w:t>
      </w:r>
    </w:p>
    <w:p w:rsidR="00EB5556" w:rsidRDefault="00D93E97">
      <w:pPr>
        <w:pStyle w:val="SectionHeading"/>
      </w:pPr>
      <w:r>
        <w:t>References</w:t>
      </w:r>
    </w:p>
    <w:p w:rsidR="00783FEB" w:rsidRDefault="00783FEB" w:rsidP="00783FEB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Brian Dwyer, MFG VP, Team Leader, The Kroger Co. </w:t>
      </w:r>
    </w:p>
    <w:p w:rsidR="00783FEB" w:rsidRDefault="00783FEB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AA400A" w:rsidRDefault="00AA400A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Steve </w:t>
      </w:r>
      <w:proofErr w:type="spellStart"/>
      <w:r>
        <w:rPr>
          <w:color w:val="000000" w:themeColor="text1"/>
        </w:rPr>
        <w:t>Kuebbing</w:t>
      </w:r>
      <w:proofErr w:type="spellEnd"/>
      <w:r>
        <w:rPr>
          <w:color w:val="000000" w:themeColor="text1"/>
        </w:rPr>
        <w:t xml:space="preserve">, </w:t>
      </w:r>
      <w:r w:rsidR="00FB7B48">
        <w:rPr>
          <w:color w:val="000000" w:themeColor="text1"/>
        </w:rPr>
        <w:t>Sr. Manager of Human Resources &amp; Labor Relations (ret.)</w:t>
      </w:r>
    </w:p>
    <w:p w:rsidR="00EB5556" w:rsidRDefault="00AA400A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Pat McNall, HR Leader, Central Division, The Kroger Co.</w:t>
      </w:r>
    </w:p>
    <w:p w:rsidR="0044608F" w:rsidRDefault="0044608F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Joe Lestingi, Site Leader, Crossroad Farms Dairy (ret.)</w:t>
      </w:r>
    </w:p>
    <w:p w:rsidR="00783FEB" w:rsidRDefault="00783FEB">
      <w:pPr>
        <w:tabs>
          <w:tab w:val="left" w:pos="2670"/>
        </w:tabs>
        <w:spacing w:after="0" w:line="240" w:lineRule="auto"/>
        <w:rPr>
          <w:color w:val="000000" w:themeColor="text1"/>
        </w:rPr>
      </w:pPr>
      <w:bookmarkStart w:id="0" w:name="_GoBack"/>
      <w:bookmarkEnd w:id="0"/>
    </w:p>
    <w:sectPr w:rsidR="00783FEB">
      <w:footerReference w:type="default" r:id="rId11"/>
      <w:headerReference w:type="first" r:id="rId12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C06" w:rsidRDefault="00354C06">
      <w:pPr>
        <w:spacing w:after="0" w:line="240" w:lineRule="auto"/>
      </w:pPr>
      <w:r>
        <w:separator/>
      </w:r>
    </w:p>
  </w:endnote>
  <w:endnote w:type="continuationSeparator" w:id="0">
    <w:p w:rsidR="00354C06" w:rsidRDefault="0035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556" w:rsidRDefault="00D93E97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B5556" w:rsidRDefault="00EB555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EB5556" w:rsidRDefault="00EB555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B5556" w:rsidRDefault="00EB555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EB5556" w:rsidRDefault="00EB555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B5556" w:rsidRDefault="00EB555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EB5556" w:rsidRDefault="00EB555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B5556" w:rsidRDefault="00354C06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2B78B5213F4D4C4F8BA95F28342CF5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56F52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Rose, Stacey</w:t>
                              </w:r>
                            </w:sdtContent>
                          </w:sdt>
                          <w:r w:rsidR="00D93E97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D93E9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D93E9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93E9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93E9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3E1D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D93E97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EB5556" w:rsidRDefault="00354C06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2B78B5213F4D4C4F8BA95F28342CF56B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F56F52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Rose, Stacey</w:t>
                        </w:r>
                      </w:sdtContent>
                    </w:sdt>
                    <w:r w:rsidR="00D93E97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D93E97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D93E97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D93E97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D93E97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FC3E1D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D93E97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C06" w:rsidRDefault="00354C06">
      <w:pPr>
        <w:spacing w:after="0" w:line="240" w:lineRule="auto"/>
      </w:pPr>
      <w:r>
        <w:separator/>
      </w:r>
    </w:p>
  </w:footnote>
  <w:footnote w:type="continuationSeparator" w:id="0">
    <w:p w:rsidR="00354C06" w:rsidRDefault="00354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556" w:rsidRDefault="00D93E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F5DADB6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542BB49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057059B6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76345"/>
    <w:multiLevelType w:val="hybridMultilevel"/>
    <w:tmpl w:val="2E283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B59BD"/>
    <w:multiLevelType w:val="hybridMultilevel"/>
    <w:tmpl w:val="41108A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65FC2"/>
    <w:multiLevelType w:val="multilevel"/>
    <w:tmpl w:val="4A5046D8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982222"/>
    <w:multiLevelType w:val="hybridMultilevel"/>
    <w:tmpl w:val="30A0D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F52"/>
    <w:rsid w:val="002E177A"/>
    <w:rsid w:val="00354C06"/>
    <w:rsid w:val="00370179"/>
    <w:rsid w:val="00372523"/>
    <w:rsid w:val="003732AC"/>
    <w:rsid w:val="0044608F"/>
    <w:rsid w:val="004C7A80"/>
    <w:rsid w:val="00721880"/>
    <w:rsid w:val="00783FEB"/>
    <w:rsid w:val="00891ED3"/>
    <w:rsid w:val="009C5EBE"/>
    <w:rsid w:val="00AA400A"/>
    <w:rsid w:val="00AF23C8"/>
    <w:rsid w:val="00B067E3"/>
    <w:rsid w:val="00B202CD"/>
    <w:rsid w:val="00BD2852"/>
    <w:rsid w:val="00C356D5"/>
    <w:rsid w:val="00D93E97"/>
    <w:rsid w:val="00D96568"/>
    <w:rsid w:val="00EB204B"/>
    <w:rsid w:val="00EB5556"/>
    <w:rsid w:val="00F56F52"/>
    <w:rsid w:val="00F84E5A"/>
    <w:rsid w:val="00FB7B48"/>
    <w:rsid w:val="00FC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F8ED3"/>
  <w15:docId w15:val="{1C267DD2-E20F-4A4C-A8BA-DCBFBF8D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customStyle="1" w:styleId="Bulletedlistlastitem">
    <w:name w:val="Bulleted list last item"/>
    <w:basedOn w:val="Normal"/>
    <w:rsid w:val="00AF23C8"/>
    <w:pPr>
      <w:numPr>
        <w:numId w:val="10"/>
      </w:numPr>
      <w:spacing w:before="20" w:after="120" w:line="276" w:lineRule="auto"/>
      <w:jc w:val="both"/>
    </w:pPr>
    <w:rPr>
      <w:rFonts w:ascii="Garamond" w:eastAsiaTheme="minorEastAsia" w:hAnsi="Garamon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78328\Documents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3BFF2C238249FEBCAC6CC33068A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1D7E0-FFB0-4D4F-9BD8-6FB7C5732236}"/>
      </w:docPartPr>
      <w:docPartBody>
        <w:p w:rsidR="00E27A3C" w:rsidRDefault="001D4E57">
          <w:pPr>
            <w:pStyle w:val="553BFF2C238249FEBCAC6CC33068A6F1"/>
          </w:pPr>
          <w:r>
            <w:t>Choose a building block.</w:t>
          </w:r>
        </w:p>
      </w:docPartBody>
    </w:docPart>
    <w:docPart>
      <w:docPartPr>
        <w:name w:val="7E6FAC08C4574ECF91B19CC09EA87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C850B-6383-471A-91A3-D3B4C76717C7}"/>
      </w:docPartPr>
      <w:docPartBody>
        <w:p w:rsidR="00E27A3C" w:rsidRDefault="001D4E57">
          <w:pPr>
            <w:pStyle w:val="7E6FAC08C4574ECF91B19CC09EA87BAA"/>
          </w:pPr>
          <w:r>
            <w:t>[Type Your Name]</w:t>
          </w:r>
        </w:p>
      </w:docPartBody>
    </w:docPart>
    <w:docPart>
      <w:docPartPr>
        <w:name w:val="A740AAC5988049019E3D2837F5163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CD749-B264-42A9-8444-E5F9F3F68A2C}"/>
      </w:docPartPr>
      <w:docPartBody>
        <w:p w:rsidR="00E27A3C" w:rsidRDefault="001D4E57">
          <w:pPr>
            <w:pStyle w:val="A740AAC5988049019E3D2837F5163500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44D7DBF18E784F4BA11CB8DF33EC2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C6A69-BE1B-41FF-95EB-904EC9CD5F3B}"/>
      </w:docPartPr>
      <w:docPartBody>
        <w:p w:rsidR="00E27A3C" w:rsidRDefault="001D4E57">
          <w:pPr>
            <w:pStyle w:val="44D7DBF18E784F4BA11CB8DF33EC2D1A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EE0D2EE5ECF44D10901C53A639C93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FD064-ED9A-4B31-8DA8-7CB9EEF835E9}"/>
      </w:docPartPr>
      <w:docPartBody>
        <w:p w:rsidR="00E27A3C" w:rsidRDefault="001D4E57">
          <w:pPr>
            <w:pStyle w:val="EE0D2EE5ECF44D10901C53A639C930D8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2B78B5213F4D4C4F8BA95F28342CF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67FC3-391D-43F4-B2E8-C518C1571CDF}"/>
      </w:docPartPr>
      <w:docPartBody>
        <w:p w:rsidR="00E27A3C" w:rsidRDefault="001D4E57">
          <w:pPr>
            <w:pStyle w:val="2B78B5213F4D4C4F8BA95F28342CF56B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E57"/>
    <w:rsid w:val="0019356B"/>
    <w:rsid w:val="001D4E57"/>
    <w:rsid w:val="00727A6C"/>
    <w:rsid w:val="00737917"/>
    <w:rsid w:val="00DC7C8A"/>
    <w:rsid w:val="00E27A3C"/>
    <w:rsid w:val="00E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3BFF2C238249FEBCAC6CC33068A6F1">
    <w:name w:val="553BFF2C238249FEBCAC6CC33068A6F1"/>
  </w:style>
  <w:style w:type="paragraph" w:customStyle="1" w:styleId="7E6FAC08C4574ECF91B19CC09EA87BAA">
    <w:name w:val="7E6FAC08C4574ECF91B19CC09EA87BAA"/>
  </w:style>
  <w:style w:type="paragraph" w:customStyle="1" w:styleId="A740AAC5988049019E3D2837F5163500">
    <w:name w:val="A740AAC5988049019E3D2837F5163500"/>
  </w:style>
  <w:style w:type="paragraph" w:customStyle="1" w:styleId="44D7DBF18E784F4BA11CB8DF33EC2D1A">
    <w:name w:val="44D7DBF18E784F4BA11CB8DF33EC2D1A"/>
  </w:style>
  <w:style w:type="paragraph" w:customStyle="1" w:styleId="EE0D2EE5ECF44D10901C53A639C930D8">
    <w:name w:val="EE0D2EE5ECF44D10901C53A639C930D8"/>
  </w:style>
  <w:style w:type="paragraph" w:customStyle="1" w:styleId="FEE23B17E62447CEB8970E3CDA8EA510">
    <w:name w:val="FEE23B17E62447CEB8970E3CDA8EA510"/>
  </w:style>
  <w:style w:type="paragraph" w:customStyle="1" w:styleId="EADDE05D224A4253B6D9FF5401904A2D">
    <w:name w:val="EADDE05D224A4253B6D9FF5401904A2D"/>
  </w:style>
  <w:style w:type="paragraph" w:customStyle="1" w:styleId="B9A14C12DEBB4157B7ED0A1E0A5878D2">
    <w:name w:val="B9A14C12DEBB4157B7ED0A1E0A5878D2"/>
  </w:style>
  <w:style w:type="paragraph" w:customStyle="1" w:styleId="FF5DE969867842FB8F0E70256E0EB094">
    <w:name w:val="FF5DE969867842FB8F0E70256E0EB094"/>
  </w:style>
  <w:style w:type="paragraph" w:customStyle="1" w:styleId="FE54B74A46BC40C7804D0695F2DAB6A0">
    <w:name w:val="FE54B74A46BC40C7804D0695F2DAB6A0"/>
  </w:style>
  <w:style w:type="paragraph" w:customStyle="1" w:styleId="F022FC560D764022810359145AA9BB96">
    <w:name w:val="F022FC560D764022810359145AA9BB96"/>
  </w:style>
  <w:style w:type="paragraph" w:customStyle="1" w:styleId="2688BE0E184B4F72A25D7DB314C119BB">
    <w:name w:val="2688BE0E184B4F72A25D7DB314C119BB"/>
  </w:style>
  <w:style w:type="paragraph" w:customStyle="1" w:styleId="3689E97988EA4AD18CA6701E497C91FD">
    <w:name w:val="3689E97988EA4AD18CA6701E497C91FD"/>
  </w:style>
  <w:style w:type="paragraph" w:customStyle="1" w:styleId="99340D60DF0E46788940066446A47DA7">
    <w:name w:val="99340D60DF0E46788940066446A47DA7"/>
  </w:style>
  <w:style w:type="paragraph" w:customStyle="1" w:styleId="AF4481EE671344F99FDF895E96A68E20">
    <w:name w:val="AF4481EE671344F99FDF895E96A68E20"/>
  </w:style>
  <w:style w:type="paragraph" w:customStyle="1" w:styleId="C594B084956A4443B55CE20599BDD584">
    <w:name w:val="C594B084956A4443B55CE20599BDD584"/>
  </w:style>
  <w:style w:type="paragraph" w:customStyle="1" w:styleId="5C6F31825E534E2C94C132184F274E37">
    <w:name w:val="5C6F31825E534E2C94C132184F274E37"/>
  </w:style>
  <w:style w:type="paragraph" w:customStyle="1" w:styleId="F47AE25923CC4EF28C18820B0B476BAC">
    <w:name w:val="F47AE25923CC4EF28C18820B0B476BAC"/>
  </w:style>
  <w:style w:type="paragraph" w:customStyle="1" w:styleId="087ACB69BBB94008B2EAC01B8D692A6F">
    <w:name w:val="087ACB69BBB94008B2EAC01B8D692A6F"/>
  </w:style>
  <w:style w:type="paragraph" w:customStyle="1" w:styleId="2B78B5213F4D4C4F8BA95F28342CF56B">
    <w:name w:val="2B78B5213F4D4C4F8BA95F28342CF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1352 Maple Knoll ct, lawrenceburg, IN 47025</CompanyAddress>
  <CompanyPhone>812.655.2444</CompanyPhone>
  <CompanyFax/>
  <CompanyEmail>Staceydrose@yahoo.com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BE1092-ECCB-44B5-8139-94A5015DE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7D011D5C-6393-4AF9-AC78-DE54D5EB6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3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Kroger Co.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Rose, Stacey</dc:creator>
  <cp:lastModifiedBy>Rose, Stacey</cp:lastModifiedBy>
  <cp:revision>4</cp:revision>
  <dcterms:created xsi:type="dcterms:W3CDTF">2019-01-23T17:15:00Z</dcterms:created>
  <dcterms:modified xsi:type="dcterms:W3CDTF">2019-04-29T14:11:00Z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  <property fmtid="{D5CDD505-2E9C-101B-9397-08002B2CF9AE}" pid="3" name="_AdHocReviewCycleID">
    <vt:i4>655204802</vt:i4>
  </property>
  <property fmtid="{D5CDD505-2E9C-101B-9397-08002B2CF9AE}" pid="4" name="_NewReviewCycle">
    <vt:lpwstr/>
  </property>
  <property fmtid="{D5CDD505-2E9C-101B-9397-08002B2CF9AE}" pid="5" name="_EmailSubject">
    <vt:lpwstr/>
  </property>
  <property fmtid="{D5CDD505-2E9C-101B-9397-08002B2CF9AE}" pid="6" name="_AuthorEmail">
    <vt:lpwstr>stacey.rose@kroger.com</vt:lpwstr>
  </property>
  <property fmtid="{D5CDD505-2E9C-101B-9397-08002B2CF9AE}" pid="7" name="_AuthorEmailDisplayName">
    <vt:lpwstr>Rose, Stacey</vt:lpwstr>
  </property>
</Properties>
</file>