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8f38e8a61d79aaff26eccf4dbf54d5284c5cbd"/>
    <w:p>
      <w:pPr>
        <w:pStyle w:val="Heading1"/>
      </w:pPr>
      <w:r>
        <w:t xml:space="preserve">GitHub Issue #11 Update — Source Review Complete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Task complete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integrate/evidence-search</w:t>
      </w:r>
      <w:r>
        <w:br/>
      </w:r>
      <w:r>
        <w:rPr>
          <w:bCs/>
          <w:b/>
        </w:rPr>
        <w:t xml:space="preserve">Commits:</w:t>
      </w:r>
      <w:r>
        <w:t xml:space="preserve"> </w:t>
      </w:r>
      <w:r>
        <w:rPr>
          <w:rStyle w:val="VerbatimChar"/>
        </w:rPr>
        <w:t xml:space="preserve">b87fd30</w:t>
      </w:r>
      <w:r>
        <w:t xml:space="preserve"> </w:t>
      </w:r>
      <w:r>
        <w:t xml:space="preserve">(register integration),</w:t>
      </w:r>
      <w:r>
        <w:t xml:space="preserve"> </w:t>
      </w:r>
      <w:r>
        <w:rPr>
          <w:rStyle w:val="VerbatimChar"/>
        </w:rPr>
        <w:t xml:space="preserve">93e5cf1</w:t>
      </w:r>
      <w:r>
        <w:t xml:space="preserve"> </w:t>
      </w:r>
      <w:r>
        <w:t xml:space="preserve">(findings)</w:t>
      </w:r>
      <w:r>
        <w:br/>
      </w:r>
      <w:r>
        <w:rPr>
          <w:bCs/>
          <w:b/>
        </w:rPr>
        <w:t xml:space="preserve">Findings document:</w:t>
      </w:r>
      <w:r>
        <w:t xml:space="preserve"> </w:t>
      </w:r>
      <w:hyperlink r:id="rId20">
        <w:r>
          <w:rPr>
            <w:rStyle w:val="VerbatimChar"/>
          </w:rPr>
          <w:t xml:space="preserve">docs/wexford-source-review-findings.md</w:t>
        </w:r>
      </w:hyperlink>
    </w:p>
    <w:p>
      <w:r>
        <w:pict>
          <v:rect style="width:0;height:1.5pt" o:hralign="center" o:hrstd="t" o:hr="t"/>
        </w:pict>
      </w:r>
    </w:p>
    <w:bookmarkStart w:id="22" w:name="what-was-verified"/>
    <w:p>
      <w:pPr>
        <w:pStyle w:val="Heading2"/>
      </w:pPr>
      <w:r>
        <w:t xml:space="preserve">What Was Verified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9 of 10 sources accessible</w:t>
      </w:r>
      <w:r>
        <w:t xml:space="preserve"> </w:t>
      </w:r>
      <w:r>
        <w:t xml:space="preserve">and content matches register descriptions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All 6 staged candidates verified</w:t>
      </w:r>
      <w:r>
        <w:t xml:space="preserve"> </w:t>
      </w:r>
      <w:r>
        <w:t xml:space="preserve">against exact source passages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Event dates, publication dates, and date precision accurately preserved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Evidence types correctly classified</w:t>
      </w:r>
      <w:r>
        <w:t xml:space="preserve"> </w:t>
      </w:r>
      <w:r>
        <w:t xml:space="preserve">(OFFICIAL_STATEMENT, OFFICIAL_REPORT, OPERATOR_STATEMENT, OFFICIAL_DESIGNATION, OFFICIAL_ASSESSMENT)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Rights status UNKNOWN is accurate</w:t>
      </w:r>
      <w:r>
        <w:t xml:space="preserve"> </w:t>
      </w:r>
      <w:r>
        <w:t xml:space="preserve">— public availability does not establish reuse permission</w:t>
      </w:r>
      <w:r>
        <w:br/>
      </w:r>
      <w:r>
        <w:t xml:space="preserve">⚠️</w:t>
      </w:r>
      <w:r>
        <w:t xml:space="preserve"> </w:t>
      </w:r>
      <w:r>
        <w:rPr>
          <w:bCs/>
          <w:b/>
        </w:rPr>
        <w:t xml:space="preserve">1 source blocked:</w:t>
      </w:r>
      <w:r>
        <w:t xml:space="preserve"> </w:t>
      </w:r>
      <w:r>
        <w:t xml:space="preserve">WCC SFRA consultation portal (alternative access needed)</w:t>
      </w:r>
    </w:p>
    <w:bookmarkStart w:id="21" w:name="source-verification-summary"/>
    <w:p>
      <w:pPr>
        <w:pStyle w:val="Heading3"/>
      </w:pPr>
      <w:r>
        <w:t xml:space="preserve">Source Verification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4"/>
        <w:gridCol w:w="2030"/>
        <w:gridCol w:w="162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wcc-plan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Wexford County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Variation No. 1, adopted 13th July 2026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epa-slaney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EPA / Catchments.ie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2024 report,</w:t>
            </w:r>
            <w:r>
              <w:t xml:space="preserve"> </w:t>
            </w:r>
            <w:r>
              <w:t xml:space="preserve">“</w:t>
            </w:r>
            <w:r>
              <w:t xml:space="preserve">based on data up to 2021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ue-tagoat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Uisce Éireann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€6.7m, Kilrane→Rosslare, spring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rosslare-plan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Rosslare Europort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€350m (5 components: masterplan, digitisation, BCP, N25, ORE)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npws-slaney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 000781 (Carlow, Wexford, Wicklow)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npws-harbour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004076 (Wexford)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mara-map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ArcGIS link identified; layer metadata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opw-flood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accessible; scenario/date inspection outstanding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wcc-planning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Wexford County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Planning search portal accessible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wcc-sfra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Wexford County Council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Consultation portal verification challenge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three-recommended-demonstration-cases"/>
    <w:p>
      <w:pPr>
        <w:pStyle w:val="Heading2"/>
      </w:pPr>
      <w:r>
        <w:t xml:space="preserve">Three Recommended Demonstration Cases</w:t>
      </w:r>
    </w:p>
    <w:bookmarkStart w:id="23" w:name="wexford-harbour-slaney-estuary"/>
    <w:p>
      <w:pPr>
        <w:pStyle w:val="Heading3"/>
      </w:pPr>
      <w:r>
        <w:t xml:space="preserve">1. Wexford Harbour / Slaney Estuary</w:t>
      </w:r>
    </w:p>
    <w:p>
      <w:pPr>
        <w:pStyle w:val="FirstParagraph"/>
      </w:pPr>
      <w:r>
        <w:rPr>
          <w:bCs/>
          <w:b/>
        </w:rPr>
        <w:t xml:space="preserve">Buyer decision:</w:t>
      </w:r>
      <w:r>
        <w:t xml:space="preserve"> </w:t>
      </w:r>
      <w:r>
        <w:t xml:space="preserve">“</w:t>
      </w:r>
      <w:r>
        <w:t xml:space="preserve">What environmental and planning evidence affects this harbour/estuary proposal?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Available evidence (5 records):</w:t>
      </w:r>
      <w:r>
        <w:t xml:space="preserve"> </w:t>
      </w:r>
      <w:r>
        <w:t xml:space="preserve">- Protected-site designations (SAC 000781, SPA 004076)</w:t>
      </w:r>
      <w:r>
        <w:t xml:space="preserve"> </w:t>
      </w:r>
      <w:r>
        <w:t xml:space="preserve">- Water-quality status (harbour waterbody: Moderate, at risk; 2016–2021 data)</w:t>
      </w:r>
      <w:r>
        <w:t xml:space="preserve"> </w:t>
      </w:r>
      <w:r>
        <w:t xml:space="preserve">- County plan variation (2026-07-13)</w:t>
      </w:r>
    </w:p>
    <w:p>
      <w:pPr>
        <w:pStyle w:val="BodyText"/>
      </w:pPr>
      <w:r>
        <w:rPr>
          <w:bCs/>
          <w:b/>
        </w:rPr>
        <w:t xml:space="preserve">Missing before demonstration:</w:t>
      </w:r>
      <w:r>
        <w:t xml:space="preserve"> </w:t>
      </w:r>
      <w:r>
        <w:t xml:space="preserve">- Proposal geometry (which development?)</w:t>
      </w:r>
      <w:r>
        <w:t xml:space="preserve"> </w:t>
      </w:r>
      <w:r>
        <w:t xml:space="preserve">- Live 2025–2026 monitoring (EPA uses 2021 data)</w:t>
      </w:r>
      <w:r>
        <w:t xml:space="preserve"> </w:t>
      </w:r>
      <w:r>
        <w:t xml:space="preserve">- Approved layer reuse permissions</w:t>
      </w:r>
      <w:r>
        <w:t xml:space="preserve"> </w:t>
      </w:r>
      <w:r>
        <w:t xml:space="preserve">- Passage-level source anchors</w:t>
      </w:r>
    </w:p>
    <w:p>
      <w:r>
        <w:pict>
          <v:rect style="width:0;height:1.5pt" o:hralign="center" o:hrstd="t" o:hr="t"/>
        </w:pict>
      </w:r>
    </w:p>
    <w:bookmarkEnd w:id="23"/>
    <w:bookmarkStart w:id="24" w:name="rosslarekilranetagoat"/>
    <w:p>
      <w:pPr>
        <w:pStyle w:val="Heading3"/>
      </w:pPr>
      <w:r>
        <w:t xml:space="preserve">2. Rosslare–Kilrane–Tagoat</w:t>
      </w:r>
    </w:p>
    <w:p>
      <w:pPr>
        <w:pStyle w:val="FirstParagraph"/>
      </w:pPr>
      <w:r>
        <w:rPr>
          <w:bCs/>
          <w:b/>
        </w:rPr>
        <w:t xml:space="preserve">Buyer decision:</w:t>
      </w:r>
      <w:r>
        <w:t xml:space="preserve"> </w:t>
      </w:r>
      <w:r>
        <w:t xml:space="preserve">“</w:t>
      </w:r>
      <w:r>
        <w:t xml:space="preserve">Which infrastructure dependencies affect wastewater-dependent development delivery?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Available evidence (5 records):</w:t>
      </w:r>
      <w:r>
        <w:t xml:space="preserve"> </w:t>
      </w:r>
      <w:r>
        <w:t xml:space="preserve">- UÉ Tagoat project (€6.7m, Tagoat → Kilrane → Rosslare, spring 2027 forecast)</w:t>
      </w:r>
      <w:r>
        <w:t xml:space="preserve"> </w:t>
      </w:r>
      <w:r>
        <w:t xml:space="preserve">- Rosslare €350m investment (5 separate components)</w:t>
      </w:r>
      <w:r>
        <w:t xml:space="preserve"> </w:t>
      </w:r>
      <w:r>
        <w:t xml:space="preserve">- Rosslare Harbour waterbody (HMWB, under review)</w:t>
      </w:r>
    </w:p>
    <w:p>
      <w:pPr>
        <w:pStyle w:val="BodyText"/>
      </w:pPr>
      <w:r>
        <w:rPr>
          <w:bCs/>
          <w:b/>
        </w:rPr>
        <w:t xml:space="preserve">Missing before demonstration:</w:t>
      </w:r>
      <w:r>
        <w:t xml:space="preserve"> </w:t>
      </w:r>
      <w:r>
        <w:t xml:space="preserve">- Separate project stages (completed vs. forecast milestones)</w:t>
      </w:r>
      <w:r>
        <w:t xml:space="preserve"> </w:t>
      </w:r>
      <w:r>
        <w:t xml:space="preserve">- Funding and approval sources</w:t>
      </w:r>
      <w:r>
        <w:t xml:space="preserve"> </w:t>
      </w:r>
      <w:r>
        <w:t xml:space="preserve">- Verified asset identities (does</w:t>
      </w:r>
      <w:r>
        <w:t xml:space="preserve"> </w:t>
      </w:r>
      <w:r>
        <w:t xml:space="preserve">“</w:t>
      </w:r>
      <w:r>
        <w:t xml:space="preserve">Rosslare WWTP</w:t>
      </w:r>
      <w:r>
        <w:t xml:space="preserve">”</w:t>
      </w:r>
      <w:r>
        <w:t xml:space="preserve"> </w:t>
      </w:r>
      <w:r>
        <w:t xml:space="preserve">match EPA records?)</w:t>
      </w:r>
      <w:r>
        <w:t xml:space="preserve"> </w:t>
      </w:r>
      <w:r>
        <w:t xml:space="preserve">- Individual Rosslare component status</w:t>
      </w:r>
    </w:p>
    <w:p>
      <w:r>
        <w:pict>
          <v:rect style="width:0;height:1.5pt" o:hralign="center" o:hrstd="t" o:hr="t"/>
        </w:pict>
      </w:r>
    </w:p>
    <w:bookmarkEnd w:id="24"/>
    <w:bookmarkStart w:id="25" w:name="enniscorthy-slaney"/>
    <w:p>
      <w:pPr>
        <w:pStyle w:val="Heading3"/>
      </w:pPr>
      <w:r>
        <w:t xml:space="preserve">3. Enniscorthy / Slaney</w:t>
      </w:r>
    </w:p>
    <w:p>
      <w:pPr>
        <w:pStyle w:val="FirstParagraph"/>
      </w:pPr>
      <w:r>
        <w:rPr>
          <w:bCs/>
          <w:b/>
        </w:rPr>
        <w:t xml:space="preserve">Buyer decision:</w:t>
      </w:r>
      <w:r>
        <w:t xml:space="preserve"> </w:t>
      </w:r>
      <w:r>
        <w:t xml:space="preserve">“</w:t>
      </w:r>
      <w:r>
        <w:t xml:space="preserve">What flood, water, and planning evidence must be considered together for a site near Enniscorthy?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Available evidence (5 source categories):</w:t>
      </w:r>
      <w:r>
        <w:t xml:space="preserve"> </w:t>
      </w:r>
      <w:r>
        <w:t xml:space="preserve">- Slaney water-quality assessments (2016–2021 data)</w:t>
      </w:r>
      <w:r>
        <w:t xml:space="preserve"> </w:t>
      </w:r>
      <w:r>
        <w:t xml:space="preserve">- OPW flood-map layers (national and community-scale; scenario pending)</w:t>
      </w:r>
      <w:r>
        <w:t xml:space="preserve"> </w:t>
      </w:r>
      <w:r>
        <w:t xml:space="preserve">- Protected-site designation (SAC 000781)</w:t>
      </w:r>
      <w:r>
        <w:t xml:space="preserve"> </w:t>
      </w:r>
      <w:r>
        <w:t xml:space="preserve">- Planning portal search</w:t>
      </w:r>
      <w:r>
        <w:t xml:space="preserve"> </w:t>
      </w:r>
      <w:r>
        <w:t xml:space="preserve">- County plan (2022–2028 + Variation 1)</w:t>
      </w:r>
    </w:p>
    <w:p>
      <w:pPr>
        <w:pStyle w:val="BodyText"/>
      </w:pPr>
      <w:r>
        <w:rPr>
          <w:bCs/>
          <w:b/>
        </w:rPr>
        <w:t xml:space="preserve">Missing before demonstration:</w:t>
      </w:r>
      <w:r>
        <w:t xml:space="preserve"> </w:t>
      </w:r>
      <w:r>
        <w:t xml:space="preserve">- Inspected flood layer metadata (AEP scenario, climate scenario, date)</w:t>
      </w:r>
      <w:r>
        <w:t xml:space="preserve"> </w:t>
      </w:r>
      <w:r>
        <w:t xml:space="preserve">- Selected public planning case</w:t>
      </w:r>
      <w:r>
        <w:t xml:space="preserve"> </w:t>
      </w:r>
      <w:r>
        <w:t xml:space="preserve">- SFRA access (blocked; alternative route needed)</w:t>
      </w:r>
      <w:r>
        <w:t xml:space="preserve"> </w:t>
      </w:r>
      <w:r>
        <w:t xml:space="preserve">- Site-specific intersection (waterbody/flood/protected boundary)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remaining-blockers"/>
    <w:p>
      <w:pPr>
        <w:pStyle w:val="Heading2"/>
      </w:pPr>
      <w:r>
        <w:t xml:space="preserve">Remaining Blockers</w:t>
      </w:r>
    </w:p>
    <w:bookmarkStart w:id="27" w:name="high-priority"/>
    <w:p>
      <w:pPr>
        <w:pStyle w:val="Heading3"/>
      </w:pPr>
      <w:r>
        <w:t xml:space="preserve">High Priority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Rights/permissions:</w:t>
      </w:r>
      <w:r>
        <w:t xml:space="preserve"> </w:t>
      </w:r>
      <w:r>
        <w:t xml:space="preserve">Seek embedding/redistribution approval from WCC, NPWS, EPA, OPW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Case selection:</w:t>
      </w:r>
      <w:r>
        <w:t xml:space="preserve"> </w:t>
      </w:r>
      <w:r>
        <w:t xml:space="preserve">Choose one real public proposal per case with the buyer (as stated in delivery plan)</w:t>
      </w:r>
    </w:p>
    <w:bookmarkEnd w:id="27"/>
    <w:bookmarkStart w:id="28" w:name="medium-priority"/>
    <w:p>
      <w:pPr>
        <w:pStyle w:val="Heading3"/>
      </w:pPr>
      <w:r>
        <w:t xml:space="preserve">Medium Priority</w:t>
      </w:r>
    </w:p>
    <w:p>
      <w:pPr>
        <w:numPr>
          <w:ilvl w:val="0"/>
          <w:numId w:val="1002"/>
        </w:numPr>
        <w:pStyle w:val="Compact"/>
      </w:pPr>
      <w:r>
        <w:t xml:space="preserve">☐ Retrieve WCC SFRA (consultation portal blocked)</w:t>
      </w:r>
    </w:p>
    <w:p>
      <w:pPr>
        <w:numPr>
          <w:ilvl w:val="0"/>
          <w:numId w:val="1002"/>
        </w:numPr>
        <w:pStyle w:val="Compact"/>
      </w:pPr>
      <w:r>
        <w:t xml:space="preserve">☐ Inspect OPW flood-map layer metadata (scenario, climate, date, defences)</w:t>
      </w:r>
    </w:p>
    <w:p>
      <w:pPr>
        <w:numPr>
          <w:ilvl w:val="0"/>
          <w:numId w:val="1002"/>
        </w:numPr>
        <w:pStyle w:val="Compact"/>
      </w:pPr>
      <w:r>
        <w:t xml:space="preserve">☐ Inspect MARA layer catalogue and API</w:t>
      </w:r>
    </w:p>
    <w:p>
      <w:pPr>
        <w:numPr>
          <w:ilvl w:val="0"/>
          <w:numId w:val="1002"/>
        </w:numPr>
        <w:pStyle w:val="Compact"/>
      </w:pPr>
      <w:r>
        <w:t xml:space="preserve">☐ Identify one real planning application per case area</w:t>
      </w:r>
    </w:p>
    <w:p>
      <w:pPr>
        <w:numPr>
          <w:ilvl w:val="0"/>
          <w:numId w:val="1002"/>
        </w:numPr>
        <w:pStyle w:val="Compact"/>
      </w:pPr>
      <w:r>
        <w:t xml:space="preserve">☐ Extract passage-level anchors (PDF page/section) for each candidate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next-small-implementation-task"/>
    <w:p>
      <w:pPr>
        <w:pStyle w:val="Heading2"/>
      </w:pPr>
      <w:r>
        <w:t xml:space="preserve">Next Small Implementation Task</w:t>
      </w:r>
    </w:p>
    <w:p>
      <w:pPr>
        <w:pStyle w:val="FirstParagraph"/>
      </w:pPr>
      <w:r>
        <w:rPr>
          <w:bCs/>
          <w:b/>
        </w:rPr>
        <w:t xml:space="preserve">Recommendation:</w:t>
      </w:r>
      <w:r>
        <w:t xml:space="preserve"> </w:t>
      </w:r>
      <w:r>
        <w:rPr>
          <w:bCs/>
          <w:b/>
        </w:rPr>
        <w:t xml:space="preserve">Task 1</w:t>
      </w:r>
      <w:r>
        <w:t xml:space="preserve"> </w:t>
      </w:r>
      <w:r>
        <w:t xml:space="preserve">from delivery plan —</w:t>
      </w:r>
      <w:r>
        <w:t xml:space="preserve"> </w:t>
      </w:r>
      <w:r>
        <w:rPr>
          <w:bCs/>
          <w:b/>
        </w:rPr>
        <w:t xml:space="preserve">Approve source permissions and select the three cases</w:t>
      </w:r>
    </w:p>
    <w:p>
      <w:pPr>
        <w:pStyle w:val="BodyText"/>
      </w:pPr>
      <w:r>
        <w:rPr>
          <w:bCs/>
          <w:b/>
        </w:rPr>
        <w:t xml:space="preserve">Why this task first:</w:t>
      </w:r>
      <w:r>
        <w:t xml:space="preserve"> </w:t>
      </w:r>
      <w:r>
        <w:t xml:space="preserve">- No source import, adapter work, or map implementation can proceed without:</w:t>
      </w:r>
      <w:r>
        <w:t xml:space="preserve"> </w:t>
      </w:r>
      <w:r>
        <w:t xml:space="preserve">1. Knowing which sources are permitted for embedding/export</w:t>
      </w:r>
      <w:r>
        <w:t xml:space="preserve"> </w:t>
      </w:r>
      <w:r>
        <w:t xml:space="preserve">2. Knowing which real proposals anchor each demonstration</w:t>
      </w:r>
      <w:r>
        <w:t xml:space="preserve"> </w:t>
      </w:r>
      <w:r>
        <w:t xml:space="preserve">3. Defining measurable scope (5–10 reviewed claims per case, not county-wide)</w:t>
      </w:r>
    </w:p>
    <w:p>
      <w:pPr>
        <w:pStyle w:val="BodyText"/>
      </w:pPr>
      <w:r>
        <w:rPr>
          <w:bCs/>
          <w:b/>
        </w:rPr>
        <w:t xml:space="preserve">Concrete deliverables:</w:t>
      </w:r>
      <w:r>
        <w:t xml:space="preserve"> </w:t>
      </w:r>
      <w:r>
        <w:t xml:space="preserve">1. Rights status updated per source (GRANTED / DENIED / CONDITIONALLY_GRANTED / REMAINS_UNKNOWN)</w:t>
      </w:r>
      <w:r>
        <w:t xml:space="preserve"> </w:t>
      </w:r>
      <w:r>
        <w:t xml:space="preserve">2. One real current proposal identified per case (with buyer)</w:t>
      </w:r>
      <w:r>
        <w:t xml:space="preserve"> </w:t>
      </w:r>
      <w:r>
        <w:t xml:space="preserve">3. Demonstration scope confirmed (claim count, geography, acceptance criteria)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2–3 days (depends on rights response times and buyer availability)</w:t>
      </w:r>
    </w:p>
    <w:p>
      <w:r>
        <w:pict>
          <v:rect style="width:0;height:1.5pt" o:hralign="center" o:hrstd="t" o:hr="t"/>
        </w:pict>
      </w:r>
    </w:p>
    <w:bookmarkEnd w:id="30"/>
    <w:bookmarkStart w:id="31" w:name="what-this-enables"/>
    <w:p>
      <w:pPr>
        <w:pStyle w:val="Heading2"/>
      </w:pPr>
      <w:r>
        <w:t xml:space="preserve">What This Enables</w:t>
      </w:r>
    </w:p>
    <w:p>
      <w:pPr>
        <w:pStyle w:val="FirstParagraph"/>
      </w:pPr>
      <w:r>
        <w:t xml:space="preserve">✅ Honest map showing 2021 water quality, protected sites, operator plans, and county policies</w:t>
      </w:r>
      <w:r>
        <w:br/>
      </w:r>
      <w:r>
        <w:t xml:space="preserve">✅ Explicit coverage gaps (no live 2026 data, no proposal-specific analysis)</w:t>
      </w:r>
      <w:r>
        <w:br/>
      </w:r>
      <w:r>
        <w:t xml:space="preserve">✅ Source-linked evidence (once passage anchors extracted)</w:t>
      </w:r>
      <w:r>
        <w:br/>
      </w:r>
      <w:r>
        <w:t xml:space="preserve">❌ Cannot yet anchor to a real buyer proposal</w:t>
      </w:r>
      <w:r>
        <w:br/>
      </w:r>
      <w:r>
        <w:t xml:space="preserve">❌ Cannot show live measurements</w:t>
      </w:r>
      <w:r>
        <w:br/>
      </w:r>
      <w:r>
        <w:t xml:space="preserve">❌ Cannot embed layers or export evidence briefs without permissions</w:t>
      </w:r>
    </w:p>
    <w:p>
      <w:r>
        <w:pict>
          <v:rect style="width:0;height:1.5pt" o:hralign="center" o:hrstd="t" o:hr="t"/>
        </w:pict>
      </w:r>
    </w:p>
    <w:bookmarkEnd w:id="31"/>
    <w:bookmarkStart w:id="36" w:name="related-files"/>
    <w:p>
      <w:pPr>
        <w:pStyle w:val="Heading2"/>
      </w:pPr>
      <w:r>
        <w:t xml:space="preserve">Related Files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Findings:</w:t>
      </w:r>
      <w:r>
        <w:t xml:space="preserve"> </w:t>
      </w:r>
      <w:hyperlink r:id="rId20">
        <w:r>
          <w:rPr>
            <w:rStyle w:val="VerbatimChar"/>
          </w:rPr>
          <w:t xml:space="preserve">docs/wexford-source-review-findings.md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Delivery plan:</w:t>
      </w:r>
      <w:r>
        <w:t xml:space="preserve"> </w:t>
      </w:r>
      <w:hyperlink r:id="rId32">
        <w:r>
          <w:rPr>
            <w:rStyle w:val="VerbatimChar"/>
          </w:rPr>
          <w:t xml:space="preserve">docs/wexford-delivery-plan.md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Source register:</w:t>
      </w:r>
      <w:r>
        <w:t xml:space="preserve"> </w:t>
      </w:r>
      <w:hyperlink r:id="rId33">
        <w:r>
          <w:rPr>
            <w:rStyle w:val="VerbatimChar"/>
          </w:rPr>
          <w:t xml:space="preserve">pipeline/wexford/source-register.json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Review candidates:</w:t>
      </w:r>
      <w:r>
        <w:t xml:space="preserve"> </w:t>
      </w:r>
      <w:hyperlink r:id="rId34">
        <w:r>
          <w:rPr>
            <w:rStyle w:val="VerbatimChar"/>
          </w:rPr>
          <w:t xml:space="preserve">pipeline/wexford/review-candidates.json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Question register:</w:t>
      </w:r>
      <w:r>
        <w:t xml:space="preserve"> </w:t>
      </w:r>
      <w:hyperlink r:id="rId35">
        <w:r>
          <w:rPr>
            <w:rStyle w:val="VerbatimChar"/>
          </w:rPr>
          <w:t xml:space="preserve">pipeline/wexford/question-register.json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No production import, no embeddings, no monitoring — documentation and verification only.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github.com/bcromer77/bioveracity/blob/integrate/evidence-search/docs/wexford-delivery-plan.md" TargetMode="External" /><Relationship Type="http://schemas.openxmlformats.org/officeDocument/2006/relationships/hyperlink" Id="rId20" Target="https://github.com/bcromer77/bioveracity/blob/integrate/evidence-search/docs/wexford-source-review-findings.md" TargetMode="External" /><Relationship Type="http://schemas.openxmlformats.org/officeDocument/2006/relationships/hyperlink" Id="rId35" Target="https://github.com/bcromer77/bioveracity/blob/integrate/evidence-search/pipeline/wexford/question-register.json" TargetMode="External" /><Relationship Type="http://schemas.openxmlformats.org/officeDocument/2006/relationships/hyperlink" Id="rId34" Target="https://github.com/bcromer77/bioveracity/blob/integrate/evidence-search/pipeline/wexford/review-candidates.json" TargetMode="External" /><Relationship Type="http://schemas.openxmlformats.org/officeDocument/2006/relationships/hyperlink" Id="rId33" Target="https://github.com/bcromer77/bioveracity/blob/integrate/evidence-search/pipeline/wexford/source-register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bcromer77/bioveracity/blob/integrate/evidence-search/docs/wexford-delivery-plan.md" TargetMode="External" /><Relationship Type="http://schemas.openxmlformats.org/officeDocument/2006/relationships/hyperlink" Id="rId20" Target="https://github.com/bcromer77/bioveracity/blob/integrate/evidence-search/docs/wexford-source-review-findings.md" TargetMode="External" /><Relationship Type="http://schemas.openxmlformats.org/officeDocument/2006/relationships/hyperlink" Id="rId35" Target="https://github.com/bcromer77/bioveracity/blob/integrate/evidence-search/pipeline/wexford/question-register.json" TargetMode="External" /><Relationship Type="http://schemas.openxmlformats.org/officeDocument/2006/relationships/hyperlink" Id="rId34" Target="https://github.com/bcromer77/bioveracity/blob/integrate/evidence-search/pipeline/wexford/review-candidates.json" TargetMode="External" /><Relationship Type="http://schemas.openxmlformats.org/officeDocument/2006/relationships/hyperlink" Id="rId33" Target="https://github.com/bcromer77/bioveracity/blob/integrate/evidence-search/pipeline/wexford/source-register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2026-09-08T21:46:17Z</dcterms:created>
  <dcterms:modified xsi:type="dcterms:W3CDTF">2026-09-08T21:46:17Z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