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ind w:firstLine="0"/>
        <w:jc w:val="center"/>
      </w:pPr>
      <w:r>
        <w:rPr>
          <w:rFonts w:ascii="微软雅黑" w:hAnsi="微软雅黑" w:eastAsia="微软雅黑"/>
          <w:b/>
          <w:color w:val="2E74B5"/>
          <w:sz w:val="24"/>
        </w:rPr>
        <w:t>2020 年全国大学生数学建模竞赛 C 题</w:t>
      </w:r>
    </w:p>
    <w:p>
      <w:pPr>
        <w:spacing w:before="440" w:after="240"/>
        <w:ind w:firstLine="0"/>
        <w:jc w:val="center"/>
      </w:pPr>
      <w:r>
        <w:rPr>
          <w:rFonts w:ascii="微软雅黑" w:hAnsi="微软雅黑" w:eastAsia="微软雅黑"/>
          <w:b/>
          <w:color w:val="17324D"/>
          <w:sz w:val="56"/>
        </w:rPr>
        <w:t>中小微企业的信贷决策</w:t>
      </w:r>
    </w:p>
    <w:p>
      <w:pPr>
        <w:ind w:firstLine="0"/>
        <w:jc w:val="center"/>
      </w:pPr>
      <w:r>
        <w:rPr>
          <w:rFonts w:ascii="微软雅黑" w:hAnsi="微软雅黑" w:eastAsia="微软雅黑"/>
          <w:color w:val="5F6B76"/>
          <w:sz w:val="28"/>
        </w:rPr>
        <w:t>信用风险迁移评价、利率需求响应与多情景鲁棒优化</w:t>
      </w:r>
    </w:p>
    <w:p>
      <w:pPr>
        <w:spacing w:after="2100"/>
      </w:pPr>
    </w:p>
    <w:p>
      <w:pPr>
        <w:ind w:firstLine="0"/>
        <w:jc w:val="center"/>
      </w:pPr>
      <w:r>
        <w:rPr>
          <w:rFonts w:ascii="微软雅黑" w:hAnsi="微软雅黑" w:eastAsia="微软雅黑"/>
          <w:b/>
          <w:color w:val="2E74B5"/>
          <w:sz w:val="22"/>
        </w:rPr>
        <w:t>论文初稿｜可复现建模稿</w:t>
      </w:r>
    </w:p>
    <w:p>
      <w:pPr>
        <w:ind w:firstLine="0"/>
        <w:jc w:val="center"/>
      </w:pPr>
      <w:r>
        <w:rPr>
          <w:rFonts w:ascii="宋体" w:hAnsi="宋体" w:eastAsia="宋体"/>
          <w:color w:val="5F6B76"/>
          <w:sz w:val="21"/>
        </w:rPr>
        <w:t>2026 年 9 月</w:t>
      </w:r>
    </w:p>
    <w:p>
      <w:r>
        <w:br w:type="page"/>
      </w:r>
    </w:p>
    <w:p>
      <w:pPr>
        <w:pStyle w:val="Heading1"/>
      </w:pPr>
      <w:r>
        <w:t>摘  要</w:t>
      </w:r>
    </w:p>
    <w:p>
      <w:r>
        <w:rPr>
          <w:rFonts w:ascii="宋体" w:hAnsi="宋体" w:eastAsia="宋体"/>
          <w:sz w:val="21"/>
        </w:rPr>
        <w:t>针对银行在小样本、有标签企业与大样本、无信贷记录企业之间制定年度授信策略的问题，本文建立“经营特征—信用风险—利率响应—组合决策”的递进模型。首先对企业信息和进销项发票进行语义审计，保留冲销、退款等负数记录，在统一时间窗内构造规模、活跃度、波动、趋势、集中度和异常发票等32维经营特征。以信誉评级为主监督标签，采用多项 Logistic 与浅层 XGBoost 的折外概率融合构造信用风险指数 CRI；重复分层交叉验证得到融合模型 Accuracy 0.6016、Macro-F1 0.6086、二次加权 Kappa 0.6666。历史违约只用于检验 CRI 的风险方向及形成评级损失尺度，折外 CRI 对历史违约的 AUC 为0.9066，不将其解释为已校准的企业违约概率。随后利用保序回归拟合附件3中利率与客户流失率的单调关系，把冻结的风险模型迁移至302家企业，并在单户10万至100万元、年利率4%至15%的范围内求解信贷组合。在1亿元预算和1.30%组合风险敞口上限下，名义策略选择101家企业，预算误差为0，最小授信23.19万元，期望年度效益142.90万元。最后由发票波动、近期下滑、上下游集中度、负数发票率和活跃度构造经营脆弱度，设置轻度、中度和重度压力情景，通过 maximin 混合整数规划最大化最坏情景效益。三种情景下组合效益分别为132.46万元、114.75万元和90.99万元；压力强度提高到1.5倍时最坏效益仍为69.96万元。SHAP 结果表明，销项净额规模、正额规模、近12月销售和客户集中度是风险评价的主要解释变量。本文同时给出风险上限、LGD和冲击强度敏感性，以区分数据事实与银行风险偏好假设。</w:t>
      </w:r>
    </w:p>
    <w:p>
      <w:pPr>
        <w:ind w:firstLine="0"/>
      </w:pPr>
      <w:r>
        <w:rPr>
          <w:rFonts w:ascii="黑体" w:hAnsi="黑体" w:eastAsia="黑体"/>
          <w:b/>
          <w:color w:val="17324D"/>
          <w:sz w:val="21"/>
        </w:rPr>
        <w:t>关键词：</w:t>
      </w:r>
      <w:r>
        <w:rPr>
          <w:rFonts w:ascii="宋体" w:hAnsi="宋体" w:eastAsia="宋体"/>
          <w:sz w:val="21"/>
        </w:rPr>
        <w:t>中小微企业；信用风险迁移；XGBoost；保序回归；鲁棒优化；SHAP</w:t>
      </w:r>
    </w:p>
    <w:p>
      <w:r>
        <w:br w:type="page"/>
      </w:r>
    </w:p>
    <w:p>
      <w:pPr>
        <w:pStyle w:val="Heading1"/>
      </w:pPr>
      <w:r>
        <w:t>目  录</w:t>
      </w:r>
    </w:p>
    <w:p>
      <w:pPr>
        <w:spacing w:after="140"/>
        <w:ind w:firstLine="0" w:left="283"/>
      </w:pPr>
      <w:r>
        <w:rPr>
          <w:rFonts w:ascii="宋体" w:hAnsi="宋体" w:eastAsia="宋体"/>
          <w:sz w:val="22"/>
        </w:rPr>
        <w:t>1  问题重述与总体分析</w:t>
      </w:r>
    </w:p>
    <w:p>
      <w:pPr>
        <w:spacing w:after="140"/>
        <w:ind w:firstLine="0" w:left="283"/>
      </w:pPr>
      <w:r>
        <w:rPr>
          <w:rFonts w:ascii="宋体" w:hAnsi="宋体" w:eastAsia="宋体"/>
          <w:sz w:val="22"/>
        </w:rPr>
        <w:t>2  数据审计、模型假设与符号</w:t>
      </w:r>
    </w:p>
    <w:p>
      <w:pPr>
        <w:spacing w:after="140"/>
        <w:ind w:firstLine="0" w:left="283"/>
      </w:pPr>
      <w:r>
        <w:rPr>
          <w:rFonts w:ascii="宋体" w:hAnsi="宋体" w:eastAsia="宋体"/>
          <w:sz w:val="22"/>
        </w:rPr>
        <w:t>3  经营特征与信用风险评价</w:t>
      </w:r>
    </w:p>
    <w:p>
      <w:pPr>
        <w:spacing w:after="140"/>
        <w:ind w:firstLine="0" w:left="283"/>
      </w:pPr>
      <w:r>
        <w:rPr>
          <w:rFonts w:ascii="宋体" w:hAnsi="宋体" w:eastAsia="宋体"/>
          <w:sz w:val="22"/>
        </w:rPr>
        <w:t>4  问题一：有信贷记录企业的信贷策略</w:t>
      </w:r>
    </w:p>
    <w:p>
      <w:pPr>
        <w:spacing w:after="140"/>
        <w:ind w:firstLine="0" w:left="283"/>
      </w:pPr>
      <w:r>
        <w:rPr>
          <w:rFonts w:ascii="宋体" w:hAnsi="宋体" w:eastAsia="宋体"/>
          <w:sz w:val="22"/>
        </w:rPr>
        <w:t>5  问题二：风险迁移与一亿元信贷组合</w:t>
      </w:r>
    </w:p>
    <w:p>
      <w:pPr>
        <w:spacing w:after="140"/>
        <w:ind w:firstLine="0" w:left="283"/>
      </w:pPr>
      <w:r>
        <w:rPr>
          <w:rFonts w:ascii="宋体" w:hAnsi="宋体" w:eastAsia="宋体"/>
          <w:sz w:val="22"/>
        </w:rPr>
        <w:t>6  问题三：突发事件下的鲁棒信贷策略</w:t>
      </w:r>
    </w:p>
    <w:p>
      <w:pPr>
        <w:spacing w:after="140"/>
        <w:ind w:firstLine="0" w:left="283"/>
      </w:pPr>
      <w:r>
        <w:rPr>
          <w:rFonts w:ascii="宋体" w:hAnsi="宋体" w:eastAsia="宋体"/>
          <w:sz w:val="22"/>
        </w:rPr>
        <w:t>7  模型解释、敏感性与稳健性</w:t>
      </w:r>
    </w:p>
    <w:p>
      <w:pPr>
        <w:spacing w:after="140"/>
        <w:ind w:firstLine="0" w:left="283"/>
      </w:pPr>
      <w:r>
        <w:rPr>
          <w:rFonts w:ascii="宋体" w:hAnsi="宋体" w:eastAsia="宋体"/>
          <w:sz w:val="22"/>
        </w:rPr>
        <w:t>8  模型评价、局限与推广</w:t>
      </w:r>
    </w:p>
    <w:p>
      <w:pPr>
        <w:spacing w:after="140"/>
        <w:ind w:firstLine="0" w:left="283"/>
      </w:pPr>
      <w:r>
        <w:rPr>
          <w:rFonts w:ascii="宋体" w:hAnsi="宋体" w:eastAsia="宋体"/>
          <w:sz w:val="22"/>
        </w:rPr>
        <w:t>9  结论</w:t>
      </w:r>
    </w:p>
    <w:p>
      <w:pPr>
        <w:spacing w:after="140"/>
        <w:ind w:firstLine="0" w:left="680"/>
      </w:pPr>
      <w:r>
        <w:rPr>
          <w:rFonts w:ascii="宋体" w:hAnsi="宋体" w:eastAsia="宋体"/>
          <w:sz w:val="22"/>
        </w:rPr>
        <w:t>附录  复现信息与参考文献</w:t>
      </w:r>
    </w:p>
    <w:p>
      <w:r>
        <w:br w:type="page"/>
      </w:r>
    </w:p>
    <w:p>
      <w:pPr>
        <w:pStyle w:val="Heading1"/>
      </w:pPr>
      <w:r>
        <w:t>1  问题重述与总体分析</w:t>
      </w:r>
    </w:p>
    <w:p>
      <w:r>
        <w:rPr>
          <w:rFonts w:ascii="宋体" w:hAnsi="宋体" w:eastAsia="宋体"/>
          <w:sz w:val="21"/>
        </w:rPr>
        <w:t>银行需要依据企业经营信息、历史信誉及客户对贷款利率的响应，在总额度受限时决定“贷给谁、贷多少、以何种利率贷”。附件1提供123家有信贷记录企业，可用于识别经营特征与信誉评级之间的关系；附件2只有302家企业的经营与发票信息，需要把问题一学得的关系迁移过去；附件3给出不同信誉等级客户在若干年利率下的流失率，是利率决策的需求侧依据。</w:t>
      </w:r>
    </w:p>
    <w:p>
      <w:r>
        <w:rPr>
          <w:rFonts w:ascii="宋体" w:hAnsi="宋体" w:eastAsia="宋体"/>
          <w:sz w:val="21"/>
        </w:rPr>
        <w:t>三问之间存在明确的因果链。问题一先建立可解释的信用风险评价，并把风险排序转化为固定额度下的授信方案；问题二冻结该评价关系，在无历史信贷标签的企业上估计风险，同时将利率—流失率函数加入组合效益；问题三不重新训练风险模型，而是对风险和客户留存施加参数化压力，寻找在全部情景中最坏收益最大的组合。这样既避免在302家企业上凭空制造标签，也使突发事件只作用于可解释的风险与需求通道。</w:t>
      </w:r>
    </w:p>
    <w:p>
      <w:r>
        <w:rPr>
          <w:rFonts w:ascii="宋体" w:hAnsi="宋体" w:eastAsia="宋体"/>
          <w:sz w:val="21"/>
        </w:rPr>
        <w:t>本文不以单一综合评分替代决策。CRI 用于描述信用质量，保序流失曲线描述价格响应，MILP 决定额度组合，SHAP 则用于追溯风险来源。各模块输入输出保持分离，使信用评价误差、风险偏好和压力参数能够分别检查。</w:t>
      </w:r>
    </w:p>
    <w:p>
      <w:pPr>
        <w:pStyle w:val="Heading1"/>
      </w:pPr>
      <w:r>
        <w:t>2  数据审计、模型假设与符号</w:t>
      </w:r>
    </w:p>
    <w:p>
      <w:pPr>
        <w:pStyle w:val="Heading2"/>
      </w:pPr>
      <w:r>
        <w:t>2.1  数据规模与清洗原则</w:t>
      </w:r>
    </w:p>
    <w:p>
      <w:r>
        <w:rPr>
          <w:rFonts w:ascii="宋体" w:hAnsi="宋体" w:eastAsia="宋体"/>
          <w:sz w:val="21"/>
        </w:rPr>
        <w:t>发票表按照字段语义而不是工作表顺序识别进项与销项。企业与发票的连接键为企业代号；精确重复的8字段整行记录删除，而同一发票号码在不同日期或金额下出现时保留，因为发票号码可能跨年度复用。负数金额代表退款、折让或冲销，若直接取绝对值会破坏净现金流方向，因此保留其符号并另行构造负数比例。</w:t>
      </w:r>
    </w:p>
    <w:tbl>
      <w:tblPr>
        <w:tblStyle w:val="TableGrid"/>
        <w:tblW w:type="dxa" w:w="9180"/>
        <w:jc w:val="center"/>
        <w:tblLayout w:type="fixed"/>
        <w:tblLook w:firstColumn="1" w:firstRow="1" w:lastColumn="0" w:lastRow="0" w:noHBand="0" w:noVBand="1" w:val="04A0"/>
        <w:tblInd w:w="110" w:type="dxa"/>
      </w:tblPr>
      <w:tblGrid>
        <w:gridCol w:w="1500"/>
        <w:gridCol w:w="1100"/>
        <w:gridCol w:w="1700"/>
        <w:gridCol w:w="1700"/>
        <w:gridCol w:w="3180"/>
      </w:tblGrid>
      <w:tr>
        <w:trPr>
          <w:tblHeader w:val="true"/>
        </w:trPr>
        <w:tc>
          <w:tcPr>
            <w:tcW w:type="dxa" w:w="15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数据集</w:t>
            </w:r>
          </w:p>
        </w:tc>
        <w:tc>
          <w:tcPr>
            <w:tcW w:type="dxa" w:w="11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企业数</w:t>
            </w:r>
          </w:p>
        </w:tc>
        <w:tc>
          <w:tcPr>
            <w:tcW w:type="dxa" w:w="17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进项发票</w:t>
            </w:r>
          </w:p>
        </w:tc>
        <w:tc>
          <w:tcPr>
            <w:tcW w:type="dxa" w:w="17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销项发票</w:t>
            </w:r>
          </w:p>
        </w:tc>
        <w:tc>
          <w:tcPr>
            <w:tcW w:type="dxa" w:w="31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负数占比（进/销）</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附件1</w:t>
            </w:r>
          </w:p>
        </w:tc>
        <w:tc>
          <w:tcPr>
            <w:tcW w:type="dxa" w:w="11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123</w:t>
            </w:r>
          </w:p>
        </w:tc>
        <w:tc>
          <w:tcPr>
            <w:tcW w:type="dxa" w:w="17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210,947</w:t>
            </w:r>
          </w:p>
        </w:tc>
        <w:tc>
          <w:tcPr>
            <w:tcW w:type="dxa" w:w="17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162,484</w:t>
            </w:r>
          </w:p>
        </w:tc>
        <w:tc>
          <w:tcPr>
            <w:tcW w:type="dxa" w:w="31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0.89% / 5.27%</w:t>
            </w:r>
          </w:p>
        </w:tc>
      </w:tr>
      <w:tr>
        <w:tc>
          <w:tcPr>
            <w:tcW w:type="dxa" w:w="15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附件2</w:t>
            </w:r>
          </w:p>
        </w:tc>
        <w:tc>
          <w:tcPr>
            <w:tcW w:type="dxa" w:w="11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302</w:t>
            </w:r>
          </w:p>
        </w:tc>
        <w:tc>
          <w:tcPr>
            <w:tcW w:type="dxa" w:w="17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395,175</w:t>
            </w:r>
          </w:p>
        </w:tc>
        <w:tc>
          <w:tcPr>
            <w:tcW w:type="dxa" w:w="17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330,835</w:t>
            </w:r>
          </w:p>
        </w:tc>
        <w:tc>
          <w:tcPr>
            <w:tcW w:type="dxa" w:w="31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0.92% / 1.72%</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附件3</w:t>
            </w:r>
          </w:p>
        </w:tc>
        <w:tc>
          <w:tcPr>
            <w:tcW w:type="dxa" w:w="11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29个利率点</w:t>
            </w:r>
          </w:p>
        </w:tc>
        <w:tc>
          <w:tcPr>
            <w:tcW w:type="dxa" w:w="17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w:t>
            </w:r>
          </w:p>
        </w:tc>
        <w:tc>
          <w:tcPr>
            <w:tcW w:type="dxa" w:w="17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w:t>
            </w:r>
          </w:p>
        </w:tc>
        <w:tc>
          <w:tcPr>
            <w:tcW w:type="dxa" w:w="31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A/B/C 三条流失曲线</w:t>
            </w:r>
          </w:p>
        </w:tc>
      </w:tr>
    </w:tbl>
    <w:p>
      <w:pPr>
        <w:spacing w:after="20"/>
      </w:pPr>
    </w:p>
    <w:p>
      <w:r>
        <w:rPr>
          <w:rFonts w:ascii="宋体" w:hAnsi="宋体" w:eastAsia="宋体"/>
          <w:sz w:val="21"/>
        </w:rPr>
        <w:t>金额一致性核验发现5条“金额+税额”与“价税合计”差异超过0.01元，最大差异1.38元，量级远小于企业年度经营规模。模型统一使用来源表中的金额字段，不用价税合计反算金额。全部发票的观察截止日固定为2020年2月21日，避免利用该日之后的信息。</w:t>
      </w:r>
    </w:p>
    <w:p>
      <w:pPr>
        <w:pStyle w:val="Heading2"/>
      </w:pPr>
      <w:r>
        <w:t>2.2  标签边界与必要假设</w:t>
      </w:r>
    </w:p>
    <w:tbl>
      <w:tblPr>
        <w:tblStyle w:val="TableGrid"/>
        <w:tblW w:type="dxa" w:w="9180"/>
        <w:jc w:val="center"/>
        <w:tblLayout w:type="fixed"/>
        <w:tblLook w:firstColumn="1" w:firstRow="1" w:lastColumn="0" w:lastRow="0" w:noHBand="0" w:noVBand="1" w:val="04A0"/>
        <w:tblInd w:w="110" w:type="dxa"/>
      </w:tblPr>
      <w:tblGrid>
        <w:gridCol w:w="2300"/>
        <w:gridCol w:w="6880"/>
      </w:tblGrid>
      <w:tr>
        <w:trPr>
          <w:tblHeader w:val="true"/>
        </w:trPr>
        <w:tc>
          <w:tcPr>
            <w:tcW w:type="dxa" w:w="23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假设</w:t>
            </w:r>
          </w:p>
        </w:tc>
        <w:tc>
          <w:tcPr>
            <w:tcW w:type="dxa" w:w="68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理由与影响</w:t>
            </w:r>
          </w:p>
        </w:tc>
      </w:tr>
      <w:tr>
        <w:tc>
          <w:tcPr>
            <w:tcW w:type="dxa" w:w="23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信誉评级为主监督标签</w:t>
            </w:r>
          </w:p>
        </w:tc>
        <w:tc>
          <w:tcPr>
            <w:tcW w:type="dxa" w:w="68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四级评级覆盖全部123家企业，适合做信用风险评价；违约只有27例，不支持复杂个体违约预测。</w:t>
            </w:r>
          </w:p>
        </w:tc>
      </w:tr>
      <w:tr>
        <w:tc>
          <w:tcPr>
            <w:tcW w:type="dxa" w:w="23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D级企业在问题一禁贷</w:t>
            </w:r>
          </w:p>
        </w:tc>
        <w:tc>
          <w:tcPr>
            <w:tcW w:type="dxa" w:w="68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附件1中24家D级企业全部违约，且题目要求结合信誉等级制定策略。</w:t>
            </w:r>
          </w:p>
        </w:tc>
      </w:tr>
      <w:tr>
        <w:tc>
          <w:tcPr>
            <w:tcW w:type="dxa" w:w="23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贷款期限为一年</w:t>
            </w:r>
          </w:p>
        </w:tc>
        <w:tc>
          <w:tcPr>
            <w:tcW w:type="dxa" w:w="68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与题面一致，效益均按一年名义口径计算，不做跨期贴现。</w:t>
            </w:r>
          </w:p>
        </w:tc>
      </w:tr>
      <w:tr>
        <w:tc>
          <w:tcPr>
            <w:tcW w:type="dxa" w:w="23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主情景 LGD=1</w:t>
            </w:r>
          </w:p>
        </w:tc>
        <w:tc>
          <w:tcPr>
            <w:tcW w:type="dxa" w:w="68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附件没有抵押物和回收率信息，采用保守全损口径，并在0.4—1.0范围做敏感性。</w:t>
            </w:r>
          </w:p>
        </w:tc>
      </w:tr>
      <w:tr>
        <w:tc>
          <w:tcPr>
            <w:tcW w:type="dxa" w:w="23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组合风险敞口上限为1.30%</w:t>
            </w:r>
          </w:p>
        </w:tc>
        <w:tc>
          <w:tcPr>
            <w:tcW w:type="dxa" w:w="68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题面没有给出银行风险偏好；该值是主决策参数，另给1.28%—1.40%前沿。</w:t>
            </w:r>
          </w:p>
        </w:tc>
      </w:tr>
      <w:tr>
        <w:tc>
          <w:tcPr>
            <w:tcW w:type="dxa" w:w="23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压力系数不是疫情观测值</w:t>
            </w:r>
          </w:p>
        </w:tc>
        <w:tc>
          <w:tcPr>
            <w:tcW w:type="dxa" w:w="68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附件缺少行业标签和实际冲击损失，情景只用于压力测试。</w:t>
            </w:r>
          </w:p>
        </w:tc>
      </w:tr>
    </w:tbl>
    <w:p>
      <w:pPr>
        <w:spacing w:after="20"/>
      </w:pPr>
    </w:p>
    <w:p>
      <w:pPr>
        <w:pStyle w:val="Heading2"/>
      </w:pPr>
      <w:r>
        <w:t>2.3  主要符号</w:t>
      </w:r>
    </w:p>
    <w:tbl>
      <w:tblPr>
        <w:tblStyle w:val="TableGrid"/>
        <w:tblW w:type="dxa" w:w="9180"/>
        <w:jc w:val="center"/>
        <w:tblLayout w:type="fixed"/>
        <w:tblLook w:firstColumn="1" w:firstRow="1" w:lastColumn="0" w:lastRow="0" w:noHBand="0" w:noVBand="1" w:val="04A0"/>
        <w:tblInd w:w="110" w:type="dxa"/>
      </w:tblPr>
      <w:tblGrid>
        <w:gridCol w:w="1500"/>
        <w:gridCol w:w="5000"/>
        <w:gridCol w:w="2680"/>
      </w:tblGrid>
      <w:tr>
        <w:trPr>
          <w:tblHeader w:val="true"/>
        </w:trPr>
        <w:tc>
          <w:tcPr>
            <w:tcW w:type="dxa" w:w="15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符号</w:t>
            </w:r>
          </w:p>
        </w:tc>
        <w:tc>
          <w:tcPr>
            <w:tcW w:type="dxa" w:w="50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含义</w:t>
            </w:r>
          </w:p>
        </w:tc>
        <w:tc>
          <w:tcPr>
            <w:tcW w:type="dxa" w:w="26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单位/范围</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pᵢk</w:t>
            </w:r>
          </w:p>
        </w:tc>
        <w:tc>
          <w:tcPr>
            <w:tcW w:type="dxa" w:w="50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企业 i 属于评级 k 的融合概率</w:t>
            </w:r>
          </w:p>
        </w:tc>
        <w:tc>
          <w:tcPr>
            <w:tcW w:type="dxa" w:w="26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w:t>
            </w:r>
          </w:p>
        </w:tc>
      </w:tr>
      <w:tr>
        <w:tc>
          <w:tcPr>
            <w:tcW w:type="dxa" w:w="15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CRIᵢ</w:t>
            </w:r>
          </w:p>
        </w:tc>
        <w:tc>
          <w:tcPr>
            <w:tcW w:type="dxa" w:w="50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企业 i 的信用风险指数</w:t>
            </w:r>
          </w:p>
        </w:tc>
        <w:tc>
          <w:tcPr>
            <w:tcW w:type="dxa" w:w="26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[0,100]</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ρᵢ</w:t>
            </w:r>
          </w:p>
        </w:tc>
        <w:tc>
          <w:tcPr>
            <w:tcW w:type="dxa" w:w="50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由评级概率映射的风险损失尺度</w:t>
            </w:r>
          </w:p>
        </w:tc>
        <w:tc>
          <w:tcPr>
            <w:tcW w:type="dxa" w:w="26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w:t>
            </w:r>
          </w:p>
        </w:tc>
      </w:tr>
      <w:tr>
        <w:tc>
          <w:tcPr>
            <w:tcW w:type="dxa" w:w="15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ℓᵢ(r)</w:t>
            </w:r>
          </w:p>
        </w:tc>
        <w:tc>
          <w:tcPr>
            <w:tcW w:type="dxa" w:w="50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利率 r 下企业 i 的客户流失率</w:t>
            </w:r>
          </w:p>
        </w:tc>
        <w:tc>
          <w:tcPr>
            <w:tcW w:type="dxa" w:w="26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xᵢ</w:t>
            </w:r>
          </w:p>
        </w:tc>
        <w:tc>
          <w:tcPr>
            <w:tcW w:type="dxa" w:w="50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对企业 i 的授信额度</w:t>
            </w:r>
          </w:p>
        </w:tc>
        <w:tc>
          <w:tcPr>
            <w:tcW w:type="dxa" w:w="26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元</w:t>
            </w:r>
          </w:p>
        </w:tc>
      </w:tr>
      <w:tr>
        <w:tc>
          <w:tcPr>
            <w:tcW w:type="dxa" w:w="15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vᵢ</w:t>
            </w:r>
          </w:p>
        </w:tc>
        <w:tc>
          <w:tcPr>
            <w:tcW w:type="dxa" w:w="50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企业 i 的经营脆弱度</w:t>
            </w:r>
          </w:p>
        </w:tc>
        <w:tc>
          <w:tcPr>
            <w:tcW w:type="dxa" w:w="26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uᵢs</w:t>
            </w:r>
          </w:p>
        </w:tc>
        <w:tc>
          <w:tcPr>
            <w:tcW w:type="dxa" w:w="50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压力情景 s 下单位贷款效益</w:t>
            </w:r>
          </w:p>
        </w:tc>
        <w:tc>
          <w:tcPr>
            <w:tcW w:type="dxa" w:w="26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元/元</w:t>
            </w:r>
          </w:p>
        </w:tc>
      </w:tr>
    </w:tbl>
    <w:p>
      <w:pPr>
        <w:spacing w:after="20"/>
      </w:pPr>
    </w:p>
    <w:p>
      <w:pPr>
        <w:pStyle w:val="Heading1"/>
      </w:pPr>
      <w:r>
        <w:t>3  经营特征与信用风险评价</w:t>
      </w:r>
    </w:p>
    <w:p>
      <w:pPr>
        <w:pStyle w:val="Heading2"/>
      </w:pPr>
      <w:r>
        <w:t>3.1  发票经营特征</w:t>
      </w:r>
    </w:p>
    <w:p>
      <w:r>
        <w:rPr>
          <w:rFonts w:ascii="宋体" w:hAnsi="宋体" w:eastAsia="宋体"/>
          <w:sz w:val="21"/>
        </w:rPr>
        <w:t>企业经营状态不能由单一销售额刻画。本文分别在进项和销项方向统计正额、负额、净额、发票数、交易对手数、有效月份数、最近12月规模、线性趋势、增长率、月度变异系数、交易对手 HHI、前五大交易对手占比、负数记录比例和作废率，再加上进销比及经营年限类变量，共形成32维特征。对右偏的规模量取 log(1+x)，对有正负的净额使用 asinh 变换。</w:t>
      </w:r>
    </w:p>
    <w:p>
      <w:pPr>
        <w:spacing w:before="80" w:after="80"/>
        <w:ind w:firstLine="0"/>
        <w:jc w:val="center"/>
      </w:pPr>
      <w:r>
        <w:rPr>
          <w:rFonts w:ascii="Cambria Math" w:hAnsi="Cambria Math" w:eastAsia="Cambria Math"/>
          <w:sz w:val="21"/>
        </w:rPr>
        <w:t>HHIᵢ = Σⱼ (aᵢⱼ / Σⱼ aᵢⱼ)²    （1）</w:t>
      </w:r>
    </w:p>
    <w:p>
      <w:r>
        <w:rPr>
          <w:rFonts w:ascii="宋体" w:hAnsi="宋体" w:eastAsia="宋体"/>
          <w:sz w:val="21"/>
        </w:rPr>
        <w:t>HHI 与前五大客户占比共同描述集中度：前者对全部交易对手加权，后者直观反映头部依赖。月度变异系数用标准差除以绝对均值，均值接近0时通过安全除法返回0并保留异常比例特征，避免数值爆炸。</w:t>
      </w:r>
    </w:p>
    <w:tbl>
      <w:tblPr>
        <w:tblStyle w:val="TableGrid"/>
        <w:tblW w:type="dxa" w:w="9180"/>
        <w:jc w:val="center"/>
        <w:tblLayout w:type="fixed"/>
        <w:tblLook w:firstColumn="1" w:firstRow="1" w:lastColumn="0" w:lastRow="0" w:noHBand="0" w:noVBand="1" w:val="04A0"/>
        <w:tblInd w:w="110" w:type="dxa"/>
      </w:tblPr>
      <w:tblGrid>
        <w:gridCol w:w="1800"/>
        <w:gridCol w:w="3400"/>
        <w:gridCol w:w="3980"/>
      </w:tblGrid>
      <w:tr>
        <w:trPr>
          <w:tblHeader w:val="true"/>
        </w:trPr>
        <w:tc>
          <w:tcPr>
            <w:tcW w:type="dxa" w:w="18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特征组</w:t>
            </w:r>
          </w:p>
        </w:tc>
        <w:tc>
          <w:tcPr>
            <w:tcW w:type="dxa" w:w="34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代表变量</w:t>
            </w:r>
          </w:p>
        </w:tc>
        <w:tc>
          <w:tcPr>
            <w:tcW w:type="dxa" w:w="39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风险含义</w:t>
            </w:r>
          </w:p>
        </w:tc>
      </w:tr>
      <w:tr>
        <w:tc>
          <w:tcPr>
            <w:tcW w:type="dxa" w:w="18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经营规模</w:t>
            </w:r>
          </w:p>
        </w:tc>
        <w:tc>
          <w:tcPr>
            <w:tcW w:type="dxa" w:w="34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正额、净额、发票数、交易对手数</w:t>
            </w:r>
          </w:p>
        </w:tc>
        <w:tc>
          <w:tcPr>
            <w:tcW w:type="dxa" w:w="39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持续经营能力与现金流基础</w:t>
            </w:r>
          </w:p>
        </w:tc>
      </w:tr>
      <w:tr>
        <w:tc>
          <w:tcPr>
            <w:tcW w:type="dxa" w:w="18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活跃与近期性</w:t>
            </w:r>
          </w:p>
        </w:tc>
        <w:tc>
          <w:tcPr>
            <w:tcW w:type="dxa" w:w="34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有效月份比、近12月规模</w:t>
            </w:r>
          </w:p>
        </w:tc>
        <w:tc>
          <w:tcPr>
            <w:tcW w:type="dxa" w:w="39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是否持续开票及当前业务强度</w:t>
            </w:r>
          </w:p>
        </w:tc>
      </w:tr>
      <w:tr>
        <w:tc>
          <w:tcPr>
            <w:tcW w:type="dxa" w:w="18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波动与趋势</w:t>
            </w:r>
          </w:p>
        </w:tc>
        <w:tc>
          <w:tcPr>
            <w:tcW w:type="dxa" w:w="34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月度CV、趋势、近期增长</w:t>
            </w:r>
          </w:p>
        </w:tc>
        <w:tc>
          <w:tcPr>
            <w:tcW w:type="dxa" w:w="39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经营稳定性和下滑风险</w:t>
            </w:r>
          </w:p>
        </w:tc>
      </w:tr>
      <w:tr>
        <w:tc>
          <w:tcPr>
            <w:tcW w:type="dxa" w:w="18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集中度</w:t>
            </w:r>
          </w:p>
        </w:tc>
        <w:tc>
          <w:tcPr>
            <w:tcW w:type="dxa" w:w="34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HHI、前五大交易对手占比</w:t>
            </w:r>
          </w:p>
        </w:tc>
        <w:tc>
          <w:tcPr>
            <w:tcW w:type="dxa" w:w="39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上下游依赖与单点冲击</w:t>
            </w:r>
          </w:p>
        </w:tc>
      </w:tr>
      <w:tr>
        <w:tc>
          <w:tcPr>
            <w:tcW w:type="dxa" w:w="18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异常发票</w:t>
            </w:r>
          </w:p>
        </w:tc>
        <w:tc>
          <w:tcPr>
            <w:tcW w:type="dxa" w:w="34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负数比例、作废率</w:t>
            </w:r>
          </w:p>
        </w:tc>
        <w:tc>
          <w:tcPr>
            <w:tcW w:type="dxa" w:w="39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退款、冲销及交易异常信号</w:t>
            </w:r>
          </w:p>
        </w:tc>
      </w:tr>
    </w:tbl>
    <w:p>
      <w:pPr>
        <w:spacing w:after="20"/>
      </w:pPr>
    </w:p>
    <w:p>
      <w:pPr>
        <w:pStyle w:val="Heading2"/>
      </w:pPr>
      <w:r>
        <w:t>3.2  Logistic/XGBoost 概率融合</w:t>
      </w:r>
    </w:p>
    <w:p>
      <w:r>
        <w:rPr>
          <w:rFonts w:ascii="宋体" w:hAnsi="宋体" w:eastAsia="宋体"/>
          <w:sz w:val="21"/>
        </w:rPr>
        <w:t>多项 Logistic 提供平滑的线性基准，浅层 XGBoost 捕捉规模、波动和集中度之间的非线性交互。所有缺失值填补、标准化和单变量特征选择均封装在交叉验证管线内部，测试折不参与任何预处理参数估计。采用5折、重复5次分层交叉验证得到严格折外概率，再在0到1的离散网格上按多分类对数损失选择 XGBoost 融合权重。</w:t>
      </w:r>
    </w:p>
    <w:p>
      <w:pPr>
        <w:spacing w:before="80" w:after="80"/>
        <w:ind w:firstLine="0"/>
        <w:jc w:val="center"/>
      </w:pPr>
      <w:r>
        <w:rPr>
          <w:rFonts w:ascii="Cambria Math" w:hAnsi="Cambria Math" w:eastAsia="Cambria Math"/>
          <w:sz w:val="21"/>
        </w:rPr>
        <w:t>pᵢ = ω pᵢˣᵍᵇ + (1−ω) pᵢˡᵒᵍ,    ω=0.80    （2）</w:t>
      </w:r>
    </w:p>
    <w:p>
      <w:pPr>
        <w:spacing w:before="80" w:after="80"/>
        <w:ind w:firstLine="0"/>
        <w:jc w:val="center"/>
      </w:pPr>
      <w:r>
        <w:rPr>
          <w:rFonts w:ascii="Cambria Math" w:hAnsi="Cambria Math" w:eastAsia="Cambria Math"/>
          <w:sz w:val="21"/>
        </w:rPr>
        <w:t>CRIᵢ = 100·(0·pᵢA + ⅓pᵢB + ⅔pᵢC + pᵢD)    （3）</w:t>
      </w:r>
    </w:p>
    <w:tbl>
      <w:tblPr>
        <w:tblStyle w:val="TableGrid"/>
        <w:tblW w:type="dxa" w:w="9180"/>
        <w:jc w:val="center"/>
        <w:tblLayout w:type="fixed"/>
        <w:tblLook w:firstColumn="1" w:firstRow="1" w:lastColumn="0" w:lastRow="0" w:noHBand="0" w:noVBand="1" w:val="04A0"/>
        <w:tblInd w:w="110" w:type="dxa"/>
      </w:tblPr>
      <w:tblGrid>
        <w:gridCol w:w="1500"/>
        <w:gridCol w:w="1300"/>
        <w:gridCol w:w="1400"/>
        <w:gridCol w:w="1400"/>
        <w:gridCol w:w="1680"/>
        <w:gridCol w:w="1900"/>
      </w:tblGrid>
      <w:tr>
        <w:trPr>
          <w:tblHeader w:val="true"/>
        </w:trPr>
        <w:tc>
          <w:tcPr>
            <w:tcW w:type="dxa" w:w="15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模型</w:t>
            </w:r>
          </w:p>
        </w:tc>
        <w:tc>
          <w:tcPr>
            <w:tcW w:type="dxa" w:w="13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准确率</w:t>
            </w:r>
          </w:p>
        </w:tc>
        <w:tc>
          <w:tcPr>
            <w:tcW w:type="dxa" w:w="14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宏平均F1</w:t>
            </w:r>
          </w:p>
        </w:tc>
        <w:tc>
          <w:tcPr>
            <w:tcW w:type="dxa" w:w="14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序数MAE</w:t>
            </w:r>
          </w:p>
        </w:tc>
        <w:tc>
          <w:tcPr>
            <w:tcW w:type="dxa" w:w="16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二次Kappa</w:t>
            </w:r>
          </w:p>
        </w:tc>
        <w:tc>
          <w:tcPr>
            <w:tcW w:type="dxa" w:w="19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对数损失</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Logistic</w:t>
            </w:r>
          </w:p>
        </w:tc>
        <w:tc>
          <w:tcPr>
            <w:tcW w:type="dxa" w:w="13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0.5122</w:t>
            </w:r>
          </w:p>
        </w:tc>
        <w:tc>
          <w:tcPr>
            <w:tcW w:type="dxa" w:w="14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0.5253</w:t>
            </w:r>
          </w:p>
        </w:tc>
        <w:tc>
          <w:tcPr>
            <w:tcW w:type="dxa" w:w="14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0.6099</w:t>
            </w:r>
          </w:p>
        </w:tc>
        <w:tc>
          <w:tcPr>
            <w:tcW w:type="dxa" w:w="16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0.6183</w:t>
            </w:r>
          </w:p>
        </w:tc>
        <w:tc>
          <w:tcPr>
            <w:tcW w:type="dxa" w:w="19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1.0801</w:t>
            </w:r>
          </w:p>
        </w:tc>
      </w:tr>
      <w:tr>
        <w:tc>
          <w:tcPr>
            <w:tcW w:type="dxa" w:w="15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XGBoost</w:t>
            </w:r>
          </w:p>
        </w:tc>
        <w:tc>
          <w:tcPr>
            <w:tcW w:type="dxa" w:w="13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0.5854</w:t>
            </w:r>
          </w:p>
        </w:tc>
        <w:tc>
          <w:tcPr>
            <w:tcW w:type="dxa" w:w="14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0.5939</w:t>
            </w:r>
          </w:p>
        </w:tc>
        <w:tc>
          <w:tcPr>
            <w:tcW w:type="dxa" w:w="14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0.6261</w:t>
            </w:r>
          </w:p>
        </w:tc>
        <w:tc>
          <w:tcPr>
            <w:tcW w:type="dxa" w:w="16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0.6592</w:t>
            </w:r>
          </w:p>
        </w:tc>
        <w:tc>
          <w:tcPr>
            <w:tcW w:type="dxa" w:w="19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1.0026</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融合模型</w:t>
            </w:r>
          </w:p>
        </w:tc>
        <w:tc>
          <w:tcPr>
            <w:tcW w:type="dxa" w:w="13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0.6016</w:t>
            </w:r>
          </w:p>
        </w:tc>
        <w:tc>
          <w:tcPr>
            <w:tcW w:type="dxa" w:w="14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0.6086</w:t>
            </w:r>
          </w:p>
        </w:tc>
        <w:tc>
          <w:tcPr>
            <w:tcW w:type="dxa" w:w="14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0.6178</w:t>
            </w:r>
          </w:p>
        </w:tc>
        <w:tc>
          <w:tcPr>
            <w:tcW w:type="dxa" w:w="16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0.6666</w:t>
            </w:r>
          </w:p>
        </w:tc>
        <w:tc>
          <w:tcPr>
            <w:tcW w:type="dxa" w:w="19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0.9956</w:t>
            </w:r>
          </w:p>
        </w:tc>
      </w:tr>
    </w:tbl>
    <w:p>
      <w:pPr>
        <w:spacing w:after="20"/>
      </w:pPr>
    </w:p>
    <w:p>
      <w:r>
        <w:rPr>
          <w:rFonts w:ascii="宋体" w:hAnsi="宋体" w:eastAsia="宋体"/>
          <w:sz w:val="21"/>
        </w:rPr>
        <w:t>融合模型在 Accuracy、Macro-F1、二次加权 Kappa 和对数损失上均优于两个分量；序数 MAE 略高于 Logistic，说明树模型提高了类别判别但概率期望仍有小幅序数偏差。折外 CRI 在历史违约样本中的均值为75.46，在未违约样本中为40.67，AUC 为0.9066，验证了指数的风险方向。该 AUC 受 D 级与违约高度相关影响，只作为外部一致性证据。</w:t>
      </w:r>
    </w:p>
    <w:p>
      <w:pPr>
        <w:keepNext/>
        <w:ind w:firstLine="0"/>
        <w:jc w:val="center"/>
      </w:pPr>
      <w:r>
        <w:drawing>
          <wp:inline xmlns:a="http://schemas.openxmlformats.org/drawingml/2006/main" xmlns:pic="http://schemas.openxmlformats.org/drawingml/2006/picture">
            <wp:extent cx="5303520" cy="3426890"/>
            <wp:docPr id="1" name="Picture 1" title="图1  附件1折外 CRI 与附件2迁移 CRI 的分布" descr="图1  附件1折外 CRI 与附件2迁移 CRI 的分布"/>
            <wp:cNvGraphicFramePr>
              <a:graphicFrameLocks noChangeAspect="1"/>
            </wp:cNvGraphicFramePr>
            <a:graphic>
              <a:graphicData uri="http://schemas.openxmlformats.org/drawingml/2006/picture">
                <pic:pic>
                  <pic:nvPicPr>
                    <pic:cNvPr id="0" name="risk_index_distribution.png"/>
                    <pic:cNvPicPr/>
                  </pic:nvPicPr>
                  <pic:blipFill>
                    <a:blip r:embed="rId11"/>
                    <a:stretch>
                      <a:fillRect/>
                    </a:stretch>
                  </pic:blipFill>
                  <pic:spPr>
                    <a:xfrm>
                      <a:off x="0" y="0"/>
                      <a:ext cx="5303520" cy="3426890"/>
                    </a:xfrm>
                    <a:prstGeom prst="rect"/>
                  </pic:spPr>
                </pic:pic>
              </a:graphicData>
            </a:graphic>
          </wp:inline>
        </w:drawing>
      </w:r>
    </w:p>
    <w:p>
      <w:pPr>
        <w:pStyle w:val="Caption"/>
      </w:pPr>
      <w:r>
        <w:rPr>
          <w:rFonts w:ascii="宋体" w:hAnsi="宋体" w:eastAsia="宋体"/>
          <w:color w:val="5F6B76"/>
          <w:sz w:val="18"/>
        </w:rPr>
        <w:t>图1  附件1折外 CRI 与附件2迁移 CRI 的分布</w:t>
      </w:r>
    </w:p>
    <w:p>
      <w:pPr>
        <w:pStyle w:val="Heading1"/>
      </w:pPr>
      <w:r>
        <w:t>4  问题一：有信贷记录企业的信贷策略</w:t>
      </w:r>
    </w:p>
    <w:p>
      <w:pPr>
        <w:pStyle w:val="Heading2"/>
      </w:pPr>
      <w:r>
        <w:t>4.1  风险损失尺度与利率响应</w:t>
      </w:r>
    </w:p>
    <w:p>
      <w:r>
        <w:rPr>
          <w:rFonts w:ascii="宋体" w:hAnsi="宋体" w:eastAsia="宋体"/>
          <w:sz w:val="21"/>
        </w:rPr>
        <w:t>各评级的历史违约样本数差异较大，直接用频率会使 A 级违约率变成0。本文采用 Jeffreys 平滑，将评级 k 的违约损失尺度写为下式，其中 dₖ、nₖ分别为违约数与企业数。A/B/C/D 四档得到0.0179、0.0385、0.0714和0.9800。</w:t>
      </w:r>
    </w:p>
    <w:p>
      <w:pPr>
        <w:spacing w:before="80" w:after="80"/>
        <w:ind w:firstLine="0"/>
        <w:jc w:val="center"/>
      </w:pPr>
      <w:r>
        <w:rPr>
          <w:rFonts w:ascii="Cambria Math" w:hAnsi="Cambria Math" w:eastAsia="Cambria Math"/>
          <w:sz w:val="21"/>
        </w:rPr>
        <w:t>d̃ₖ = (dₖ + 0.5) / (nₖ + 1),    ρᵢ = Σₖ pᵢk d̃ₖ    （4）</w:t>
      </w:r>
    </w:p>
    <w:p>
      <w:r>
        <w:rPr>
          <w:rFonts w:ascii="宋体" w:hAnsi="宋体" w:eastAsia="宋体"/>
          <w:sz w:val="21"/>
        </w:rPr>
        <w:t>附件3的原始流失率存在少量局部下降，直接插值会意味着利率上升反而减少流失。故分别对 A、B、C 级应用保序回归，求与原数据平方误差最小的非降序列；企业流失率再按其 A/B/C 概率加权。D 类未给流失曲线，在问题一直接禁贷，在问题二通过高风险损失尺度约束。</w:t>
      </w:r>
    </w:p>
    <w:p>
      <w:pPr>
        <w:keepNext/>
        <w:ind w:firstLine="0"/>
        <w:jc w:val="center"/>
      </w:pPr>
      <w:r>
        <w:drawing>
          <wp:inline xmlns:a="http://schemas.openxmlformats.org/drawingml/2006/main" xmlns:pic="http://schemas.openxmlformats.org/drawingml/2006/picture">
            <wp:extent cx="5303520" cy="3426890"/>
            <wp:docPr id="2" name="Picture 2" title="图2  年利率—客户流失率原始点与保序拟合" descr="图2  年利率—客户流失率原始点与保序拟合"/>
            <wp:cNvGraphicFramePr>
              <a:graphicFrameLocks noChangeAspect="1"/>
            </wp:cNvGraphicFramePr>
            <a:graphic>
              <a:graphicData uri="http://schemas.openxmlformats.org/drawingml/2006/picture">
                <pic:pic>
                  <pic:nvPicPr>
                    <pic:cNvPr id="0" name="interest_loss_isotonic.png"/>
                    <pic:cNvPicPr/>
                  </pic:nvPicPr>
                  <pic:blipFill>
                    <a:blip r:embed="rId12"/>
                    <a:stretch>
                      <a:fillRect/>
                    </a:stretch>
                  </pic:blipFill>
                  <pic:spPr>
                    <a:xfrm>
                      <a:off x="0" y="0"/>
                      <a:ext cx="5303520" cy="3426890"/>
                    </a:xfrm>
                    <a:prstGeom prst="rect"/>
                  </pic:spPr>
                </pic:pic>
              </a:graphicData>
            </a:graphic>
          </wp:inline>
        </w:drawing>
      </w:r>
    </w:p>
    <w:p>
      <w:pPr>
        <w:pStyle w:val="Caption"/>
      </w:pPr>
      <w:r>
        <w:rPr>
          <w:rFonts w:ascii="宋体" w:hAnsi="宋体" w:eastAsia="宋体"/>
          <w:color w:val="5F6B76"/>
          <w:sz w:val="18"/>
        </w:rPr>
        <w:t>图2  年利率—客户流失率原始点与保序拟合</w:t>
      </w:r>
    </w:p>
    <w:p>
      <w:r>
        <w:rPr>
          <w:rFonts w:ascii="宋体" w:hAnsi="宋体" w:eastAsia="宋体"/>
          <w:sz w:val="21"/>
        </w:rPr>
        <w:t>设 r 为年利率、LGD 为违约损失率，客户接受贷款的概率为1−ℓᵢ(r)。单位授信的期望效益由名义利息扣除客户流失造成的利息损失和风险损失：</w:t>
      </w:r>
    </w:p>
    <w:p>
      <w:pPr>
        <w:spacing w:before="80" w:after="80"/>
        <w:ind w:firstLine="0"/>
        <w:jc w:val="center"/>
      </w:pPr>
      <w:r>
        <w:rPr>
          <w:rFonts w:ascii="Cambria Math" w:hAnsi="Cambria Math" w:eastAsia="Cambria Math"/>
          <w:sz w:val="21"/>
        </w:rPr>
        <w:t>cᵢ(r) = [r − LGD·ρᵢ]·[1−ℓᵢ(r)]    （5）</w:t>
      </w:r>
    </w:p>
    <w:p>
      <w:pPr>
        <w:pStyle w:val="Heading2"/>
      </w:pPr>
      <w:r>
        <w:t>4.2  固定额度 MILP</w:t>
      </w:r>
    </w:p>
    <w:p>
      <w:r>
        <w:rPr>
          <w:rFonts w:ascii="宋体" w:hAnsi="宋体" w:eastAsia="宋体"/>
          <w:sz w:val="21"/>
        </w:rPr>
        <w:t>对每家企业先在附件3的29个利率点中选择使 cᵢ(r) 最大的利率，再在固定预算 B 下配置额度。令 yᵢ 表示是否授信，额度上下限分别为10万元和100万元，D 级企业的 yᵢ 固定为0。</w:t>
      </w:r>
    </w:p>
    <w:p>
      <w:pPr>
        <w:spacing w:before="80" w:after="80"/>
        <w:ind w:firstLine="0"/>
        <w:jc w:val="center"/>
      </w:pPr>
      <w:r>
        <w:rPr>
          <w:rFonts w:ascii="Cambria Math" w:hAnsi="Cambria Math" w:eastAsia="Cambria Math"/>
          <w:sz w:val="21"/>
        </w:rPr>
        <w:t>max Σᵢ cᵢ xᵢ    （6）</w:t>
      </w:r>
    </w:p>
    <w:p>
      <w:pPr>
        <w:spacing w:before="80" w:after="80"/>
        <w:ind w:firstLine="0"/>
        <w:jc w:val="center"/>
      </w:pPr>
      <w:r>
        <w:rPr>
          <w:rFonts w:ascii="Cambria Math" w:hAnsi="Cambria Math" w:eastAsia="Cambria Math"/>
          <w:sz w:val="21"/>
        </w:rPr>
        <w:t>s.t. Σᵢxᵢ=B;  10yᵢ≤xᵢ≤100yᵢ;  Σᵢρᵢ(1−ℓᵢ)xᵢ≤R;  yᵢ∈{0,1}    （7）</w:t>
      </w:r>
    </w:p>
    <w:tbl>
      <w:tblPr>
        <w:tblStyle w:val="TableGrid"/>
        <w:tblW w:type="dxa" w:w="9180"/>
        <w:jc w:val="center"/>
        <w:tblLayout w:type="fixed"/>
        <w:tblLook w:firstColumn="1" w:firstRow="1" w:lastColumn="0" w:lastRow="0" w:noHBand="0" w:noVBand="1" w:val="04A0"/>
        <w:tblInd w:w="110" w:type="dxa"/>
      </w:tblPr>
      <w:tblGrid>
        <w:gridCol w:w="1300"/>
        <w:gridCol w:w="1500"/>
        <w:gridCol w:w="1800"/>
        <w:gridCol w:w="1500"/>
        <w:gridCol w:w="3080"/>
      </w:tblGrid>
      <w:tr>
        <w:trPr>
          <w:tblHeader w:val="true"/>
        </w:trPr>
        <w:tc>
          <w:tcPr>
            <w:tcW w:type="dxa" w:w="13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评级</w:t>
            </w:r>
          </w:p>
        </w:tc>
        <w:tc>
          <w:tcPr>
            <w:tcW w:type="dxa" w:w="15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企业数</w:t>
            </w:r>
          </w:p>
        </w:tc>
        <w:tc>
          <w:tcPr>
            <w:tcW w:type="dxa" w:w="18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平均CRI</w:t>
            </w:r>
          </w:p>
        </w:tc>
        <w:tc>
          <w:tcPr>
            <w:tcW w:type="dxa" w:w="15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入选数</w:t>
            </w:r>
          </w:p>
        </w:tc>
        <w:tc>
          <w:tcPr>
            <w:tcW w:type="dxa" w:w="30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授信额/万元</w:t>
            </w:r>
          </w:p>
        </w:tc>
      </w:tr>
      <w:tr>
        <w:tc>
          <w:tcPr>
            <w:tcW w:type="dxa" w:w="13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A</w:t>
            </w:r>
          </w:p>
        </w:tc>
        <w:tc>
          <w:tcPr>
            <w:tcW w:type="dxa" w:w="1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27</w:t>
            </w:r>
          </w:p>
        </w:tc>
        <w:tc>
          <w:tcPr>
            <w:tcW w:type="dxa" w:w="18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28.76</w:t>
            </w:r>
          </w:p>
        </w:tc>
        <w:tc>
          <w:tcPr>
            <w:tcW w:type="dxa" w:w="1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21</w:t>
            </w:r>
          </w:p>
        </w:tc>
        <w:tc>
          <w:tcPr>
            <w:tcW w:type="dxa" w:w="3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2100</w:t>
            </w:r>
          </w:p>
        </w:tc>
      </w:tr>
      <w:tr>
        <w:tc>
          <w:tcPr>
            <w:tcW w:type="dxa" w:w="13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B</w:t>
            </w:r>
          </w:p>
        </w:tc>
        <w:tc>
          <w:tcPr>
            <w:tcW w:type="dxa" w:w="1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38</w:t>
            </w:r>
          </w:p>
        </w:tc>
        <w:tc>
          <w:tcPr>
            <w:tcW w:type="dxa" w:w="18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43.52</w:t>
            </w:r>
          </w:p>
        </w:tc>
        <w:tc>
          <w:tcPr>
            <w:tcW w:type="dxa" w:w="1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16</w:t>
            </w:r>
          </w:p>
        </w:tc>
        <w:tc>
          <w:tcPr>
            <w:tcW w:type="dxa" w:w="3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1600</w:t>
            </w:r>
          </w:p>
        </w:tc>
      </w:tr>
      <w:tr>
        <w:tc>
          <w:tcPr>
            <w:tcW w:type="dxa" w:w="13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C</w:t>
            </w:r>
          </w:p>
        </w:tc>
        <w:tc>
          <w:tcPr>
            <w:tcW w:type="dxa" w:w="1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34</w:t>
            </w:r>
          </w:p>
        </w:tc>
        <w:tc>
          <w:tcPr>
            <w:tcW w:type="dxa" w:w="18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47.89</w:t>
            </w:r>
          </w:p>
        </w:tc>
        <w:tc>
          <w:tcPr>
            <w:tcW w:type="dxa" w:w="1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13</w:t>
            </w:r>
          </w:p>
        </w:tc>
        <w:tc>
          <w:tcPr>
            <w:tcW w:type="dxa" w:w="3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1300</w:t>
            </w:r>
          </w:p>
        </w:tc>
      </w:tr>
      <w:tr>
        <w:tc>
          <w:tcPr>
            <w:tcW w:type="dxa" w:w="13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D</w:t>
            </w:r>
          </w:p>
        </w:tc>
        <w:tc>
          <w:tcPr>
            <w:tcW w:type="dxa" w:w="1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24</w:t>
            </w:r>
          </w:p>
        </w:tc>
        <w:tc>
          <w:tcPr>
            <w:tcW w:type="dxa" w:w="18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78.48</w:t>
            </w:r>
          </w:p>
        </w:tc>
        <w:tc>
          <w:tcPr>
            <w:tcW w:type="dxa" w:w="1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w:t>
            </w:r>
          </w:p>
        </w:tc>
        <w:tc>
          <w:tcPr>
            <w:tcW w:type="dxa" w:w="3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w:t>
            </w:r>
          </w:p>
        </w:tc>
      </w:tr>
    </w:tbl>
    <w:p>
      <w:pPr>
        <w:spacing w:after="20"/>
      </w:pPr>
    </w:p>
    <w:p>
      <w:r>
        <w:rPr>
          <w:rFonts w:ascii="宋体" w:hAnsi="宋体" w:eastAsia="宋体"/>
          <w:sz w:val="21"/>
        </w:rPr>
        <w:t>题面只说明问题一年度总额度固定，没有给出具体数值。本文取5000万元作为展示主情景，并以2000万元和8000万元检验预算变化。主情景选择50家企业，其中 A/B/C 级分别为21、16和13家，D 级为0；由于单位效益在额度上是线性的，优先企业达到100万元上限，这是线性信贷收益模型的角点结果。</w:t>
      </w:r>
    </w:p>
    <w:p>
      <w:pPr>
        <w:keepNext/>
        <w:ind w:firstLine="0"/>
        <w:jc w:val="center"/>
      </w:pPr>
      <w:r>
        <w:drawing>
          <wp:inline xmlns:a="http://schemas.openxmlformats.org/drawingml/2006/main" xmlns:pic="http://schemas.openxmlformats.org/drawingml/2006/picture">
            <wp:extent cx="5303520" cy="3426890"/>
            <wp:docPr id="3" name="Picture 3" title="图3  问题一不同展示预算下的组合期望效益" descr="图3  问题一不同展示预算下的组合期望效益"/>
            <wp:cNvGraphicFramePr>
              <a:graphicFrameLocks noChangeAspect="1"/>
            </wp:cNvGraphicFramePr>
            <a:graphic>
              <a:graphicData uri="http://schemas.openxmlformats.org/drawingml/2006/picture">
                <pic:pic>
                  <pic:nvPicPr>
                    <pic:cNvPr id="0" name="problem1_budget_curve.png"/>
                    <pic:cNvPicPr/>
                  </pic:nvPicPr>
                  <pic:blipFill>
                    <a:blip r:embed="rId13"/>
                    <a:stretch>
                      <a:fillRect/>
                    </a:stretch>
                  </pic:blipFill>
                  <pic:spPr>
                    <a:xfrm>
                      <a:off x="0" y="0"/>
                      <a:ext cx="5303520" cy="3426890"/>
                    </a:xfrm>
                    <a:prstGeom prst="rect"/>
                  </pic:spPr>
                </pic:pic>
              </a:graphicData>
            </a:graphic>
          </wp:inline>
        </w:drawing>
      </w:r>
    </w:p>
    <w:p>
      <w:pPr>
        <w:pStyle w:val="Caption"/>
      </w:pPr>
      <w:r>
        <w:rPr>
          <w:rFonts w:ascii="宋体" w:hAnsi="宋体" w:eastAsia="宋体"/>
          <w:color w:val="5F6B76"/>
          <w:sz w:val="18"/>
        </w:rPr>
        <w:t>图3  问题一不同展示预算下的组合期望效益</w:t>
      </w:r>
    </w:p>
    <w:p>
      <w:pPr>
        <w:pStyle w:val="Heading1"/>
      </w:pPr>
      <w:r>
        <w:t>5  问题二：风险迁移与一亿元信贷组合</w:t>
      </w:r>
    </w:p>
    <w:p>
      <w:pPr>
        <w:pStyle w:val="Heading2"/>
      </w:pPr>
      <w:r>
        <w:t>5.1  冻结模型迁移与漂移检查</w:t>
      </w:r>
    </w:p>
    <w:p>
      <w:r>
        <w:rPr>
          <w:rFonts w:ascii="宋体" w:hAnsi="宋体" w:eastAsia="宋体"/>
          <w:sz w:val="21"/>
        </w:rPr>
        <w:t>问题二不重新拟合分类器，而是将问题一的全样本模型、14个经训练管线选择的变量、融合权重和评级顺序全部冻结，再对附件2的32维同构特征输出评级概率与 CRI。这是有监督关系的直接迁移，而不是把302家企业重新聚类后人为命名等级。</w:t>
      </w:r>
    </w:p>
    <w:tbl>
      <w:tblPr>
        <w:tblStyle w:val="TableGrid"/>
        <w:tblW w:type="dxa" w:w="9180"/>
        <w:jc w:val="center"/>
        <w:tblLayout w:type="fixed"/>
        <w:tblLook w:firstColumn="1" w:firstRow="1" w:lastColumn="0" w:lastRow="0" w:noHBand="0" w:noVBand="1" w:val="04A0"/>
        <w:tblInd w:w="110" w:type="dxa"/>
      </w:tblPr>
      <w:tblGrid>
        <w:gridCol w:w="2800"/>
        <w:gridCol w:w="1800"/>
        <w:gridCol w:w="1800"/>
        <w:gridCol w:w="2780"/>
      </w:tblGrid>
      <w:tr>
        <w:trPr>
          <w:tblHeader w:val="true"/>
        </w:trPr>
        <w:tc>
          <w:tcPr>
            <w:tcW w:type="dxa" w:w="28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特征</w:t>
            </w:r>
          </w:p>
        </w:tc>
        <w:tc>
          <w:tcPr>
            <w:tcW w:type="dxa" w:w="18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源域均值</w:t>
            </w:r>
          </w:p>
        </w:tc>
        <w:tc>
          <w:tcPr>
            <w:tcW w:type="dxa" w:w="18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目标域均值</w:t>
            </w:r>
          </w:p>
        </w:tc>
        <w:tc>
          <w:tcPr>
            <w:tcW w:type="dxa" w:w="27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标准化均值漂移</w:t>
            </w:r>
          </w:p>
        </w:tc>
      </w:tr>
      <w:tr>
        <w:tc>
          <w:tcPr>
            <w:tcW w:type="dxa" w:w="28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供应商集中度 HHI</w:t>
            </w:r>
          </w:p>
        </w:tc>
        <w:tc>
          <w:tcPr>
            <w:tcW w:type="dxa" w:w="18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0.321</w:t>
            </w:r>
          </w:p>
        </w:tc>
        <w:tc>
          <w:tcPr>
            <w:tcW w:type="dxa" w:w="18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0.255</w:t>
            </w:r>
          </w:p>
        </w:tc>
        <w:tc>
          <w:tcPr>
            <w:tcW w:type="dxa" w:w="27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-0.219</w:t>
            </w:r>
          </w:p>
        </w:tc>
      </w:tr>
      <w:tr>
        <w:tc>
          <w:tcPr>
            <w:tcW w:type="dxa" w:w="28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前5大供应商占比</w:t>
            </w:r>
          </w:p>
        </w:tc>
        <w:tc>
          <w:tcPr>
            <w:tcW w:type="dxa" w:w="18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0.729</w:t>
            </w:r>
          </w:p>
        </w:tc>
        <w:tc>
          <w:tcPr>
            <w:tcW w:type="dxa" w:w="18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0.688</w:t>
            </w:r>
          </w:p>
        </w:tc>
        <w:tc>
          <w:tcPr>
            <w:tcW w:type="dxa" w:w="27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-0.178</w:t>
            </w:r>
          </w:p>
        </w:tc>
      </w:tr>
      <w:tr>
        <w:tc>
          <w:tcPr>
            <w:tcW w:type="dxa" w:w="28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近12月进项规模</w:t>
            </w:r>
          </w:p>
        </w:tc>
        <w:tc>
          <w:tcPr>
            <w:tcW w:type="dxa" w:w="18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3.105</w:t>
            </w:r>
          </w:p>
        </w:tc>
        <w:tc>
          <w:tcPr>
            <w:tcW w:type="dxa" w:w="18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3.520</w:t>
            </w:r>
          </w:p>
        </w:tc>
        <w:tc>
          <w:tcPr>
            <w:tcW w:type="dxa" w:w="27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+0.161</w:t>
            </w:r>
          </w:p>
        </w:tc>
      </w:tr>
      <w:tr>
        <w:tc>
          <w:tcPr>
            <w:tcW w:type="dxa" w:w="28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销项平均绝对金额</w:t>
            </w:r>
          </w:p>
        </w:tc>
        <w:tc>
          <w:tcPr>
            <w:tcW w:type="dxa" w:w="18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10.372</w:t>
            </w:r>
          </w:p>
        </w:tc>
        <w:tc>
          <w:tcPr>
            <w:tcW w:type="dxa" w:w="18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10.597</w:t>
            </w:r>
          </w:p>
        </w:tc>
        <w:tc>
          <w:tcPr>
            <w:tcW w:type="dxa" w:w="27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+0.153</w:t>
            </w:r>
          </w:p>
        </w:tc>
      </w:tr>
      <w:tr>
        <w:tc>
          <w:tcPr>
            <w:tcW w:type="dxa" w:w="28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进项作废率</w:t>
            </w:r>
          </w:p>
        </w:tc>
        <w:tc>
          <w:tcPr>
            <w:tcW w:type="dxa" w:w="18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0.028</w:t>
            </w:r>
          </w:p>
        </w:tc>
        <w:tc>
          <w:tcPr>
            <w:tcW w:type="dxa" w:w="18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0.032</w:t>
            </w:r>
          </w:p>
        </w:tc>
        <w:tc>
          <w:tcPr>
            <w:tcW w:type="dxa" w:w="27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+0.148</w:t>
            </w:r>
          </w:p>
        </w:tc>
      </w:tr>
      <w:tr>
        <w:tc>
          <w:tcPr>
            <w:tcW w:type="dxa" w:w="28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进项趋势</w:t>
            </w:r>
          </w:p>
        </w:tc>
        <w:tc>
          <w:tcPr>
            <w:tcW w:type="dxa" w:w="18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0.026</w:t>
            </w:r>
          </w:p>
        </w:tc>
        <w:tc>
          <w:tcPr>
            <w:tcW w:type="dxa" w:w="18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0.032</w:t>
            </w:r>
          </w:p>
        </w:tc>
        <w:tc>
          <w:tcPr>
            <w:tcW w:type="dxa" w:w="27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+0.138</w:t>
            </w:r>
          </w:p>
        </w:tc>
      </w:tr>
    </w:tbl>
    <w:p>
      <w:pPr>
        <w:spacing w:after="20"/>
      </w:pPr>
    </w:p>
    <w:p>
      <w:r>
        <w:rPr>
          <w:rFonts w:ascii="宋体" w:hAnsi="宋体" w:eastAsia="宋体"/>
          <w:sz w:val="21"/>
        </w:rPr>
        <w:t>绝对漂移最大的变量为进项 HHI，标准化均值差仅0.219；其余前列变量也均小于0.18。按企业32维标准化偏差的平均绝对值计算迁移置信度，302家企业均未超过1.5的人工复核阈值。该结果说明均值层面的域差异较小，但目标域缺少真实评级，因此不能据此宣称迁移准确率已经验证。</w:t>
      </w:r>
    </w:p>
    <w:p>
      <w:pPr>
        <w:pStyle w:val="Heading2"/>
      </w:pPr>
      <w:r>
        <w:t>5.2  一亿元主组合与风险前沿</w:t>
      </w:r>
    </w:p>
    <w:p>
      <w:r>
        <w:rPr>
          <w:rFonts w:ascii="宋体" w:hAnsi="宋体" w:eastAsia="宋体"/>
          <w:sz w:val="21"/>
        </w:rPr>
        <w:t>将迁移评级概率映射为风险损失尺度，并按照式（5）选择利率。问题二允许所有企业进入候选集，但预测为 D 型的企业会因较高 ρᵢ 受到目标函数和1.30%组合风险上限的连续惩罚。额度仍限制在10万至100万元，总额为1亿元。</w:t>
      </w:r>
    </w:p>
    <w:tbl>
      <w:tblPr>
        <w:tblStyle w:val="TableGrid"/>
        <w:tblW w:type="dxa" w:w="9180"/>
        <w:jc w:val="center"/>
        <w:tblLayout w:type="fixed"/>
        <w:tblLook w:firstColumn="1" w:firstRow="1" w:lastColumn="0" w:lastRow="0" w:noHBand="0" w:noVBand="1" w:val="04A0"/>
        <w:tblInd w:w="110" w:type="dxa"/>
      </w:tblPr>
      <w:tblGrid>
        <w:gridCol w:w="1500"/>
        <w:gridCol w:w="2100"/>
        <w:gridCol w:w="2100"/>
        <w:gridCol w:w="1500"/>
        <w:gridCol w:w="1980"/>
      </w:tblGrid>
      <w:tr>
        <w:trPr>
          <w:tblHeader w:val="true"/>
        </w:trPr>
        <w:tc>
          <w:tcPr>
            <w:tcW w:type="dxa" w:w="15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风险上限</w:t>
            </w:r>
          </w:p>
        </w:tc>
        <w:tc>
          <w:tcPr>
            <w:tcW w:type="dxa" w:w="21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期望效益/万元</w:t>
            </w:r>
          </w:p>
        </w:tc>
        <w:tc>
          <w:tcPr>
            <w:tcW w:type="dxa" w:w="21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风险尺度/万元</w:t>
            </w:r>
          </w:p>
        </w:tc>
        <w:tc>
          <w:tcPr>
            <w:tcW w:type="dxa" w:w="15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入选数</w:t>
            </w:r>
          </w:p>
        </w:tc>
        <w:tc>
          <w:tcPr>
            <w:tcW w:type="dxa" w:w="19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最小额度/万元</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1.28%</w:t>
            </w:r>
          </w:p>
        </w:tc>
        <w:tc>
          <w:tcPr>
            <w:tcW w:type="dxa" w:w="21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140.02</w:t>
            </w:r>
          </w:p>
        </w:tc>
        <w:tc>
          <w:tcPr>
            <w:tcW w:type="dxa" w:w="21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128.00</w:t>
            </w:r>
          </w:p>
        </w:tc>
        <w:tc>
          <w:tcPr>
            <w:tcW w:type="dxa" w:w="1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101</w:t>
            </w:r>
          </w:p>
        </w:tc>
        <w:tc>
          <w:tcPr>
            <w:tcW w:type="dxa" w:w="19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31.79</w:t>
            </w:r>
          </w:p>
        </w:tc>
      </w:tr>
      <w:tr>
        <w:tc>
          <w:tcPr>
            <w:tcW w:type="dxa" w:w="15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1.30%</w:t>
            </w:r>
          </w:p>
        </w:tc>
        <w:tc>
          <w:tcPr>
            <w:tcW w:type="dxa" w:w="21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142.90</w:t>
            </w:r>
          </w:p>
        </w:tc>
        <w:tc>
          <w:tcPr>
            <w:tcW w:type="dxa" w:w="21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130.00</w:t>
            </w:r>
          </w:p>
        </w:tc>
        <w:tc>
          <w:tcPr>
            <w:tcW w:type="dxa" w:w="1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101</w:t>
            </w:r>
          </w:p>
        </w:tc>
        <w:tc>
          <w:tcPr>
            <w:tcW w:type="dxa" w:w="19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23.19</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1.32%</w:t>
            </w:r>
          </w:p>
        </w:tc>
        <w:tc>
          <w:tcPr>
            <w:tcW w:type="dxa" w:w="21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144.62</w:t>
            </w:r>
          </w:p>
        </w:tc>
        <w:tc>
          <w:tcPr>
            <w:tcW w:type="dxa" w:w="21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132.00</w:t>
            </w:r>
          </w:p>
        </w:tc>
        <w:tc>
          <w:tcPr>
            <w:tcW w:type="dxa" w:w="1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101</w:t>
            </w:r>
          </w:p>
        </w:tc>
        <w:tc>
          <w:tcPr>
            <w:tcW w:type="dxa" w:w="19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47.74</w:t>
            </w:r>
          </w:p>
        </w:tc>
      </w:tr>
      <w:tr>
        <w:tc>
          <w:tcPr>
            <w:tcW w:type="dxa" w:w="15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1.34%</w:t>
            </w:r>
          </w:p>
        </w:tc>
        <w:tc>
          <w:tcPr>
            <w:tcW w:type="dxa" w:w="21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144.91</w:t>
            </w:r>
          </w:p>
        </w:tc>
        <w:tc>
          <w:tcPr>
            <w:tcW w:type="dxa" w:w="21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133.37</w:t>
            </w:r>
          </w:p>
        </w:tc>
        <w:tc>
          <w:tcPr>
            <w:tcW w:type="dxa" w:w="1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100</w:t>
            </w:r>
          </w:p>
        </w:tc>
        <w:tc>
          <w:tcPr>
            <w:tcW w:type="dxa" w:w="19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100.00</w:t>
            </w:r>
          </w:p>
        </w:tc>
      </w:tr>
      <w:tr>
        <w:tc>
          <w:tcPr>
            <w:tcW w:type="dxa" w:w="15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1.40%</w:t>
            </w:r>
          </w:p>
        </w:tc>
        <w:tc>
          <w:tcPr>
            <w:tcW w:type="dxa" w:w="21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144.91</w:t>
            </w:r>
          </w:p>
        </w:tc>
        <w:tc>
          <w:tcPr>
            <w:tcW w:type="dxa" w:w="21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133.37</w:t>
            </w:r>
          </w:p>
        </w:tc>
        <w:tc>
          <w:tcPr>
            <w:tcW w:type="dxa" w:w="1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100</w:t>
            </w:r>
          </w:p>
        </w:tc>
        <w:tc>
          <w:tcPr>
            <w:tcW w:type="dxa" w:w="19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100.00</w:t>
            </w:r>
          </w:p>
        </w:tc>
      </w:tr>
    </w:tbl>
    <w:p>
      <w:pPr>
        <w:spacing w:after="20"/>
      </w:pPr>
    </w:p>
    <w:p>
      <w:r>
        <w:rPr>
          <w:rFonts w:ascii="宋体" w:hAnsi="宋体" w:eastAsia="宋体"/>
          <w:sz w:val="21"/>
        </w:rPr>
        <w:t>主情景在1.30%风险上限下选择101家企业，预测评级 A/B/C/D 的入选数分别为63、38、0和0家；总额度严格等于1亿元，期望效益142.90万元，风险损失本金尺度130.00万元。最小授信为23.19万元，最大为100万元。共有2家企业未达到100万元上限，说明风险约束在边界企业上产生了额度调整。</w:t>
      </w:r>
    </w:p>
    <w:p>
      <w:pPr>
        <w:keepNext/>
        <w:ind w:firstLine="0"/>
        <w:jc w:val="center"/>
      </w:pPr>
      <w:r>
        <w:drawing>
          <wp:inline xmlns:a="http://schemas.openxmlformats.org/drawingml/2006/main" xmlns:pic="http://schemas.openxmlformats.org/drawingml/2006/picture">
            <wp:extent cx="5303520" cy="3426890"/>
            <wp:docPr id="4" name="Picture 4" title="图4  问题二风险上限变化下的组合风险—效益前沿" descr="图4  问题二风险上限变化下的组合风险—效益前沿"/>
            <wp:cNvGraphicFramePr>
              <a:graphicFrameLocks noChangeAspect="1"/>
            </wp:cNvGraphicFramePr>
            <a:graphic>
              <a:graphicData uri="http://schemas.openxmlformats.org/drawingml/2006/picture">
                <pic:pic>
                  <pic:nvPicPr>
                    <pic:cNvPr id="0" name="problem2_risk_return_frontier.png"/>
                    <pic:cNvPicPr/>
                  </pic:nvPicPr>
                  <pic:blipFill>
                    <a:blip r:embed="rId14"/>
                    <a:stretch>
                      <a:fillRect/>
                    </a:stretch>
                  </pic:blipFill>
                  <pic:spPr>
                    <a:xfrm>
                      <a:off x="0" y="0"/>
                      <a:ext cx="5303520" cy="3426890"/>
                    </a:xfrm>
                    <a:prstGeom prst="rect"/>
                  </pic:spPr>
                </pic:pic>
              </a:graphicData>
            </a:graphic>
          </wp:inline>
        </w:drawing>
      </w:r>
    </w:p>
    <w:p>
      <w:pPr>
        <w:pStyle w:val="Caption"/>
      </w:pPr>
      <w:r>
        <w:rPr>
          <w:rFonts w:ascii="宋体" w:hAnsi="宋体" w:eastAsia="宋体"/>
          <w:color w:val="5F6B76"/>
          <w:sz w:val="18"/>
        </w:rPr>
        <w:t>图4  问题二风险上限变化下的组合风险—效益前沿</w:t>
      </w:r>
    </w:p>
    <w:p>
      <w:r>
        <w:rPr>
          <w:rFonts w:ascii="宋体" w:hAnsi="宋体" w:eastAsia="宋体"/>
          <w:sz w:val="21"/>
        </w:rPr>
        <w:t>风险上限从1.28%提高至1.34%时，期望效益由140.02万元增至144.91万元；超过1.34%后曲线变平，表明风险约束不再是活跃约束。选择1.30%作为主情景可牺牲约2.01万元名义效益，换取约3.37万元风险敞口下降，并将授信从100家扩展到101家。</w:t>
      </w:r>
    </w:p>
    <w:p>
      <w:pPr>
        <w:pStyle w:val="Heading1"/>
      </w:pPr>
      <w:r>
        <w:t>6  问题三：突发事件下的鲁棒信贷策略</w:t>
      </w:r>
    </w:p>
    <w:p>
      <w:pPr>
        <w:pStyle w:val="Heading2"/>
      </w:pPr>
      <w:r>
        <w:t>6.1  发票经营脆弱度</w:t>
      </w:r>
    </w:p>
    <w:p>
      <w:r>
        <w:rPr>
          <w:rFonts w:ascii="宋体" w:hAnsi="宋体" w:eastAsia="宋体"/>
          <w:sz w:val="21"/>
        </w:rPr>
        <w:t>附件缺少行业类别、地区、疫情暴露和实际冲击损失。若直接套用外部行业系数，会产生无法核验的企业级影响。本文只用附件内可观察的经营韧性构造脆弱度：销项月度波动、销售近期下滑、客户 HHI、供应商 HHI、销项负数率和低活跃度分别做百分位排序后等权平均。</w:t>
      </w:r>
    </w:p>
    <w:p>
      <w:pPr>
        <w:spacing w:before="80" w:after="80"/>
        <w:ind w:firstLine="0"/>
        <w:jc w:val="center"/>
      </w:pPr>
      <w:r>
        <w:rPr>
          <w:rFonts w:ascii="Cambria Math" w:hAnsi="Cambria Math" w:eastAsia="Cambria Math"/>
          <w:sz w:val="21"/>
        </w:rPr>
        <w:t>vᵢ = [P(CVᵢ)+1−P(gᵢ)+P(HHIˢᵢ)+P(HHIᵖᵢ)+P(negᵢ)+1−P(activeᵢ)]/6    （8）</w:t>
      </w:r>
    </w:p>
    <w:p>
      <w:pPr>
        <w:pStyle w:val="Heading2"/>
      </w:pPr>
      <w:r>
        <w:t>6.2  压力情景与 maximin 模型</w:t>
      </w:r>
    </w:p>
    <w:p>
      <w:r>
        <w:rPr>
          <w:rFonts w:ascii="宋体" w:hAnsi="宋体" w:eastAsia="宋体"/>
          <w:sz w:val="21"/>
        </w:rPr>
        <w:t>设情景强度参数 δₛ 分别为0.15、0.50、1.00，客户留存冲击 γₛ 分别为0.05、0.15、0.30。风险损失尺度按脆弱度相对放大，留存率按脆弱度下降：</w:t>
      </w:r>
    </w:p>
    <w:p>
      <w:pPr>
        <w:spacing w:before="80" w:after="80"/>
        <w:ind w:firstLine="0"/>
        <w:jc w:val="center"/>
      </w:pPr>
      <w:r>
        <w:rPr>
          <w:rFonts w:ascii="Cambria Math" w:hAnsi="Cambria Math" w:eastAsia="Cambria Math"/>
          <w:sz w:val="21"/>
        </w:rPr>
        <w:t>ρᵢs = min{1, ρᵢ(1+δₛvᵢ)},    qᵢs(r)=[1−ℓᵢ(r)](1−γₛvᵢ)    （9）</w:t>
      </w:r>
    </w:p>
    <w:p>
      <w:pPr>
        <w:spacing w:before="80" w:after="80"/>
        <w:ind w:firstLine="0"/>
        <w:jc w:val="center"/>
      </w:pPr>
      <w:r>
        <w:rPr>
          <w:rFonts w:ascii="Cambria Math" w:hAnsi="Cambria Math" w:eastAsia="Cambria Math"/>
          <w:sz w:val="21"/>
        </w:rPr>
        <w:t>uᵢs(r) = [r−LGD·ρᵢs] qᵢs(r)    （10）</w:t>
      </w:r>
    </w:p>
    <w:p>
      <w:r>
        <w:rPr>
          <w:rFonts w:ascii="宋体" w:hAnsi="宋体" w:eastAsia="宋体"/>
          <w:sz w:val="21"/>
        </w:rPr>
        <w:t>对每家企业在29个利率点中选择最大化最坏单位效益的利率；组合层引入辅助变量 z，使 z 不超过任一情景下的总效益。</w:t>
      </w:r>
    </w:p>
    <w:p>
      <w:pPr>
        <w:spacing w:before="80" w:after="80"/>
        <w:ind w:firstLine="0"/>
        <w:jc w:val="center"/>
      </w:pPr>
      <w:r>
        <w:rPr>
          <w:rFonts w:ascii="Cambria Math" w:hAnsi="Cambria Math" w:eastAsia="Cambria Math"/>
          <w:sz w:val="21"/>
        </w:rPr>
        <w:t>max z,    s.t. z≤Σᵢuᵢs xᵢ  (∀s),  Σᵢxᵢ=10⁸,  Σᵢmaxₛ{ρᵢs qᵢs}xᵢ≤1.3×10⁶    （11）</w:t>
      </w:r>
    </w:p>
    <w:tbl>
      <w:tblPr>
        <w:tblStyle w:val="TableGrid"/>
        <w:tblW w:type="dxa" w:w="9180"/>
        <w:jc w:val="center"/>
        <w:tblLayout w:type="fixed"/>
        <w:tblLook w:firstColumn="1" w:firstRow="1" w:lastColumn="0" w:lastRow="0" w:noHBand="0" w:noVBand="1" w:val="04A0"/>
        <w:tblInd w:w="110" w:type="dxa"/>
      </w:tblPr>
      <w:tblGrid>
        <w:gridCol w:w="1700"/>
        <w:gridCol w:w="2500"/>
        <w:gridCol w:w="2500"/>
        <w:gridCol w:w="2480"/>
      </w:tblGrid>
      <w:tr>
        <w:trPr>
          <w:tblHeader w:val="true"/>
        </w:trPr>
        <w:tc>
          <w:tcPr>
            <w:tcW w:type="dxa" w:w="17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情景</w:t>
            </w:r>
          </w:p>
        </w:tc>
        <w:tc>
          <w:tcPr>
            <w:tcW w:type="dxa" w:w="25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组合效益/万元</w:t>
            </w:r>
          </w:p>
        </w:tc>
        <w:tc>
          <w:tcPr>
            <w:tcW w:type="dxa" w:w="25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风险尺度/万元</w:t>
            </w:r>
          </w:p>
        </w:tc>
        <w:tc>
          <w:tcPr>
            <w:tcW w:type="dxa" w:w="24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最坏效益约束</w:t>
            </w:r>
          </w:p>
        </w:tc>
      </w:tr>
      <w:tr>
        <w:tc>
          <w:tcPr>
            <w:tcW w:type="dxa" w:w="17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轻度</w:t>
            </w:r>
          </w:p>
        </w:tc>
        <w:tc>
          <w:tcPr>
            <w:tcW w:type="dxa" w:w="2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132.46</w:t>
            </w:r>
          </w:p>
        </w:tc>
        <w:tc>
          <w:tcPr>
            <w:tcW w:type="dxa" w:w="2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107.51</w:t>
            </w:r>
          </w:p>
        </w:tc>
        <w:tc>
          <w:tcPr>
            <w:tcW w:type="dxa" w:w="24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非活跃</w:t>
            </w:r>
          </w:p>
        </w:tc>
      </w:tr>
      <w:tr>
        <w:tc>
          <w:tcPr>
            <w:tcW w:type="dxa" w:w="17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中度</w:t>
            </w:r>
          </w:p>
        </w:tc>
        <w:tc>
          <w:tcPr>
            <w:tcW w:type="dxa" w:w="2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114.75</w:t>
            </w:r>
          </w:p>
        </w:tc>
        <w:tc>
          <w:tcPr>
            <w:tcW w:type="dxa" w:w="2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116.12</w:t>
            </w:r>
          </w:p>
        </w:tc>
        <w:tc>
          <w:tcPr>
            <w:tcW w:type="dxa" w:w="24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非活跃</w:t>
            </w:r>
          </w:p>
        </w:tc>
      </w:tr>
      <w:tr>
        <w:tc>
          <w:tcPr>
            <w:tcW w:type="dxa" w:w="17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重度</w:t>
            </w:r>
          </w:p>
        </w:tc>
        <w:tc>
          <w:tcPr>
            <w:tcW w:type="dxa" w:w="2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90.99</w:t>
            </w:r>
          </w:p>
        </w:tc>
        <w:tc>
          <w:tcPr>
            <w:tcW w:type="dxa" w:w="2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126.22</w:t>
            </w:r>
          </w:p>
        </w:tc>
        <w:tc>
          <w:tcPr>
            <w:tcW w:type="dxa" w:w="24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活跃</w:t>
            </w:r>
          </w:p>
        </w:tc>
      </w:tr>
    </w:tbl>
    <w:p>
      <w:pPr>
        <w:spacing w:after="20"/>
      </w:pPr>
    </w:p>
    <w:p>
      <w:r>
        <w:rPr>
          <w:rFonts w:ascii="宋体" w:hAnsi="宋体" w:eastAsia="宋体"/>
          <w:sz w:val="21"/>
        </w:rPr>
        <w:t>鲁棒策略在轻度、中度和重度压力下的组合效益分别为132.46万元、114.75万元和90.99万元，重度情景构成 maximin 的活跃约束。三种情景的风险损失尺度均未超过130万元；主鲁棒组合选择100家企业并使用全部1亿元预算。由于严重压力同时提高违约损失和客户流失，稳健利率的贷款加权均值提高到13.554%，以利差补偿风险，但仍受15%上限约束。</w:t>
      </w:r>
    </w:p>
    <w:p>
      <w:pPr>
        <w:keepNext/>
        <w:ind w:firstLine="0"/>
        <w:jc w:val="center"/>
      </w:pPr>
      <w:r>
        <w:drawing>
          <wp:inline xmlns:a="http://schemas.openxmlformats.org/drawingml/2006/main" xmlns:pic="http://schemas.openxmlformats.org/drawingml/2006/picture">
            <wp:extent cx="5303520" cy="3426890"/>
            <wp:docPr id="5" name="Picture 5" title="图5  鲁棒组合在轻度、中度与重度压力下的年度效益" descr="图5  鲁棒组合在轻度、中度与重度压力下的年度效益"/>
            <wp:cNvGraphicFramePr>
              <a:graphicFrameLocks noChangeAspect="1"/>
            </wp:cNvGraphicFramePr>
            <a:graphic>
              <a:graphicData uri="http://schemas.openxmlformats.org/drawingml/2006/picture">
                <pic:pic>
                  <pic:nvPicPr>
                    <pic:cNvPr id="0" name="problem3_robust_scenarios.png"/>
                    <pic:cNvPicPr/>
                  </pic:nvPicPr>
                  <pic:blipFill>
                    <a:blip r:embed="rId15"/>
                    <a:stretch>
                      <a:fillRect/>
                    </a:stretch>
                  </pic:blipFill>
                  <pic:spPr>
                    <a:xfrm>
                      <a:off x="0" y="0"/>
                      <a:ext cx="5303520" cy="3426890"/>
                    </a:xfrm>
                    <a:prstGeom prst="rect"/>
                  </pic:spPr>
                </pic:pic>
              </a:graphicData>
            </a:graphic>
          </wp:inline>
        </w:drawing>
      </w:r>
    </w:p>
    <w:p>
      <w:pPr>
        <w:pStyle w:val="Caption"/>
      </w:pPr>
      <w:r>
        <w:rPr>
          <w:rFonts w:ascii="宋体" w:hAnsi="宋体" w:eastAsia="宋体"/>
          <w:color w:val="5F6B76"/>
          <w:sz w:val="18"/>
        </w:rPr>
        <w:t>图5  鲁棒组合在轻度、中度与重度压力下的年度效益</w:t>
      </w:r>
    </w:p>
    <w:p>
      <w:pPr>
        <w:pStyle w:val="Heading1"/>
      </w:pPr>
      <w:r>
        <w:t>7  模型解释、敏感性与稳健性</w:t>
      </w:r>
    </w:p>
    <w:p>
      <w:pPr>
        <w:pStyle w:val="Heading2"/>
      </w:pPr>
      <w:r>
        <w:t>7.1  SHAP 全局与局部解释</w:t>
      </w:r>
    </w:p>
    <w:p>
      <w:r>
        <w:rPr>
          <w:rFonts w:ascii="宋体" w:hAnsi="宋体" w:eastAsia="宋体"/>
          <w:sz w:val="21"/>
        </w:rPr>
        <w:t>TreeSHAP 只解释融合模型中的 XGBoost 分量。对四类 SHAP 值按照 CRI 的0、1/3、2/3、1严重度方向加权，可得到每个特征对“风险方向”的贡献。全局重要性取该方向贡献的平均绝对值；局部解释则给出高风险企业中推动 CRI 上升的前三个变量。</w:t>
      </w:r>
    </w:p>
    <w:tbl>
      <w:tblPr>
        <w:tblStyle w:val="TableGrid"/>
        <w:tblW w:type="dxa" w:w="9180"/>
        <w:jc w:val="center"/>
        <w:tblLayout w:type="fixed"/>
        <w:tblLook w:firstColumn="1" w:firstRow="1" w:lastColumn="0" w:lastRow="0" w:noHBand="0" w:noVBand="1" w:val="04A0"/>
        <w:tblInd w:w="110" w:type="dxa"/>
      </w:tblPr>
      <w:tblGrid>
        <w:gridCol w:w="1000"/>
        <w:gridCol w:w="3600"/>
        <w:gridCol w:w="2500"/>
        <w:gridCol w:w="2080"/>
      </w:tblGrid>
      <w:tr>
        <w:trPr>
          <w:tblHeader w:val="true"/>
        </w:trPr>
        <w:tc>
          <w:tcPr>
            <w:tcW w:type="dxa" w:w="10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排名</w:t>
            </w:r>
          </w:p>
        </w:tc>
        <w:tc>
          <w:tcPr>
            <w:tcW w:type="dxa" w:w="36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特征</w:t>
            </w:r>
          </w:p>
        </w:tc>
        <w:tc>
          <w:tcPr>
            <w:tcW w:type="dxa" w:w="25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平均绝对风险贡献</w:t>
            </w:r>
          </w:p>
        </w:tc>
        <w:tc>
          <w:tcPr>
            <w:tcW w:type="dxa" w:w="20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平均方向贡献</w:t>
            </w:r>
          </w:p>
        </w:tc>
      </w:tr>
      <w:tr>
        <w:tc>
          <w:tcPr>
            <w:tcW w:type="dxa" w:w="10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1</w:t>
            </w:r>
          </w:p>
        </w:tc>
        <w:tc>
          <w:tcPr>
            <w:tcW w:type="dxa" w:w="36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销项净额规模</w:t>
            </w:r>
          </w:p>
        </w:tc>
        <w:tc>
          <w:tcPr>
            <w:tcW w:type="dxa" w:w="2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0.5311</w:t>
            </w:r>
          </w:p>
        </w:tc>
        <w:tc>
          <w:tcPr>
            <w:tcW w:type="dxa" w:w="2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-0.2015</w:t>
            </w:r>
          </w:p>
        </w:tc>
      </w:tr>
      <w:tr>
        <w:tc>
          <w:tcPr>
            <w:tcW w:type="dxa" w:w="10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2</w:t>
            </w:r>
          </w:p>
        </w:tc>
        <w:tc>
          <w:tcPr>
            <w:tcW w:type="dxa" w:w="36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销项正额规模</w:t>
            </w:r>
          </w:p>
        </w:tc>
        <w:tc>
          <w:tcPr>
            <w:tcW w:type="dxa" w:w="2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0.3367</w:t>
            </w:r>
          </w:p>
        </w:tc>
        <w:tc>
          <w:tcPr>
            <w:tcW w:type="dxa" w:w="2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-0.1811</w:t>
            </w:r>
          </w:p>
        </w:tc>
      </w:tr>
      <w:tr>
        <w:tc>
          <w:tcPr>
            <w:tcW w:type="dxa" w:w="10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3</w:t>
            </w:r>
          </w:p>
        </w:tc>
        <w:tc>
          <w:tcPr>
            <w:tcW w:type="dxa" w:w="36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近12月销项规模</w:t>
            </w:r>
          </w:p>
        </w:tc>
        <w:tc>
          <w:tcPr>
            <w:tcW w:type="dxa" w:w="2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0.3007</w:t>
            </w:r>
          </w:p>
        </w:tc>
        <w:tc>
          <w:tcPr>
            <w:tcW w:type="dxa" w:w="2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-0.1292</w:t>
            </w:r>
          </w:p>
        </w:tc>
      </w:tr>
      <w:tr>
        <w:tc>
          <w:tcPr>
            <w:tcW w:type="dxa" w:w="10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4</w:t>
            </w:r>
          </w:p>
        </w:tc>
        <w:tc>
          <w:tcPr>
            <w:tcW w:type="dxa" w:w="36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前5大客户占比</w:t>
            </w:r>
          </w:p>
        </w:tc>
        <w:tc>
          <w:tcPr>
            <w:tcW w:type="dxa" w:w="2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0.2907</w:t>
            </w:r>
          </w:p>
        </w:tc>
        <w:tc>
          <w:tcPr>
            <w:tcW w:type="dxa" w:w="2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-0.0412</w:t>
            </w:r>
          </w:p>
        </w:tc>
      </w:tr>
      <w:tr>
        <w:tc>
          <w:tcPr>
            <w:tcW w:type="dxa" w:w="10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5</w:t>
            </w:r>
          </w:p>
        </w:tc>
        <w:tc>
          <w:tcPr>
            <w:tcW w:type="dxa" w:w="36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客户集中度 HHI</w:t>
            </w:r>
          </w:p>
        </w:tc>
        <w:tc>
          <w:tcPr>
            <w:tcW w:type="dxa" w:w="2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0.2096</w:t>
            </w:r>
          </w:p>
        </w:tc>
        <w:tc>
          <w:tcPr>
            <w:tcW w:type="dxa" w:w="2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-0.0491</w:t>
            </w:r>
          </w:p>
        </w:tc>
      </w:tr>
      <w:tr>
        <w:tc>
          <w:tcPr>
            <w:tcW w:type="dxa" w:w="10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6</w:t>
            </w:r>
          </w:p>
        </w:tc>
        <w:tc>
          <w:tcPr>
            <w:tcW w:type="dxa" w:w="36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销项月度波动</w:t>
            </w:r>
          </w:p>
        </w:tc>
        <w:tc>
          <w:tcPr>
            <w:tcW w:type="dxa" w:w="2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0.1366</w:t>
            </w:r>
          </w:p>
        </w:tc>
        <w:tc>
          <w:tcPr>
            <w:tcW w:type="dxa" w:w="2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-0.0720</w:t>
            </w:r>
          </w:p>
        </w:tc>
      </w:tr>
      <w:tr>
        <w:tc>
          <w:tcPr>
            <w:tcW w:type="dxa" w:w="10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7</w:t>
            </w:r>
          </w:p>
        </w:tc>
        <w:tc>
          <w:tcPr>
            <w:tcW w:type="dxa" w:w="36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销项发票数量</w:t>
            </w:r>
          </w:p>
        </w:tc>
        <w:tc>
          <w:tcPr>
            <w:tcW w:type="dxa" w:w="2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0.0898</w:t>
            </w:r>
          </w:p>
        </w:tc>
        <w:tc>
          <w:tcPr>
            <w:tcW w:type="dxa" w:w="2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-0.0221</w:t>
            </w:r>
          </w:p>
        </w:tc>
      </w:tr>
      <w:tr>
        <w:tc>
          <w:tcPr>
            <w:tcW w:type="dxa" w:w="10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8</w:t>
            </w:r>
          </w:p>
        </w:tc>
        <w:tc>
          <w:tcPr>
            <w:tcW w:type="dxa" w:w="36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销项作废率</w:t>
            </w:r>
          </w:p>
        </w:tc>
        <w:tc>
          <w:tcPr>
            <w:tcW w:type="dxa" w:w="2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0.0770</w:t>
            </w:r>
          </w:p>
        </w:tc>
        <w:tc>
          <w:tcPr>
            <w:tcW w:type="dxa" w:w="2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-0.0462</w:t>
            </w:r>
          </w:p>
        </w:tc>
      </w:tr>
      <w:tr>
        <w:tc>
          <w:tcPr>
            <w:tcW w:type="dxa" w:w="10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9</w:t>
            </w:r>
          </w:p>
        </w:tc>
        <w:tc>
          <w:tcPr>
            <w:tcW w:type="dxa" w:w="36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销项活跃月份比</w:t>
            </w:r>
          </w:p>
        </w:tc>
        <w:tc>
          <w:tcPr>
            <w:tcW w:type="dxa" w:w="25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0.0758</w:t>
            </w:r>
          </w:p>
        </w:tc>
        <w:tc>
          <w:tcPr>
            <w:tcW w:type="dxa" w:w="2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-0.0309</w:t>
            </w:r>
          </w:p>
        </w:tc>
      </w:tr>
      <w:tr>
        <w:tc>
          <w:tcPr>
            <w:tcW w:type="dxa" w:w="10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10</w:t>
            </w:r>
          </w:p>
        </w:tc>
        <w:tc>
          <w:tcPr>
            <w:tcW w:type="dxa" w:w="36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客户数量</w:t>
            </w:r>
          </w:p>
        </w:tc>
        <w:tc>
          <w:tcPr>
            <w:tcW w:type="dxa" w:w="25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0.0633</w:t>
            </w:r>
          </w:p>
        </w:tc>
        <w:tc>
          <w:tcPr>
            <w:tcW w:type="dxa" w:w="2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-0.0329</w:t>
            </w:r>
          </w:p>
        </w:tc>
      </w:tr>
    </w:tbl>
    <w:p>
      <w:pPr>
        <w:spacing w:after="20"/>
      </w:pPr>
    </w:p>
    <w:p>
      <w:pPr>
        <w:keepNext/>
        <w:ind w:firstLine="0"/>
        <w:jc w:val="center"/>
      </w:pPr>
      <w:r>
        <w:drawing>
          <wp:inline xmlns:a="http://schemas.openxmlformats.org/drawingml/2006/main" xmlns:pic="http://schemas.openxmlformats.org/drawingml/2006/picture">
            <wp:extent cx="5303520" cy="3539772"/>
            <wp:docPr id="6" name="Picture 6" title="图6  XGBoost 分量的全局 SHAP 风险方向重要性" descr="图6  XGBoost 分量的全局 SHAP 风险方向重要性"/>
            <wp:cNvGraphicFramePr>
              <a:graphicFrameLocks noChangeAspect="1"/>
            </wp:cNvGraphicFramePr>
            <a:graphic>
              <a:graphicData uri="http://schemas.openxmlformats.org/drawingml/2006/picture">
                <pic:pic>
                  <pic:nvPicPr>
                    <pic:cNvPr id="0" name="shap_global_importance.png"/>
                    <pic:cNvPicPr/>
                  </pic:nvPicPr>
                  <pic:blipFill>
                    <a:blip r:embed="rId16"/>
                    <a:stretch>
                      <a:fillRect/>
                    </a:stretch>
                  </pic:blipFill>
                  <pic:spPr>
                    <a:xfrm>
                      <a:off x="0" y="0"/>
                      <a:ext cx="5303520" cy="3539772"/>
                    </a:xfrm>
                    <a:prstGeom prst="rect"/>
                  </pic:spPr>
                </pic:pic>
              </a:graphicData>
            </a:graphic>
          </wp:inline>
        </w:drawing>
      </w:r>
    </w:p>
    <w:p>
      <w:pPr>
        <w:pStyle w:val="Caption"/>
      </w:pPr>
      <w:r>
        <w:rPr>
          <w:rFonts w:ascii="宋体" w:hAnsi="宋体" w:eastAsia="宋体"/>
          <w:color w:val="5F6B76"/>
          <w:sz w:val="18"/>
        </w:rPr>
        <w:t>图6  XGBoost 分量的全局 SHAP 风险方向重要性</w:t>
      </w:r>
    </w:p>
    <w:p>
      <w:r>
        <w:rPr>
          <w:rFonts w:ascii="宋体" w:hAnsi="宋体" w:eastAsia="宋体"/>
          <w:sz w:val="21"/>
        </w:rPr>
        <w:t>销项净额规模、销项正额规模和近12月销项规模占据前三位，说明模型首先使用销售规模与持续性区分风险；前五大客户占比和客户 HHI 紧随其后，反映对少数客户的依赖。平均方向贡献不能单独用于判断“数值大必然增险”，因为树模型存在阈值和交互；对单个企业应结合其实际特征值与局部 SHAP 正负号解释。</w:t>
      </w:r>
    </w:p>
    <w:p>
      <w:pPr>
        <w:pStyle w:val="Heading2"/>
      </w:pPr>
      <w:r>
        <w:t>7.2  LGD 与压力强度敏感性</w:t>
      </w:r>
    </w:p>
    <w:p>
      <w:r>
        <w:rPr>
          <w:rFonts w:ascii="宋体" w:hAnsi="宋体" w:eastAsia="宋体"/>
          <w:sz w:val="21"/>
        </w:rPr>
        <w:t>LGD 敏感性用于观察风险损失估值变化，诊断中放宽硬风险上限以隔离 LGD 对利率和效益的影响。LGD 从0.4提高到1.0时，组合期望效益从265.71万元降至144.91万元，贷款加权利率从7.834%升至11.994%。较高 LGD 使模型偏向更高利率和更低留存的组合，以控制被接受贷款上的损失敞口。</w:t>
      </w:r>
    </w:p>
    <w:tbl>
      <w:tblPr>
        <w:tblStyle w:val="TableGrid"/>
        <w:tblW w:type="dxa" w:w="9180"/>
        <w:jc w:val="center"/>
        <w:tblLayout w:type="fixed"/>
        <w:tblLook w:firstColumn="1" w:firstRow="1" w:lastColumn="0" w:lastRow="0" w:noHBand="0" w:noVBand="1" w:val="04A0"/>
        <w:tblInd w:w="110" w:type="dxa"/>
      </w:tblPr>
      <w:tblGrid>
        <w:gridCol w:w="1600"/>
        <w:gridCol w:w="2600"/>
        <w:gridCol w:w="2600"/>
        <w:gridCol w:w="2380"/>
      </w:tblGrid>
      <w:tr>
        <w:trPr>
          <w:tblHeader w:val="true"/>
        </w:trPr>
        <w:tc>
          <w:tcPr>
            <w:tcW w:type="dxa" w:w="16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LGD</w:t>
            </w:r>
          </w:p>
        </w:tc>
        <w:tc>
          <w:tcPr>
            <w:tcW w:type="dxa" w:w="26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期望效益/万元</w:t>
            </w:r>
          </w:p>
        </w:tc>
        <w:tc>
          <w:tcPr>
            <w:tcW w:type="dxa" w:w="26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风险尺度/万元</w:t>
            </w:r>
          </w:p>
        </w:tc>
        <w:tc>
          <w:tcPr>
            <w:tcW w:type="dxa" w:w="23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贷款加权利率</w:t>
            </w:r>
          </w:p>
        </w:tc>
      </w:tr>
      <w:tr>
        <w:tc>
          <w:tcPr>
            <w:tcW w:type="dxa" w:w="16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0.4</w:t>
            </w:r>
          </w:p>
        </w:tc>
        <w:tc>
          <w:tcPr>
            <w:tcW w:type="dxa" w:w="26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265.71</w:t>
            </w:r>
          </w:p>
        </w:tc>
        <w:tc>
          <w:tcPr>
            <w:tcW w:type="dxa" w:w="26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276.51</w:t>
            </w:r>
          </w:p>
        </w:tc>
        <w:tc>
          <w:tcPr>
            <w:tcW w:type="dxa" w:w="23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7.834%</w:t>
            </w:r>
          </w:p>
        </w:tc>
      </w:tr>
      <w:tr>
        <w:tc>
          <w:tcPr>
            <w:tcW w:type="dxa" w:w="16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0.7</w:t>
            </w:r>
          </w:p>
        </w:tc>
        <w:tc>
          <w:tcPr>
            <w:tcW w:type="dxa" w:w="26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194.06</w:t>
            </w:r>
          </w:p>
        </w:tc>
        <w:tc>
          <w:tcPr>
            <w:tcW w:type="dxa" w:w="260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196.84</w:t>
            </w:r>
          </w:p>
        </w:tc>
        <w:tc>
          <w:tcPr>
            <w:tcW w:type="dxa" w:w="23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9.642%</w:t>
            </w:r>
          </w:p>
        </w:tc>
      </w:tr>
      <w:tr>
        <w:tc>
          <w:tcPr>
            <w:tcW w:type="dxa" w:w="16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1.0</w:t>
            </w:r>
          </w:p>
        </w:tc>
        <w:tc>
          <w:tcPr>
            <w:tcW w:type="dxa" w:w="26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144.91</w:t>
            </w:r>
          </w:p>
        </w:tc>
        <w:tc>
          <w:tcPr>
            <w:tcW w:type="dxa" w:w="260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133.37</w:t>
            </w:r>
          </w:p>
        </w:tc>
        <w:tc>
          <w:tcPr>
            <w:tcW w:type="dxa" w:w="23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11.994%</w:t>
            </w:r>
          </w:p>
        </w:tc>
      </w:tr>
    </w:tbl>
    <w:p>
      <w:pPr>
        <w:spacing w:after="20"/>
      </w:pPr>
    </w:p>
    <w:p>
      <w:r>
        <w:rPr>
          <w:rFonts w:ascii="宋体" w:hAnsi="宋体" w:eastAsia="宋体"/>
          <w:sz w:val="21"/>
        </w:rPr>
        <w:t>将三档情景的全部 δₛ、γₛ 同时乘以0.5至1.5，最坏效益由115.38万元单调下降至69.96万元，风险尺度始终小于130万元；稳健贷款加权利率从13.162%升至13.890%。这说明主结论不是单一冲击点的偶然产物，但利润水平对冲击强度具有明显敏感性。</w:t>
      </w:r>
    </w:p>
    <w:p>
      <w:pPr>
        <w:keepNext/>
        <w:ind w:firstLine="0"/>
        <w:jc w:val="center"/>
      </w:pPr>
      <w:r>
        <w:drawing>
          <wp:inline xmlns:a="http://schemas.openxmlformats.org/drawingml/2006/main" xmlns:pic="http://schemas.openxmlformats.org/drawingml/2006/picture">
            <wp:extent cx="5303520" cy="2242538"/>
            <wp:docPr id="7" name="Picture 7" title="图7  LGD 与压力强度敏感性分析" descr="图7  LGD 与压力强度敏感性分析"/>
            <wp:cNvGraphicFramePr>
              <a:graphicFrameLocks noChangeAspect="1"/>
            </wp:cNvGraphicFramePr>
            <a:graphic>
              <a:graphicData uri="http://schemas.openxmlformats.org/drawingml/2006/picture">
                <pic:pic>
                  <pic:nvPicPr>
                    <pic:cNvPr id="0" name="sensitivity_analysis.png"/>
                    <pic:cNvPicPr/>
                  </pic:nvPicPr>
                  <pic:blipFill>
                    <a:blip r:embed="rId17"/>
                    <a:stretch>
                      <a:fillRect/>
                    </a:stretch>
                  </pic:blipFill>
                  <pic:spPr>
                    <a:xfrm>
                      <a:off x="0" y="0"/>
                      <a:ext cx="5303520" cy="2242538"/>
                    </a:xfrm>
                    <a:prstGeom prst="rect"/>
                  </pic:spPr>
                </pic:pic>
              </a:graphicData>
            </a:graphic>
          </wp:inline>
        </w:drawing>
      </w:r>
    </w:p>
    <w:p>
      <w:pPr>
        <w:pStyle w:val="Caption"/>
      </w:pPr>
      <w:r>
        <w:rPr>
          <w:rFonts w:ascii="宋体" w:hAnsi="宋体" w:eastAsia="宋体"/>
          <w:color w:val="5F6B76"/>
          <w:sz w:val="18"/>
        </w:rPr>
        <w:t>图7  LGD 与压力强度敏感性分析</w:t>
      </w:r>
    </w:p>
    <w:p>
      <w:pPr>
        <w:pStyle w:val="Heading1"/>
      </w:pPr>
      <w:r>
        <w:t>8  模型评价、局限与推广</w:t>
      </w:r>
    </w:p>
    <w:p>
      <w:pPr>
        <w:pStyle w:val="Heading2"/>
      </w:pPr>
      <w:r>
        <w:t>8.1  模型优点</w:t>
      </w:r>
    </w:p>
    <w:p>
      <w:r>
        <w:rPr>
          <w:rFonts w:ascii="宋体" w:hAnsi="宋体" w:eastAsia="宋体"/>
          <w:sz w:val="21"/>
        </w:rPr>
        <w:t>第一，标签语义清晰。模型学习的是信誉评级而不是用27个违约样本强行拟合高维违约概率；所有分类指标来自严格折外预测。第二，风险、需求和组合决策分层，避免将客户流失混入信用评分。第三，附件3的单调性由保序回归保证，既保留数据形状，又消除局部违反经济常识的波动。第四，突发事件模型只基于发票可观察韧性，情景参数和数据事实明确分开。第五，CSV、运行日志、随机种子和产物哈希均被保存，预算、额度、利率、D级禁贷和求解状态有自动校验。</w:t>
      </w:r>
    </w:p>
    <w:p>
      <w:pPr>
        <w:pStyle w:val="Heading2"/>
      </w:pPr>
      <w:r>
        <w:t>8.2  局限性</w:t>
      </w:r>
    </w:p>
    <w:p>
      <w:r>
        <w:rPr>
          <w:rFonts w:ascii="宋体" w:hAnsi="宋体" w:eastAsia="宋体"/>
          <w:sz w:val="21"/>
        </w:rPr>
        <w:t>源域只有123家企业，评级类别之间的经营模式可能重叠，融合模型 Macro-F1 约0.61，说明 CRI 适合排序和组合约束，不适合替代人工授信审查。目标域没有真实评级，均值漂移较小只能支持“可迁移性没有明显反证”，不能验证个体预测准确率。评级到风险损失尺度的映射受到 D 级全部违约这一样本结构影响，也缺少抵押物、回收率、财务报表和企业行业信息。</w:t>
      </w:r>
    </w:p>
    <w:p>
      <w:r>
        <w:rPr>
          <w:rFonts w:ascii="宋体" w:hAnsi="宋体" w:eastAsia="宋体"/>
          <w:sz w:val="21"/>
        </w:rPr>
        <w:t>额度收益按贷款金额线性计算，因此在风险约束不活跃时会出现若干企业达到100万元上限的角点。若银行希望主动分散集中风险，可在后续模型中加入企业/行业集中度约束或分段递减的边际效益。当前利率先按企业单位效益选择，再进行组合分配；在极紧风险上限下，可进一步建立企业—利率联合整数变量，使利率选择与组合风险约束完全联立。</w:t>
      </w:r>
    </w:p>
    <w:p>
      <w:pPr>
        <w:pStyle w:val="Heading2"/>
      </w:pPr>
      <w:r>
        <w:t>8.3  推广建议</w:t>
      </w:r>
    </w:p>
    <w:p>
      <w:r>
        <w:rPr>
          <w:rFonts w:ascii="宋体" w:hAnsi="宋体" w:eastAsia="宋体"/>
          <w:sz w:val="21"/>
        </w:rPr>
        <w:t>实际部署时可按月滚动更新发票特征，保留模型评分、SHAP 原因和人工审批结果。当积累到足够的真实违约、回收和拒贷数据后，应分别校准 PD、LGD 与客户接受概率，并用时间外验证替代随机交叉验证。若补充行业标签，可采用行业层次模型和行业额度上限；若获得宏观情景预测，可把本文的参数化压力集替换为带概率或区间的场景树。</w:t>
      </w:r>
    </w:p>
    <w:p>
      <w:pPr>
        <w:pStyle w:val="Heading1"/>
      </w:pPr>
      <w:r>
        <w:t>9  结论</w:t>
      </w:r>
    </w:p>
    <w:p>
      <w:r>
        <w:rPr>
          <w:rFonts w:ascii="宋体" w:hAnsi="宋体" w:eastAsia="宋体"/>
          <w:sz w:val="21"/>
        </w:rPr>
        <w:t>本文以发票经营行为为统一信息载体，完成了从有信贷记录企业的信用评价，到无信贷记录企业的风险迁移，再到突发事件下鲁棒调整的完整决策链。问题一的 Logistic/XGBoost 融合模型以80%权重吸收树模型的非线性能力，折外 Macro-F1 为0.6086、二次加权 Kappa 为0.6666；在5000万元展示预算下选择50家 A/B/C 级企业，未向 D 级企业授信。</w:t>
      </w:r>
    </w:p>
    <w:p>
      <w:r>
        <w:rPr>
          <w:rFonts w:ascii="宋体" w:hAnsi="宋体" w:eastAsia="宋体"/>
          <w:sz w:val="21"/>
        </w:rPr>
        <w:t>问题二冻结问题一模型迁移到302家企业，并将保序利率需求响应与风险损失尺度共同纳入组合效益。在1亿元预算、单户10万至100万元和1.30%风险上限下，主策略选择101家，最小授信23.19万元，预算误差为0，期望年度效益142.90万元。问题三使用经营脆弱度构造三档压力集，maximin 策略在重度情景下仍保持90.99万元效益；压力提高到1.5倍时最坏效益为69.96万元。</w:t>
      </w:r>
    </w:p>
    <w:p>
      <w:r>
        <w:rPr>
          <w:rFonts w:ascii="宋体" w:hAnsi="宋体" w:eastAsia="宋体"/>
          <w:sz w:val="21"/>
        </w:rPr>
        <w:t>上述结果表明，信用评分只负责度量风险，利率响应负责描述客户选择，组合优化负责落实银行风险偏好，三者分离后更容易解释和更新。对实际银行而言，1.30%风险上限、LGD 和压力系数应由风险管理部门结合资本成本与历史回收率重新标定；本文给出的策略是可复现的决策基线，而不是未经校准的监管违约概率。</w:t>
      </w:r>
    </w:p>
    <w:p>
      <w:r>
        <w:br w:type="page"/>
      </w:r>
    </w:p>
    <w:p>
      <w:pPr>
        <w:pStyle w:val="Heading1"/>
      </w:pPr>
      <w:r>
        <w:t>附录A  主要参数与复现信息</w:t>
      </w:r>
    </w:p>
    <w:tbl>
      <w:tblPr>
        <w:tblStyle w:val="TableGrid"/>
        <w:tblW w:type="dxa" w:w="9180"/>
        <w:jc w:val="center"/>
        <w:tblLayout w:type="fixed"/>
        <w:tblLook w:firstColumn="1" w:firstRow="1" w:lastColumn="0" w:lastRow="0" w:noHBand="0" w:noVBand="1" w:val="04A0"/>
        <w:tblInd w:w="110" w:type="dxa"/>
      </w:tblPr>
      <w:tblGrid>
        <w:gridCol w:w="3100"/>
        <w:gridCol w:w="6080"/>
      </w:tblGrid>
      <w:tr>
        <w:trPr>
          <w:tblHeader w:val="true"/>
        </w:trPr>
        <w:tc>
          <w:tcPr>
            <w:tcW w:type="dxa" w:w="310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项目</w:t>
            </w:r>
          </w:p>
        </w:tc>
        <w:tc>
          <w:tcPr>
            <w:tcW w:type="dxa" w:w="6080"/>
            <w:shd w:fill="E8EEF5"/>
            <w:tcMar>
              <w:top w:w="80" w:type="dxa"/>
              <w:start w:w="110" w:type="dxa"/>
              <w:bottom w:w="80" w:type="dxa"/>
              <w:end w:w="110" w:type="dxa"/>
            </w:tcMar>
            <w:vAlign w:val="center"/>
          </w:tcPr>
          <w:p>
            <w:pPr>
              <w:spacing w:after="0"/>
              <w:jc w:val="center"/>
            </w:pPr>
            <w:r>
              <w:rPr>
                <w:rFonts w:ascii="微软雅黑" w:hAnsi="微软雅黑" w:eastAsia="微软雅黑"/>
                <w:b/>
                <w:color w:val="17324D"/>
                <w:sz w:val="17"/>
              </w:rPr>
              <w:t>取值</w:t>
            </w:r>
          </w:p>
        </w:tc>
      </w:tr>
      <w:tr>
        <w:tc>
          <w:tcPr>
            <w:tcW w:type="dxa" w:w="31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随机种子</w:t>
            </w:r>
          </w:p>
        </w:tc>
        <w:tc>
          <w:tcPr>
            <w:tcW w:type="dxa" w:w="6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42</w:t>
            </w:r>
          </w:p>
        </w:tc>
      </w:tr>
      <w:tr>
        <w:tc>
          <w:tcPr>
            <w:tcW w:type="dxa" w:w="31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交叉验证</w:t>
            </w:r>
          </w:p>
        </w:tc>
        <w:tc>
          <w:tcPr>
            <w:tcW w:type="dxa" w:w="6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5折×5次重复分层</w:t>
            </w:r>
          </w:p>
        </w:tc>
      </w:tr>
      <w:tr>
        <w:tc>
          <w:tcPr>
            <w:tcW w:type="dxa" w:w="31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XGBoost</w:t>
            </w:r>
          </w:p>
        </w:tc>
        <w:tc>
          <w:tcPr>
            <w:tcW w:type="dxa" w:w="6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160棵树，深度2，学习率0.04</w:t>
            </w:r>
          </w:p>
        </w:tc>
      </w:tr>
      <w:tr>
        <w:tc>
          <w:tcPr>
            <w:tcW w:type="dxa" w:w="31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融合权重</w:t>
            </w:r>
          </w:p>
        </w:tc>
        <w:tc>
          <w:tcPr>
            <w:tcW w:type="dxa" w:w="6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XGBoost 0.80，Logistic 0.20</w:t>
            </w:r>
          </w:p>
        </w:tc>
      </w:tr>
      <w:tr>
        <w:tc>
          <w:tcPr>
            <w:tcW w:type="dxa" w:w="31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贷款边界</w:t>
            </w:r>
          </w:p>
        </w:tc>
        <w:tc>
          <w:tcPr>
            <w:tcW w:type="dxa" w:w="6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10万—100万元，期限1年</w:t>
            </w:r>
          </w:p>
        </w:tc>
      </w:tr>
      <w:tr>
        <w:tc>
          <w:tcPr>
            <w:tcW w:type="dxa" w:w="31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利率网格</w:t>
            </w:r>
          </w:p>
        </w:tc>
        <w:tc>
          <w:tcPr>
            <w:tcW w:type="dxa" w:w="6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附件3的29个利率点，4%—15%</w:t>
            </w:r>
          </w:p>
        </w:tc>
      </w:tr>
      <w:tr>
        <w:tc>
          <w:tcPr>
            <w:tcW w:type="dxa" w:w="31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问题一展示预算</w:t>
            </w:r>
          </w:p>
        </w:tc>
        <w:tc>
          <w:tcPr>
            <w:tcW w:type="dxa" w:w="6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5000万元；另算2000万元、8000万元</w:t>
            </w:r>
          </w:p>
        </w:tc>
      </w:tr>
      <w:tr>
        <w:tc>
          <w:tcPr>
            <w:tcW w:type="dxa" w:w="31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问题二/三预算</w:t>
            </w:r>
          </w:p>
        </w:tc>
        <w:tc>
          <w:tcPr>
            <w:tcW w:type="dxa" w:w="6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1亿元</w:t>
            </w:r>
          </w:p>
        </w:tc>
      </w:tr>
      <w:tr>
        <w:tc>
          <w:tcPr>
            <w:tcW w:type="dxa" w:w="3100"/>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主风险敞口上限</w:t>
            </w:r>
          </w:p>
        </w:tc>
        <w:tc>
          <w:tcPr>
            <w:tcW w:type="dxa" w:w="6080"/>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预算的1.30%</w:t>
            </w:r>
          </w:p>
        </w:tc>
      </w:tr>
      <w:tr>
        <w:tc>
          <w:tcPr>
            <w:tcW w:type="dxa" w:w="3100"/>
            <w:shd w:fill="F2F4F7"/>
            <w:tcMar>
              <w:top w:w="80" w:type="dxa"/>
              <w:start w:w="110" w:type="dxa"/>
              <w:bottom w:w="80" w:type="dxa"/>
              <w:end w:w="110" w:type="dxa"/>
            </w:tcMar>
            <w:vAlign w:val="center"/>
          </w:tcPr>
          <w:p>
            <w:pPr>
              <w:spacing w:after="0" w:line="276" w:lineRule="auto"/>
              <w:ind w:firstLine="0"/>
              <w:jc w:val="left"/>
            </w:pPr>
            <w:r>
              <w:rPr>
                <w:rFonts w:ascii="宋体" w:hAnsi="宋体" w:eastAsia="宋体"/>
                <w:sz w:val="17"/>
              </w:rPr>
              <w:t>主 LGD</w:t>
            </w:r>
          </w:p>
        </w:tc>
        <w:tc>
          <w:tcPr>
            <w:tcW w:type="dxa" w:w="6080"/>
            <w:shd w:fill="F2F4F7"/>
            <w:tcMar>
              <w:top w:w="80" w:type="dxa"/>
              <w:start w:w="110" w:type="dxa"/>
              <w:bottom w:w="80" w:type="dxa"/>
              <w:end w:w="110" w:type="dxa"/>
            </w:tcMar>
            <w:vAlign w:val="center"/>
          </w:tcPr>
          <w:p>
            <w:pPr>
              <w:spacing w:after="0" w:line="276" w:lineRule="auto"/>
              <w:ind w:firstLine="0"/>
              <w:jc w:val="center"/>
            </w:pPr>
            <w:r>
              <w:rPr>
                <w:rFonts w:ascii="宋体" w:hAnsi="宋体" w:eastAsia="宋体"/>
                <w:sz w:val="17"/>
              </w:rPr>
              <w:t>1.0</w:t>
            </w:r>
          </w:p>
        </w:tc>
      </w:tr>
    </w:tbl>
    <w:p>
      <w:pPr>
        <w:spacing w:after="20"/>
      </w:pPr>
    </w:p>
    <w:p>
      <w:r>
        <w:rPr>
          <w:rFonts w:ascii="宋体" w:hAnsi="宋体" w:eastAsia="宋体"/>
          <w:sz w:val="21"/>
        </w:rPr>
        <w:t>复现环境为 Windows 11、Python 3.12.13。关键软件版本包括 NumPy 2.5.2、pandas 3.0.5、scikit-learn 1.9.0、SciPy 1.18.1、XGBoost 3.4.1、SHAP 0.52.0 和 matplotlib 3.11.1。模型主入口、6项测试和代码审计均在项目隔离环境中成功运行。</w:t>
      </w:r>
    </w:p>
    <w:p>
      <w:pPr>
        <w:pStyle w:val="Heading1"/>
      </w:pPr>
      <w:r>
        <w:t>附录B  参考文献</w:t>
      </w:r>
    </w:p>
    <w:p>
      <w:pPr>
        <w:spacing w:after="80"/>
        <w:ind w:hanging="420" w:left="420"/>
      </w:pPr>
      <w:r>
        <w:rPr>
          <w:rFonts w:ascii="宋体" w:hAnsi="宋体" w:eastAsia="宋体"/>
          <w:sz w:val="19"/>
        </w:rPr>
        <w:t>[1] 全国大学生数学建模竞赛组委会. 2020年全国大学生数学建模竞赛C题：中小微企业的信贷决策, 2020.</w:t>
      </w:r>
    </w:p>
    <w:p>
      <w:pPr>
        <w:spacing w:after="80"/>
        <w:ind w:hanging="420" w:left="420"/>
      </w:pPr>
      <w:r>
        <w:rPr>
          <w:rFonts w:ascii="宋体" w:hAnsi="宋体" w:eastAsia="宋体"/>
          <w:sz w:val="19"/>
        </w:rPr>
        <w:t>[2] Chen T, Guestrin C. XGBoost: A Scalable Tree Boosting System. Proceedings of the 22nd ACM SIGKDD International Conference on Knowledge Discovery and Data Mining, 2016: 785-794. DOI: 10.1145/2939672.2939785.</w:t>
      </w:r>
    </w:p>
    <w:p>
      <w:pPr>
        <w:spacing w:after="80"/>
        <w:ind w:hanging="420" w:left="420"/>
      </w:pPr>
      <w:r>
        <w:rPr>
          <w:rFonts w:ascii="宋体" w:hAnsi="宋体" w:eastAsia="宋体"/>
          <w:sz w:val="19"/>
        </w:rPr>
        <w:t>[3] Lundberg S M, Lee S I. A Unified Approach to Interpreting Model Predictions. Advances in Neural Information Processing Systems 30, 2017.</w:t>
      </w:r>
    </w:p>
    <w:p>
      <w:pPr>
        <w:spacing w:after="80"/>
        <w:ind w:hanging="420" w:left="420"/>
      </w:pPr>
      <w:r>
        <w:rPr>
          <w:rFonts w:ascii="宋体" w:hAnsi="宋体" w:eastAsia="宋体"/>
          <w:sz w:val="19"/>
        </w:rPr>
        <w:t>[4] Barlow R E, Bartholomew D J, Bremner J M, Brunk H D. Statistical Inference Under Order Restrictions. Wiley, 1972.</w:t>
      </w:r>
    </w:p>
    <w:p>
      <w:pPr>
        <w:spacing w:after="80"/>
        <w:ind w:hanging="420" w:left="420"/>
      </w:pPr>
      <w:r>
        <w:rPr>
          <w:rFonts w:ascii="宋体" w:hAnsi="宋体" w:eastAsia="宋体"/>
          <w:sz w:val="19"/>
        </w:rPr>
        <w:t>[5] Ben-David S, Blitzer J, Crammer K, et al. A Theory of Learning from Different Domains. Machine Learning, 2010, 79: 151-175. DOI: 10.1007/s10994-009-5152-4.</w:t>
      </w:r>
    </w:p>
    <w:p>
      <w:pPr>
        <w:spacing w:after="80"/>
        <w:ind w:hanging="420" w:left="420"/>
      </w:pPr>
      <w:r>
        <w:rPr>
          <w:rFonts w:ascii="宋体" w:hAnsi="宋体" w:eastAsia="宋体"/>
          <w:sz w:val="19"/>
        </w:rPr>
        <w:t>[6] Bertsimas D, Sim M. The Price of Robustness. Operations Research, 2004, 52(1): 35-53. DOI: 10.1287/opre.1030.0065.</w:t>
      </w:r>
    </w:p>
    <w:p>
      <w:pPr>
        <w:spacing w:after="80"/>
        <w:ind w:hanging="420" w:left="420"/>
      </w:pPr>
      <w:r>
        <w:rPr>
          <w:rFonts w:ascii="宋体" w:hAnsi="宋体" w:eastAsia="宋体"/>
          <w:sz w:val="19"/>
        </w:rPr>
        <w:t>[7] Hosmer D W, Lemeshow S, Sturdivant R X. Applied Logistic Regression. 3rd ed. Wiley, 2013.</w:t>
      </w:r>
    </w:p>
    <w:p>
      <w:pPr>
        <w:spacing w:after="80"/>
        <w:ind w:hanging="420" w:left="420"/>
      </w:pPr>
      <w:r>
        <w:rPr>
          <w:rFonts w:ascii="宋体" w:hAnsi="宋体" w:eastAsia="宋体"/>
          <w:sz w:val="19"/>
        </w:rPr>
        <w:t>[8] Agresti A. Categorical Data Analysis. 2nd ed. Wiley, 2002.</w:t>
      </w:r>
    </w:p>
    <w:sectPr w:rsidR="00FC693F" w:rsidRPr="0006063C" w:rsidSect="00034616">
      <w:headerReference w:type="default" r:id="rId9"/>
      <w:footerReference w:type="default" r:id="rId10"/>
      <w:pgSz w:w="11906" w:h="16838"/>
      <w:pgMar w:top="1332" w:right="1361" w:bottom="1276" w:left="1361" w:header="709"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5F6B76"/>
        <w:sz w:val="18"/>
      </w:rPr>
      <w:t xml:space="preserve">—  </w:t>
    </w:r>
    <w:r>
      <w:fldChar w:fldCharType="begin"/>
      <w:instrText xml:space="preserve">PAGE</w:instrText>
      <w:fldChar w:fldCharType="separate"/>
      <w:t>1</w:t>
      <w:fldChar w:fldCharType="end"/>
    </w:r>
    <w:r>
      <w:rPr>
        <w:rFonts w:ascii="宋体" w:hAnsi="宋体" w:eastAsia="宋体"/>
        <w:color w:val="5F6B7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color w:val="5F6B76"/>
        <w:sz w:val="17"/>
      </w:rPr>
      <w:t>中小微企业的信贷决策｜论文初稿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ind w:firstLine="420"/>
      <w:jc w:val="both"/>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黑体" w:hAnsi="黑体" w:eastAsia="黑体"/>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黑体" w:hAnsi="黑体"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60"/>
      <w:jc w:val="center"/>
    </w:pPr>
    <w:rPr>
      <w:rFonts w:ascii="宋体" w:hAnsi="宋体" w:eastAsia="宋体"/>
      <w:b/>
      <w:bCs/>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中小微企业的信贷决策</dc:title>
  <dc:subject>信用风险迁移评价、利率需求响应与多情景鲁棒优化</dc:subject>
  <dc:creator>数学建模团队</dc:creator>
  <cp:keywords>信用风险迁移, XGBoost, 鲁棒优化, SHAP</cp:keywords>
  <dc:description>generated by python-docx</dc:description>
  <cp:lastModifiedBy/>
  <cp:revision>1</cp:revision>
  <dcterms:created xsi:type="dcterms:W3CDTF">2013-12-23T23:15:00Z</dcterms:created>
  <dcterms:modified xsi:type="dcterms:W3CDTF">2013-12-23T23:15:00Z</dcterms:modified>
  <cp:category/>
</cp:coreProperties>
</file>