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68186">
      <w:pPr>
        <w:spacing w:after="1700"/>
        <w:rPr>
          <w:rFonts w:hint="eastAsia"/>
        </w:rPr>
      </w:pPr>
    </w:p>
    <w:p w14:paraId="4DD3C97F">
      <w:pPr>
        <w:ind w:firstLine="0"/>
        <w:jc w:val="center"/>
        <w:rPr>
          <w:rFonts w:hint="eastAsia"/>
        </w:rPr>
      </w:pPr>
      <w:r>
        <w:rPr>
          <w:rFonts w:ascii="微软雅黑" w:hAnsi="微软雅黑" w:eastAsia="微软雅黑"/>
          <w:b/>
          <w:color w:val="2E74B5"/>
          <w:sz w:val="24"/>
        </w:rPr>
        <w:t>2020 年全国大学生数学建模竞赛 C 题</w:t>
      </w:r>
    </w:p>
    <w:p w14:paraId="50E5E27B">
      <w:pPr>
        <w:spacing w:before="440" w:after="240"/>
        <w:ind w:firstLine="0"/>
        <w:jc w:val="center"/>
        <w:rPr>
          <w:rFonts w:hint="eastAsia"/>
        </w:rPr>
      </w:pPr>
      <w:r>
        <w:rPr>
          <w:rFonts w:ascii="微软雅黑" w:hAnsi="微软雅黑" w:eastAsia="微软雅黑"/>
          <w:b/>
          <w:color w:val="17324D"/>
          <w:sz w:val="56"/>
        </w:rPr>
        <w:t>中小微企业的信贷决策</w:t>
      </w:r>
    </w:p>
    <w:p w14:paraId="1E2E5E41">
      <w:pPr>
        <w:ind w:firstLine="0"/>
        <w:jc w:val="center"/>
        <w:rPr>
          <w:rFonts w:hint="eastAsia"/>
        </w:rPr>
      </w:pPr>
      <w:r>
        <w:rPr>
          <w:rFonts w:ascii="微软雅黑" w:hAnsi="微软雅黑" w:eastAsia="微软雅黑"/>
          <w:color w:val="5F6B76"/>
          <w:sz w:val="28"/>
        </w:rPr>
        <w:t>信用风险迁移、利率需求响应与多情景鲁棒优化的信贷决策框架</w:t>
      </w:r>
    </w:p>
    <w:p w14:paraId="73E2A7B8">
      <w:pPr>
        <w:spacing w:after="2100"/>
        <w:rPr>
          <w:rFonts w:hint="eastAsia"/>
        </w:rPr>
      </w:pPr>
    </w:p>
    <w:p w14:paraId="59494251">
      <w:pPr>
        <w:ind w:firstLine="0"/>
        <w:jc w:val="center"/>
        <w:rPr>
          <w:rFonts w:hint="eastAsia"/>
        </w:rPr>
      </w:pPr>
      <w:r>
        <w:rPr>
          <w:rFonts w:ascii="微软雅黑" w:hAnsi="微软雅黑" w:eastAsia="微软雅黑"/>
          <w:b/>
          <w:color w:val="2E74B5"/>
          <w:sz w:val="22"/>
        </w:rPr>
        <w:t>数学建模论文｜证据约束版</w:t>
      </w:r>
    </w:p>
    <w:p w14:paraId="6A81FCA8">
      <w:pPr>
        <w:ind w:firstLine="0"/>
        <w:jc w:val="center"/>
        <w:rPr>
          <w:rFonts w:hint="eastAsia"/>
        </w:rPr>
      </w:pPr>
      <w:r>
        <w:rPr>
          <w:color w:val="5F6B76"/>
        </w:rPr>
        <w:t>2026 年 9 月</w:t>
      </w:r>
    </w:p>
    <w:p w14:paraId="17C6B411">
      <w:pPr>
        <w:rPr>
          <w:rFonts w:hint="eastAsia"/>
        </w:rPr>
      </w:pPr>
      <w:r>
        <w:br w:type="page"/>
      </w:r>
    </w:p>
    <w:p w14:paraId="3CF6AD65">
      <w:pPr>
        <w:pStyle w:val="3"/>
        <w:keepNext/>
        <w:keepLines/>
        <w:spacing w:before="280" w:after="140"/>
        <w:ind w:firstLine="0"/>
      </w:pPr>
      <w:r>
        <w:rPr>
          <w:rFonts w:ascii="微软雅黑" w:hAnsi="微软雅黑" w:eastAsia="微软雅黑"/>
          <w:b/>
          <w:color w:val="17324D"/>
          <w:sz w:val="31"/>
        </w:rPr>
        <w:t>摘  要</w:t>
      </w:r>
    </w:p>
    <w:p w14:paraId="5E66BE87">
      <w:pPr>
        <w:rPr>
          <w:rFonts w:hint="eastAsia"/>
        </w:rPr>
      </w:pPr>
      <w:r>
        <w:t>针对银行需要在有信贷记录企业、无信贷记录企业及突发压力情景下制定年度授信策略的问题，本文构建“经营特征—信用风险—利率响应—组合决策”的递进框架。基于企业信息和进销项发票，在统一时间窗内提取经营特征；以信誉评级为主监督标签，将多项 Logistic 与浅层 XGBoost 的严格折外概率融合为信用风险指数（CRI）。历史违约仅用于检验 CRI 的风险方向并构造评级损失尺度，不将其解释为已校准的企业违约概率；附件3中的利率—流失率关系由保序回归约束为单调曲线。随后，冻结风险模型迁移至302家无信贷记录企业，并以混合整数规划配置授信组合。问题一在5000万元展示主情景下选择50家企业，D级企业入选数为0；问题二在1亿元预算和1.30%组合风险敞口上限下选择101家企业，期望年度效益为142.90万元。针对压力不确定性，本文设置轻度、中度和重度情景，以 maximin 混合整数规划最大化最坏情景效益，三种情景下的组合效益分别为132.46万元、114.75万元和90.99万元。风险评价、利率响应与组合决策被分层处理，并由 SHAP 与敏感性分析区分数据事实、风险偏好和情景假设，从而为年度授信提供可复现且边界清晰的决策基线。</w:t>
      </w:r>
    </w:p>
    <w:p w14:paraId="26A81BC8">
      <w:pPr>
        <w:ind w:firstLine="0"/>
        <w:rPr>
          <w:rFonts w:hint="eastAsia"/>
        </w:rPr>
      </w:pPr>
      <w:r>
        <w:rPr>
          <w:rFonts w:ascii="黑体" w:hAnsi="黑体" w:eastAsia="黑体"/>
          <w:b/>
          <w:color w:val="17324D"/>
        </w:rPr>
        <w:t>关键词：</w:t>
      </w:r>
      <w:r>
        <w:t>中小微企业；信用风险迁移；XGBoost；保序回归；鲁棒优化；SHAP</w:t>
      </w:r>
    </w:p>
    <w:p w14:paraId="1A3EA039">
      <w:pPr>
        <w:rPr>
          <w:rFonts w:hint="eastAsia"/>
        </w:rPr>
      </w:pPr>
      <w:r>
        <w:br w:type="page"/>
      </w:r>
    </w:p>
    <w:p>
      <w:pPr>
        <w:pStyle w:val="3"/>
        <w:keepNext/>
        <w:keepLines/>
        <w:spacing w:before="280" w:after="140"/>
        <w:ind w:firstLine="0"/>
      </w:pPr>
      <w:r>
        <w:rPr>
          <w:rFonts w:ascii="微软雅黑" w:hAnsi="微软雅黑" w:eastAsia="微软雅黑"/>
          <w:b/>
          <w:color w:val="17324D"/>
          <w:sz w:val="31"/>
        </w:rPr>
        <w:t>1  问题重述与总体分析</w:t>
      </w:r>
    </w:p>
    <w:p w14:paraId="4E05EAEE">
      <w:pPr>
        <w:widowControl/>
        <w:spacing w:line="348" w:lineRule="auto" w:before="0" w:after="60"/>
        <w:ind w:firstLine="420"/>
        <w:jc w:val="both"/>
        <w:rPr>
          <w:rFonts w:hint="eastAsia"/>
        </w:rPr>
      </w:pPr>
      <w:r>
        <w:rPr>
          <w:rFonts w:ascii="宋体" w:hAnsi="宋体" w:eastAsia="宋体"/>
          <w:color w:val="263442"/>
          <w:sz w:val="21"/>
        </w:rPr>
        <w:t>银行需在年度信贷总额受限的条件下，依据企业经营信息、信贷风险以及贷款利率与客户流失之间的关系，对是否授信、授信额度和年利率作出决策。题设统一规定贷款期限为1年、年利率取值范围为4%—15%，且信誉评级为D的企业原则上不予放贷。附件1给出123家有信贷记录企业的相关数据，附件2给出302家无信贷记录企业的相关数据，附件3给出银行贷款年利率与客户流失率关系的2019年统计数据。</w:t>
      </w:r>
    </w:p>
    <w:p w14:paraId="54128985">
      <w:pPr>
        <w:widowControl/>
        <w:spacing w:line="348" w:lineRule="auto" w:before="0" w:after="60"/>
        <w:ind w:firstLine="420"/>
        <w:jc w:val="both"/>
        <w:rPr>
          <w:rFonts w:hint="eastAsia"/>
        </w:rPr>
      </w:pPr>
      <w:r>
        <w:rPr>
          <w:rFonts w:ascii="宋体" w:hAnsi="宋体" w:eastAsia="宋体"/>
          <w:color w:val="263442"/>
          <w:sz w:val="21"/>
        </w:rPr>
        <w:t>三项任务构成由已有信贷记录企业到无信贷记录企业、再到突发条件下策略调整的递进关系。问题一面向附件1的123家企业，在年度信贷总额固定时完成信贷风险量化并制定授信策略；问题二以问题一为基础，面向附件2的302家企业完成信贷风险量化，并在年度信贷总额为1亿元时制定授信策略；问题三仍面向附件2企业，综合考虑突发因素可能对不同行业、不同类别企业产生的不同影响，在年度信贷总额为1亿元时制定信贷调整策略。三问均受上述贷款期限、利率范围和D级企业授信原则约束。</w:t>
      </w:r>
    </w:p>
    <w:p w14:paraId="6632A415">
      <w:pPr>
        <w:widowControl/>
        <w:spacing w:line="348" w:lineRule="auto" w:before="0" w:after="60"/>
        <w:ind w:firstLine="420"/>
        <w:jc w:val="both"/>
        <w:rPr>
          <w:rFonts w:hint="eastAsia"/>
        </w:rPr>
      </w:pPr>
      <w:r>
        <w:rPr>
          <w:rFonts w:ascii="宋体" w:hAnsi="宋体" w:eastAsia="宋体"/>
          <w:color w:val="263442"/>
          <w:sz w:val="21"/>
        </w:rPr>
        <w:t>总体分析：三问构成“风险评价—策略迁移—压力决策”的递进链，且前一问的可复用输出是后一问的受控输入。企业信息与进销项发票提供共同的经营特征基础：问题一形成信用风险评价、评级损失尺度与利率响应关系；问题二在不重新训练分类器的前提下冻结并迁移这些关系；问题三保持风险模型不变，仅在风险与客户留存通道引入压力。CRI、保序流失曲线、组合优化和 SHAP 分别承担风险度量、价格响应、额度决策和风险来源解释，使数据事实、银行风险偏好与情景假设在同一决策链中保持可区分、可追溯。</w:t>
      </w:r>
    </w:p>
    <w:p w14:paraId="3FCDA1A1">
      <w:pPr>
        <w:widowControl/>
        <w:spacing w:line="348" w:lineRule="auto" w:before="0" w:after="60"/>
        <w:ind w:firstLine="420"/>
        <w:jc w:val="both"/>
        <w:rPr>
          <w:rFonts w:hint="eastAsia"/>
        </w:rPr>
      </w:pPr>
      <w:r>
        <w:rPr>
          <w:rFonts w:ascii="宋体" w:hAnsi="宋体" w:eastAsia="宋体"/>
          <w:color w:val="263442"/>
          <w:sz w:val="21"/>
        </w:rPr>
        <w:t>对问题一，关键矛盾是在信誉标签可用而样本规模有限的条件下，既稳定刻画企业信用质量，又将风险评价转化为固定年度总额下可执行的授信决策。本文先由发票经营特征构造多项 Logistic 与浅层 XGBoost 的严格折外概率融合 CRI，并仅以历史违约检验其风险方向；再以保序回归处理利率—流失率关系，在年度预算、单户额度、风险敞口和 D 级禁贷约束下建立固定额度 MILP。由于题面没有给出问题一年度总额的具体数值，5000万元仅作为展示主情景，2000万元和8000万元用于检查预算变化下的策略响应。该问形成并冻结风险评价、损失尺度和利率响应关系，作为问题二的受控输入。</w:t>
      </w:r>
    </w:p>
    <w:p w14:paraId="4EBE7BD3">
      <w:pPr>
        <w:widowControl/>
        <w:spacing w:line="348" w:lineRule="auto" w:before="0" w:after="60"/>
        <w:ind w:firstLine="420"/>
        <w:jc w:val="both"/>
        <w:rPr>
          <w:rFonts w:hint="eastAsia"/>
        </w:rPr>
      </w:pPr>
      <w:r>
        <w:rPr>
          <w:rFonts w:ascii="宋体" w:hAnsi="宋体" w:eastAsia="宋体"/>
          <w:color w:val="263442"/>
          <w:sz w:val="21"/>
        </w:rPr>
        <w:t>对问题二，附件2企业缺少信贷标签，因而不能重新训练分类器，也不能人为生成评级。本文固定问题一的特征处理、模型、融合权重和评级顺序，对目标企业输出评级概率与 CRI，并以特征漂移检查迁移条件；随后将迁移风险、保序利率响应和风险损失尺度共同纳入组合效益，在1亿元总预算、单户额度和组合风险上限约束下建立 MILP。组合风险上限是银行风险偏好参数，而非数据事实。该问输出无信贷记录企业的名义组合，并为问题三保留共同的候选企业、风险尺度与决策约束。</w:t>
      </w:r>
    </w:p>
    <w:p w14:paraId="7CA11B6D">
      <w:pPr>
        <w:widowControl/>
        <w:spacing w:line="348" w:lineRule="auto" w:before="0" w:after="60"/>
        <w:ind w:firstLine="420"/>
        <w:jc w:val="both"/>
        <w:rPr>
          <w:rFonts w:hint="eastAsia"/>
        </w:rPr>
      </w:pPr>
      <w:r>
        <w:rPr>
          <w:rFonts w:ascii="宋体" w:hAnsi="宋体" w:eastAsia="宋体"/>
          <w:color w:val="263442"/>
          <w:sz w:val="21"/>
        </w:rPr>
        <w:t>对问题三，突发事件对经营风险和客户留存的影响具有情景不确定性，不能将单一冲击当作确定结果。本文由发票波动、近期变化、上下游集中度、负数发票和活跃度构造经营脆弱度，并在既有风险与留存通道上设置轻度、中度和重度压力参数；组合层让同一组授信额度同时面对全部情景，以 maximin 模型最大化最坏情景效益，同时保留预算和风险上限约束。压力参数与附件可观察事实分开记录，SHAP 与敏感性分析分别用于解释风险来源和检查参数扰动下的结论方向。</w:t>
      </w:r>
    </w:p>
    <w:p w14:paraId="4BA61344">
      <w:pPr>
        <w:widowControl/>
        <w:spacing w:line="348" w:lineRule="auto" w:before="0" w:after="60"/>
        <w:ind w:firstLine="420"/>
        <w:jc w:val="both"/>
        <w:rPr>
          <w:rFonts w:hint="eastAsia"/>
        </w:rPr>
      </w:pPr>
      <w:r>
        <w:rPr>
          <w:rFonts w:ascii="宋体" w:hAnsi="宋体" w:eastAsia="宋体"/>
          <w:color w:val="263442"/>
          <w:sz w:val="21"/>
        </w:rPr>
        <w:t>整体方法学流程如图1所示。</w:t>
      </w:r>
    </w:p>
    <w:p w14:paraId="3D3DFC7B">
      <w:pPr>
        <w:keepNext/>
        <w:keepLines/>
        <w:spacing w:before="100" w:after="40"/>
        <w:ind w:firstLine="0"/>
        <w:jc w:val="center"/>
        <w:rPr>
          <w:rFonts w:hint="eastAsia"/>
        </w:rPr>
      </w:pPr>
      <w:r>
        <w:drawing>
          <wp:inline distT="0" distB="0" distL="114300" distR="114300">
            <wp:extent cx="5760720" cy="3275929"/>
            <wp:effectExtent l="0" t="0" r="5080" b="10160"/>
            <wp:docPr id="8" name="图1 三问统一建模与证据闭环" descr="图1 三问统一建模与证据闭环" title="图1 三问统一建模与证据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760720" cy="3275929"/>
                    </a:xfrm>
                    <a:prstGeom prst="rect">
                      <a:avLst/>
                    </a:prstGeom>
                  </pic:spPr>
                </pic:pic>
              </a:graphicData>
            </a:graphic>
          </wp:inline>
        </w:drawing>
      </w:r>
    </w:p>
    <w:p w14:paraId="0E0BE04A">
      <w:pPr>
        <w:pStyle w:val="15"/>
        <w:keepNext w:val="0"/>
        <w:keepLines/>
        <w:spacing w:before="40" w:after="120"/>
        <w:ind w:firstLine="0"/>
        <w:jc w:val="center"/>
        <w:rPr>
          <w:rFonts w:hint="eastAsia"/>
        </w:rPr>
      </w:pPr>
      <w:r>
        <w:rPr>
          <w:rFonts w:ascii="宋体" w:hAnsi="宋体" w:eastAsia="宋体"/>
          <w:color w:val="536273"/>
          <w:sz w:val="18"/>
        </w:rPr>
        <w:t>图1  中小微企业信贷决策的整体方法学流程图。图中展示从企业与发票信息输入、信用风险评价和策略迁移，到压力情景下鲁棒决策与解释检验的既有求解链。数据与逻辑来源：第1章问题分析。</w:t>
      </w:r>
    </w:p>
    <w:p w14:paraId="78A8360B">
      <w:pPr>
        <w:pStyle w:val="3"/>
        <w:keepNext/>
        <w:keepLines/>
        <w:spacing w:before="280" w:after="140"/>
        <w:ind w:firstLine="0"/>
      </w:pPr>
      <w:r>
        <w:rPr>
          <w:rFonts w:ascii="微软雅黑" w:hAnsi="微软雅黑" w:eastAsia="微软雅黑"/>
          <w:b/>
          <w:color w:val="17324D"/>
          <w:sz w:val="31"/>
        </w:rPr>
        <w:t>2  数据审计、模型假设与符号</w:t>
      </w:r>
    </w:p>
    <w:p w14:paraId="682E48EB">
      <w:pPr>
        <w:pStyle w:val="4"/>
        <w:keepNext/>
        <w:keepLines/>
        <w:spacing w:before="200" w:after="80"/>
        <w:ind w:firstLine="0"/>
      </w:pPr>
      <w:r>
        <w:rPr>
          <w:rFonts w:ascii="微软雅黑" w:hAnsi="微软雅黑" w:eastAsia="微软雅黑"/>
          <w:b/>
          <w:color w:val="2878B5"/>
          <w:sz w:val="25"/>
        </w:rPr>
        <w:t>2.1  数据规模与清洗原则</w:t>
      </w:r>
    </w:p>
    <w:p w14:paraId="52B04233">
      <w:pPr>
        <w:widowControl/>
        <w:spacing w:line="348" w:lineRule="auto" w:before="0" w:after="60"/>
        <w:ind w:firstLine="420"/>
        <w:jc w:val="both"/>
        <w:rPr>
          <w:rFonts w:hint="eastAsia"/>
        </w:rPr>
      </w:pPr>
      <w:r>
        <w:rPr>
          <w:rFonts w:ascii="宋体" w:hAnsi="宋体" w:eastAsia="宋体"/>
          <w:color w:val="263442"/>
          <w:sz w:val="21"/>
        </w:rPr>
        <w:t>数据审计以字段语义而非工作表顺序识别进项与销项。企业与发票以企业代号连接；仅删除8字段完全一致的重复记录，而同一发票号码在日期或金额不同时保留，以避免将可能跨年度复用的发票号码误判为重复。负数金额对应退款、折让或冲销，直接取绝对值会丢失净现金流方向，故保留其符号并另行构造负数比例。数据集规模与发票概况见表1。</w:t>
      </w:r>
    </w:p>
    <w:p w14:paraId="4EE88EC5">
      <w:pPr>
        <w:pStyle w:val="15"/>
        <w:keepNext/>
        <w:keepLines/>
        <w:spacing w:before="40" w:after="120"/>
        <w:ind w:firstLine="0"/>
        <w:jc w:val="center"/>
        <w:rPr>
          <w:rFonts w:hint="eastAsia"/>
        </w:rPr>
      </w:pPr>
      <w:r>
        <w:rPr>
          <w:rFonts w:ascii="宋体" w:hAnsi="宋体" w:eastAsia="宋体"/>
          <w:color w:val="536273"/>
          <w:sz w:val="18"/>
        </w:rPr>
        <w:t>表1  附件数据集规模与发票概况</w:t>
      </w:r>
    </w:p>
    <w:tbl>
      <w:tblPr>
        <w:tblStyle w:val="33"/>
        <w:tblW w:w="9180" w:type="dxa"/>
        <w:jc w:val="center"/>
        <w:tblBorders>
          <w:top w:val="single" w:color="AAB8C6" w:sz="4" w:space="0"/>
          <w:left w:val="single" w:color="AAB8C6" w:sz="4" w:space="0"/>
          <w:bottom w:val="single" w:color="AAB8C6" w:sz="4" w:space="0"/>
          <w:right w:val="single" w:color="AAB8C6" w:sz="4" w:space="0"/>
          <w:insideH w:val="single" w:color="AAB8C6" w:sz="4" w:space="0"/>
          <w:insideV w:val="single" w:color="AAB8C6" w:sz="4" w:space="0"/>
        </w:tblBorders>
        <w:tblLayout w:type="autofit"/>
        <w:tblCellMar>
          <w:top w:w="0" w:type="dxa"/>
          <w:left w:w="108" w:type="dxa"/>
          <w:bottom w:w="0" w:type="dxa"/>
          <w:right w:w="108" w:type="dxa"/>
        </w:tblCellMar>
      </w:tblPr>
      <w:tblGrid>
        <w:gridCol w:w="1500"/>
        <w:gridCol w:w="1100"/>
        <w:gridCol w:w="1700"/>
        <w:gridCol w:w="1700"/>
        <w:gridCol w:w="3180"/>
      </w:tblGrid>
      <w:tr w14:paraId="746B5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1500" w:type="dxa"/>
            <w:tcMar>
              <w:top w:w="56" w:type="dxa"/>
              <w:left w:w="110" w:type="dxa"/>
              <w:bottom w:w="56" w:type="dxa"/>
              <w:right w:w="110" w:type="dxa"/>
              <w:start w:w="78" w:type="dxa"/>
              <w:end w:w="78" w:type="dxa"/>
            </w:tcMar>
            <w:vAlign w:val="center"/>
            <w:shd w:val="clear" w:color="auto" w:fill="EAF0F6"/>
          </w:tcPr>
          <w:p w14:paraId="4AB9F927">
            <w:pPr>
              <w:keepNext/>
              <w:keepLines/>
              <w:spacing w:after="0" w:before="0" w:line="240" w:lineRule="auto"/>
              <w:jc w:val="center"/>
              <w:rPr>
                <w:rFonts w:hint="eastAsia"/>
              </w:rPr>
            </w:pPr>
            <w:r>
              <w:rPr>
                <w:rFonts w:ascii="宋体" w:hAnsi="宋体" w:eastAsia="宋体"/>
                <w:b/>
                <w:color w:val="263442"/>
                <w:sz w:val="17"/>
              </w:rPr>
              <w:t>数据集</w:t>
            </w:r>
          </w:p>
        </w:tc>
        <w:tc>
          <w:tcPr>
            <w:tcW w:w="1100" w:type="dxa"/>
            <w:tcMar>
              <w:top w:w="56" w:type="dxa"/>
              <w:left w:w="110" w:type="dxa"/>
              <w:bottom w:w="56" w:type="dxa"/>
              <w:right w:w="110" w:type="dxa"/>
              <w:start w:w="78" w:type="dxa"/>
              <w:end w:w="78" w:type="dxa"/>
            </w:tcMar>
            <w:vAlign w:val="center"/>
            <w:shd w:val="clear" w:color="auto" w:fill="EAF0F6"/>
          </w:tcPr>
          <w:p w14:paraId="5B9821FC">
            <w:pPr>
              <w:keepNext/>
              <w:keepLines/>
              <w:spacing w:after="0" w:before="0" w:line="240" w:lineRule="auto"/>
              <w:jc w:val="center"/>
              <w:rPr>
                <w:rFonts w:hint="eastAsia"/>
              </w:rPr>
            </w:pPr>
            <w:r>
              <w:rPr>
                <w:rFonts w:ascii="宋体" w:hAnsi="宋体" w:eastAsia="宋体"/>
                <w:b/>
                <w:color w:val="263442"/>
                <w:sz w:val="17"/>
              </w:rPr>
              <w:t>企业数</w:t>
            </w:r>
          </w:p>
        </w:tc>
        <w:tc>
          <w:tcPr>
            <w:tcW w:w="1700" w:type="dxa"/>
            <w:tcMar>
              <w:top w:w="56" w:type="dxa"/>
              <w:left w:w="110" w:type="dxa"/>
              <w:bottom w:w="56" w:type="dxa"/>
              <w:right w:w="110" w:type="dxa"/>
              <w:start w:w="78" w:type="dxa"/>
              <w:end w:w="78" w:type="dxa"/>
            </w:tcMar>
            <w:vAlign w:val="center"/>
            <w:shd w:val="clear" w:color="auto" w:fill="EAF0F6"/>
          </w:tcPr>
          <w:p w14:paraId="765CB20F">
            <w:pPr>
              <w:keepNext/>
              <w:keepLines/>
              <w:spacing w:after="0" w:before="0" w:line="240" w:lineRule="auto"/>
              <w:jc w:val="center"/>
              <w:rPr>
                <w:rFonts w:hint="eastAsia"/>
              </w:rPr>
            </w:pPr>
            <w:r>
              <w:rPr>
                <w:rFonts w:ascii="宋体" w:hAnsi="宋体" w:eastAsia="宋体"/>
                <w:b/>
                <w:color w:val="263442"/>
                <w:sz w:val="17"/>
              </w:rPr>
              <w:t>进项发票</w:t>
            </w:r>
          </w:p>
        </w:tc>
        <w:tc>
          <w:tcPr>
            <w:tcW w:w="1700" w:type="dxa"/>
            <w:tcMar>
              <w:top w:w="56" w:type="dxa"/>
              <w:left w:w="110" w:type="dxa"/>
              <w:bottom w:w="56" w:type="dxa"/>
              <w:right w:w="110" w:type="dxa"/>
              <w:start w:w="78" w:type="dxa"/>
              <w:end w:w="78" w:type="dxa"/>
            </w:tcMar>
            <w:vAlign w:val="center"/>
            <w:shd w:val="clear" w:color="auto" w:fill="EAF0F6"/>
          </w:tcPr>
          <w:p w14:paraId="5D27F0C5">
            <w:pPr>
              <w:keepNext/>
              <w:keepLines/>
              <w:spacing w:after="0" w:before="0" w:line="240" w:lineRule="auto"/>
              <w:jc w:val="center"/>
              <w:rPr>
                <w:rFonts w:hint="eastAsia"/>
              </w:rPr>
            </w:pPr>
            <w:r>
              <w:rPr>
                <w:rFonts w:ascii="宋体" w:hAnsi="宋体" w:eastAsia="宋体"/>
                <w:b/>
                <w:color w:val="263442"/>
                <w:sz w:val="17"/>
              </w:rPr>
              <w:t>销项发票</w:t>
            </w:r>
          </w:p>
        </w:tc>
        <w:tc>
          <w:tcPr>
            <w:tcW w:w="3180" w:type="dxa"/>
            <w:tcMar>
              <w:top w:w="56" w:type="dxa"/>
              <w:left w:w="110" w:type="dxa"/>
              <w:bottom w:w="56" w:type="dxa"/>
              <w:right w:w="110" w:type="dxa"/>
              <w:start w:w="78" w:type="dxa"/>
              <w:end w:w="78" w:type="dxa"/>
            </w:tcMar>
            <w:vAlign w:val="center"/>
            <w:shd w:val="clear" w:color="auto" w:fill="EAF0F6"/>
          </w:tcPr>
          <w:p w14:paraId="604C9134">
            <w:pPr>
              <w:keepNext/>
              <w:keepLines/>
              <w:spacing w:after="0" w:before="0" w:line="240" w:lineRule="auto"/>
              <w:jc w:val="center"/>
              <w:rPr>
                <w:rFonts w:hint="eastAsia"/>
              </w:rPr>
            </w:pPr>
            <w:r>
              <w:rPr>
                <w:rFonts w:ascii="宋体" w:hAnsi="宋体" w:eastAsia="宋体"/>
                <w:b/>
                <w:color w:val="263442"/>
                <w:sz w:val="17"/>
              </w:rPr>
              <w:t>负数占比（进/销）</w:t>
            </w:r>
          </w:p>
        </w:tc>
      </w:tr>
      <w:tr w14:paraId="4C921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Mar>
              <w:top w:w="56" w:type="dxa"/>
              <w:left w:w="110" w:type="dxa"/>
              <w:bottom w:w="56" w:type="dxa"/>
              <w:right w:w="110" w:type="dxa"/>
              <w:start w:w="78" w:type="dxa"/>
              <w:end w:w="78" w:type="dxa"/>
            </w:tcMar>
            <w:vAlign w:val="center"/>
          </w:tcPr>
          <w:p w14:paraId="5502DAE8">
            <w:pPr>
              <w:keepLines/>
              <w:spacing w:after="0" w:line="240" w:lineRule="auto" w:before="0"/>
              <w:ind w:firstLine="0"/>
              <w:jc w:val="left"/>
              <w:rPr>
                <w:rFonts w:hint="eastAsia"/>
              </w:rPr>
            </w:pPr>
            <w:r>
              <w:rPr>
                <w:rFonts w:ascii="宋体" w:hAnsi="宋体" w:eastAsia="宋体"/>
                <w:color w:val="263442"/>
                <w:sz w:val="17"/>
              </w:rPr>
              <w:t>附件1</w:t>
            </w:r>
          </w:p>
        </w:tc>
        <w:tc>
          <w:tcPr>
            <w:tcW w:w="1100" w:type="dxa"/>
            <w:tcMar>
              <w:top w:w="56" w:type="dxa"/>
              <w:left w:w="110" w:type="dxa"/>
              <w:bottom w:w="56" w:type="dxa"/>
              <w:right w:w="110" w:type="dxa"/>
              <w:start w:w="78" w:type="dxa"/>
              <w:end w:w="78" w:type="dxa"/>
            </w:tcMar>
            <w:vAlign w:val="center"/>
          </w:tcPr>
          <w:p w14:paraId="6994CD92">
            <w:pPr>
              <w:keepLines/>
              <w:spacing w:after="0" w:line="240" w:lineRule="auto" w:before="0"/>
              <w:ind w:firstLine="0"/>
              <w:jc w:val="center"/>
              <w:rPr>
                <w:rFonts w:hint="eastAsia"/>
              </w:rPr>
            </w:pPr>
            <w:r>
              <w:rPr>
                <w:rFonts w:ascii="宋体" w:hAnsi="宋体" w:eastAsia="宋体"/>
                <w:color w:val="263442"/>
                <w:sz w:val="17"/>
              </w:rPr>
              <w:t>123</w:t>
            </w:r>
          </w:p>
        </w:tc>
        <w:tc>
          <w:tcPr>
            <w:tcW w:w="1700" w:type="dxa"/>
            <w:tcMar>
              <w:top w:w="56" w:type="dxa"/>
              <w:left w:w="110" w:type="dxa"/>
              <w:bottom w:w="56" w:type="dxa"/>
              <w:right w:w="110" w:type="dxa"/>
              <w:start w:w="78" w:type="dxa"/>
              <w:end w:w="78" w:type="dxa"/>
            </w:tcMar>
            <w:vAlign w:val="center"/>
          </w:tcPr>
          <w:p w14:paraId="0C9F4B56">
            <w:pPr>
              <w:keepLines/>
              <w:spacing w:after="0" w:line="240" w:lineRule="auto" w:before="0"/>
              <w:ind w:firstLine="0"/>
              <w:jc w:val="center"/>
              <w:rPr>
                <w:rFonts w:hint="eastAsia"/>
              </w:rPr>
            </w:pPr>
            <w:r>
              <w:rPr>
                <w:rFonts w:ascii="宋体" w:hAnsi="宋体" w:eastAsia="宋体"/>
                <w:color w:val="263442"/>
                <w:sz w:val="17"/>
              </w:rPr>
              <w:t>210,947</w:t>
            </w:r>
          </w:p>
        </w:tc>
        <w:tc>
          <w:tcPr>
            <w:tcW w:w="1700" w:type="dxa"/>
            <w:tcMar>
              <w:top w:w="56" w:type="dxa"/>
              <w:left w:w="110" w:type="dxa"/>
              <w:bottom w:w="56" w:type="dxa"/>
              <w:right w:w="110" w:type="dxa"/>
              <w:start w:w="78" w:type="dxa"/>
              <w:end w:w="78" w:type="dxa"/>
            </w:tcMar>
            <w:vAlign w:val="center"/>
          </w:tcPr>
          <w:p w14:paraId="5619C7EE">
            <w:pPr>
              <w:keepLines/>
              <w:spacing w:after="0" w:line="240" w:lineRule="auto" w:before="0"/>
              <w:ind w:firstLine="0"/>
              <w:jc w:val="center"/>
              <w:rPr>
                <w:rFonts w:hint="eastAsia"/>
              </w:rPr>
            </w:pPr>
            <w:r>
              <w:rPr>
                <w:rFonts w:ascii="宋体" w:hAnsi="宋体" w:eastAsia="宋体"/>
                <w:color w:val="263442"/>
                <w:sz w:val="17"/>
              </w:rPr>
              <w:t>162,484</w:t>
            </w:r>
          </w:p>
        </w:tc>
        <w:tc>
          <w:tcPr>
            <w:tcW w:w="3180" w:type="dxa"/>
            <w:tcMar>
              <w:top w:w="56" w:type="dxa"/>
              <w:left w:w="110" w:type="dxa"/>
              <w:bottom w:w="56" w:type="dxa"/>
              <w:right w:w="110" w:type="dxa"/>
              <w:start w:w="78" w:type="dxa"/>
              <w:end w:w="78" w:type="dxa"/>
            </w:tcMar>
            <w:vAlign w:val="center"/>
          </w:tcPr>
          <w:p w14:paraId="3617DD50">
            <w:pPr>
              <w:keepLines/>
              <w:spacing w:after="0" w:line="240" w:lineRule="auto" w:before="0"/>
              <w:ind w:firstLine="0"/>
              <w:jc w:val="center"/>
              <w:rPr>
                <w:rFonts w:hint="eastAsia"/>
              </w:rPr>
            </w:pPr>
            <w:r>
              <w:rPr>
                <w:rFonts w:ascii="宋体" w:hAnsi="宋体" w:eastAsia="宋体"/>
                <w:color w:val="263442"/>
                <w:sz w:val="17"/>
              </w:rPr>
              <w:t>0.89% / 5.27%</w:t>
            </w:r>
          </w:p>
        </w:tc>
      </w:tr>
      <w:tr w14:paraId="72D3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Mar>
              <w:top w:w="56" w:type="dxa"/>
              <w:left w:w="110" w:type="dxa"/>
              <w:bottom w:w="56" w:type="dxa"/>
              <w:right w:w="110" w:type="dxa"/>
              <w:start w:w="78" w:type="dxa"/>
              <w:end w:w="78" w:type="dxa"/>
            </w:tcMar>
            <w:vAlign w:val="center"/>
            <w:shd w:val="clear" w:color="auto" w:fill="F7F9FB"/>
          </w:tcPr>
          <w:p w14:paraId="1B7482E3">
            <w:pPr>
              <w:keepLines/>
              <w:spacing w:after="0" w:line="240" w:lineRule="auto" w:before="0"/>
              <w:ind w:firstLine="0"/>
              <w:jc w:val="left"/>
              <w:rPr>
                <w:rFonts w:hint="eastAsia"/>
              </w:rPr>
            </w:pPr>
            <w:r>
              <w:rPr>
                <w:rFonts w:ascii="宋体" w:hAnsi="宋体" w:eastAsia="宋体"/>
                <w:color w:val="263442"/>
                <w:sz w:val="17"/>
              </w:rPr>
              <w:t>附件2</w:t>
            </w:r>
          </w:p>
        </w:tc>
        <w:tc>
          <w:tcPr>
            <w:tcW w:w="1100" w:type="dxa"/>
            <w:tcMar>
              <w:top w:w="56" w:type="dxa"/>
              <w:left w:w="110" w:type="dxa"/>
              <w:bottom w:w="56" w:type="dxa"/>
              <w:right w:w="110" w:type="dxa"/>
              <w:start w:w="78" w:type="dxa"/>
              <w:end w:w="78" w:type="dxa"/>
            </w:tcMar>
            <w:vAlign w:val="center"/>
            <w:shd w:val="clear" w:color="auto" w:fill="F7F9FB"/>
          </w:tcPr>
          <w:p w14:paraId="5FCE0605">
            <w:pPr>
              <w:keepLines/>
              <w:spacing w:after="0" w:line="240" w:lineRule="auto" w:before="0"/>
              <w:ind w:firstLine="0"/>
              <w:jc w:val="center"/>
              <w:rPr>
                <w:rFonts w:hint="eastAsia"/>
              </w:rPr>
            </w:pPr>
            <w:r>
              <w:rPr>
                <w:rFonts w:ascii="宋体" w:hAnsi="宋体" w:eastAsia="宋体"/>
                <w:color w:val="263442"/>
                <w:sz w:val="17"/>
              </w:rPr>
              <w:t>302</w:t>
            </w:r>
          </w:p>
        </w:tc>
        <w:tc>
          <w:tcPr>
            <w:tcW w:w="1700" w:type="dxa"/>
            <w:tcMar>
              <w:top w:w="56" w:type="dxa"/>
              <w:left w:w="110" w:type="dxa"/>
              <w:bottom w:w="56" w:type="dxa"/>
              <w:right w:w="110" w:type="dxa"/>
              <w:start w:w="78" w:type="dxa"/>
              <w:end w:w="78" w:type="dxa"/>
            </w:tcMar>
            <w:vAlign w:val="center"/>
            <w:shd w:val="clear" w:color="auto" w:fill="F7F9FB"/>
          </w:tcPr>
          <w:p w14:paraId="7DC9D98F">
            <w:pPr>
              <w:keepLines/>
              <w:spacing w:after="0" w:line="240" w:lineRule="auto" w:before="0"/>
              <w:ind w:firstLine="0"/>
              <w:jc w:val="center"/>
              <w:rPr>
                <w:rFonts w:hint="eastAsia"/>
              </w:rPr>
            </w:pPr>
            <w:r>
              <w:rPr>
                <w:rFonts w:ascii="宋体" w:hAnsi="宋体" w:eastAsia="宋体"/>
                <w:color w:val="263442"/>
                <w:sz w:val="17"/>
              </w:rPr>
              <w:t>395,175</w:t>
            </w:r>
          </w:p>
        </w:tc>
        <w:tc>
          <w:tcPr>
            <w:tcW w:w="1700" w:type="dxa"/>
            <w:tcMar>
              <w:top w:w="56" w:type="dxa"/>
              <w:left w:w="110" w:type="dxa"/>
              <w:bottom w:w="56" w:type="dxa"/>
              <w:right w:w="110" w:type="dxa"/>
              <w:start w:w="78" w:type="dxa"/>
              <w:end w:w="78" w:type="dxa"/>
            </w:tcMar>
            <w:vAlign w:val="center"/>
            <w:shd w:val="clear" w:color="auto" w:fill="F7F9FB"/>
          </w:tcPr>
          <w:p w14:paraId="43AC4ACB">
            <w:pPr>
              <w:keepLines/>
              <w:spacing w:after="0" w:line="240" w:lineRule="auto" w:before="0"/>
              <w:ind w:firstLine="0"/>
              <w:jc w:val="center"/>
              <w:rPr>
                <w:rFonts w:hint="eastAsia"/>
              </w:rPr>
            </w:pPr>
            <w:r>
              <w:rPr>
                <w:rFonts w:ascii="宋体" w:hAnsi="宋体" w:eastAsia="宋体"/>
                <w:color w:val="263442"/>
                <w:sz w:val="17"/>
              </w:rPr>
              <w:t>330,835</w:t>
            </w:r>
          </w:p>
        </w:tc>
        <w:tc>
          <w:tcPr>
            <w:tcW w:w="3180" w:type="dxa"/>
            <w:tcMar>
              <w:top w:w="56" w:type="dxa"/>
              <w:left w:w="110" w:type="dxa"/>
              <w:bottom w:w="56" w:type="dxa"/>
              <w:right w:w="110" w:type="dxa"/>
              <w:start w:w="78" w:type="dxa"/>
              <w:end w:w="78" w:type="dxa"/>
            </w:tcMar>
            <w:vAlign w:val="center"/>
            <w:shd w:val="clear" w:color="auto" w:fill="F7F9FB"/>
          </w:tcPr>
          <w:p w14:paraId="43BE33B9">
            <w:pPr>
              <w:keepLines/>
              <w:spacing w:after="0" w:line="240" w:lineRule="auto" w:before="0"/>
              <w:ind w:firstLine="0"/>
              <w:jc w:val="center"/>
              <w:rPr>
                <w:rFonts w:hint="eastAsia"/>
              </w:rPr>
            </w:pPr>
            <w:r>
              <w:rPr>
                <w:rFonts w:ascii="宋体" w:hAnsi="宋体" w:eastAsia="宋体"/>
                <w:color w:val="263442"/>
                <w:sz w:val="17"/>
              </w:rPr>
              <w:t>0.92% / 1.72%</w:t>
            </w:r>
          </w:p>
        </w:tc>
      </w:tr>
      <w:tr w14:paraId="4ADCA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Mar>
              <w:top w:w="56" w:type="dxa"/>
              <w:left w:w="110" w:type="dxa"/>
              <w:bottom w:w="56" w:type="dxa"/>
              <w:right w:w="110" w:type="dxa"/>
              <w:start w:w="78" w:type="dxa"/>
              <w:end w:w="78" w:type="dxa"/>
            </w:tcMar>
            <w:vAlign w:val="center"/>
          </w:tcPr>
          <w:p w14:paraId="28D461F0">
            <w:pPr>
              <w:keepLines/>
              <w:spacing w:after="0" w:line="240" w:lineRule="auto" w:before="0"/>
              <w:ind w:firstLine="0"/>
              <w:jc w:val="left"/>
              <w:rPr>
                <w:rFonts w:hint="eastAsia"/>
              </w:rPr>
            </w:pPr>
            <w:r>
              <w:rPr>
                <w:rFonts w:ascii="宋体" w:hAnsi="宋体" w:eastAsia="宋体"/>
                <w:color w:val="263442"/>
                <w:sz w:val="17"/>
              </w:rPr>
              <w:t>附件3</w:t>
            </w:r>
          </w:p>
        </w:tc>
        <w:tc>
          <w:tcPr>
            <w:tcW w:w="1100" w:type="dxa"/>
            <w:tcMar>
              <w:top w:w="56" w:type="dxa"/>
              <w:left w:w="110" w:type="dxa"/>
              <w:bottom w:w="56" w:type="dxa"/>
              <w:right w:w="110" w:type="dxa"/>
              <w:start w:w="78" w:type="dxa"/>
              <w:end w:w="78" w:type="dxa"/>
            </w:tcMar>
            <w:vAlign w:val="center"/>
          </w:tcPr>
          <w:p w14:paraId="76BDF273">
            <w:pPr>
              <w:keepLines/>
              <w:spacing w:after="0" w:line="240" w:lineRule="auto" w:before="0"/>
              <w:ind w:firstLine="0"/>
              <w:jc w:val="center"/>
              <w:rPr>
                <w:rFonts w:hint="eastAsia"/>
              </w:rPr>
            </w:pPr>
            <w:r>
              <w:rPr>
                <w:rFonts w:ascii="宋体" w:hAnsi="宋体" w:eastAsia="宋体"/>
                <w:color w:val="263442"/>
                <w:sz w:val="17"/>
              </w:rPr>
              <w:t>29个利率点</w:t>
            </w:r>
          </w:p>
        </w:tc>
        <w:tc>
          <w:tcPr>
            <w:tcW w:w="1700" w:type="dxa"/>
            <w:tcMar>
              <w:top w:w="56" w:type="dxa"/>
              <w:left w:w="110" w:type="dxa"/>
              <w:bottom w:w="56" w:type="dxa"/>
              <w:right w:w="110" w:type="dxa"/>
              <w:start w:w="78" w:type="dxa"/>
              <w:end w:w="78" w:type="dxa"/>
            </w:tcMar>
            <w:vAlign w:val="center"/>
          </w:tcPr>
          <w:p w14:paraId="700B23CE">
            <w:pPr>
              <w:keepLines/>
              <w:spacing w:after="0" w:line="240" w:lineRule="auto" w:before="0"/>
              <w:ind w:firstLine="0"/>
              <w:jc w:val="center"/>
              <w:rPr>
                <w:rFonts w:hint="eastAsia"/>
              </w:rPr>
            </w:pPr>
            <w:r>
              <w:rPr>
                <w:rFonts w:ascii="宋体" w:hAnsi="宋体" w:eastAsia="宋体"/>
                <w:color w:val="263442"/>
                <w:sz w:val="17"/>
              </w:rPr>
              <w:t>—</w:t>
            </w:r>
          </w:p>
        </w:tc>
        <w:tc>
          <w:tcPr>
            <w:tcW w:w="1700" w:type="dxa"/>
            <w:tcMar>
              <w:top w:w="56" w:type="dxa"/>
              <w:left w:w="110" w:type="dxa"/>
              <w:bottom w:w="56" w:type="dxa"/>
              <w:right w:w="110" w:type="dxa"/>
              <w:start w:w="78" w:type="dxa"/>
              <w:end w:w="78" w:type="dxa"/>
            </w:tcMar>
            <w:vAlign w:val="center"/>
          </w:tcPr>
          <w:p w14:paraId="766983C1">
            <w:pPr>
              <w:keepLines/>
              <w:spacing w:after="0" w:line="240" w:lineRule="auto" w:before="0"/>
              <w:ind w:firstLine="0"/>
              <w:jc w:val="center"/>
              <w:rPr>
                <w:rFonts w:hint="eastAsia"/>
              </w:rPr>
            </w:pPr>
            <w:r>
              <w:rPr>
                <w:rFonts w:ascii="宋体" w:hAnsi="宋体" w:eastAsia="宋体"/>
                <w:color w:val="263442"/>
                <w:sz w:val="17"/>
              </w:rPr>
              <w:t>—</w:t>
            </w:r>
          </w:p>
        </w:tc>
        <w:tc>
          <w:tcPr>
            <w:tcW w:w="3180" w:type="dxa"/>
            <w:tcMar>
              <w:top w:w="56" w:type="dxa"/>
              <w:left w:w="110" w:type="dxa"/>
              <w:bottom w:w="56" w:type="dxa"/>
              <w:right w:w="110" w:type="dxa"/>
              <w:start w:w="78" w:type="dxa"/>
              <w:end w:w="78" w:type="dxa"/>
            </w:tcMar>
            <w:vAlign w:val="center"/>
          </w:tcPr>
          <w:p w14:paraId="48F06EEF">
            <w:pPr>
              <w:keepLines/>
              <w:spacing w:after="0" w:line="240" w:lineRule="auto" w:before="0"/>
              <w:ind w:firstLine="0"/>
              <w:jc w:val="center"/>
              <w:rPr>
                <w:rFonts w:hint="eastAsia"/>
              </w:rPr>
            </w:pPr>
            <w:r>
              <w:rPr>
                <w:rFonts w:ascii="宋体" w:hAnsi="宋体" w:eastAsia="宋体"/>
                <w:color w:val="263442"/>
                <w:sz w:val="17"/>
              </w:rPr>
              <w:t>A/B/C 三条流失曲线</w:t>
            </w:r>
          </w:p>
        </w:tc>
      </w:tr>
    </w:tbl>
    <w:p w14:paraId="0F3FD216">
      <w:pPr>
        <w:spacing w:after="20"/>
        <w:rPr>
          <w:rFonts w:hint="eastAsia"/>
        </w:rPr>
      </w:pPr>
    </w:p>
    <w:p w14:paraId="1E6B46EC">
      <w:pPr>
        <w:widowControl/>
        <w:spacing w:line="348" w:lineRule="auto" w:before="0" w:after="60"/>
        <w:ind w:firstLine="420"/>
        <w:jc w:val="both"/>
        <w:rPr>
          <w:rFonts w:hint="eastAsia"/>
        </w:rPr>
      </w:pPr>
      <w:r>
        <w:rPr>
          <w:rFonts w:ascii="宋体" w:hAnsi="宋体" w:eastAsia="宋体"/>
          <w:color w:val="263442"/>
          <w:sz w:val="21"/>
        </w:rPr>
        <w:t>金额一致性核验发现5条“金额+税额”与“价税合计”的差异超过0.01元，最大差异为1.38元，量级远小于企业年度经营规模。为避免由反算引入新的口径，模型统一使用来源表中的金额字段，不以价税合计反推金额。全部发票的观察截止日固定为2020年2月21日，以避免使用该日之后的信息。</w:t>
      </w:r>
    </w:p>
    <w:p w14:paraId="148C96AA">
      <w:pPr>
        <w:pStyle w:val="4"/>
        <w:keepNext/>
        <w:keepLines/>
        <w:spacing w:before="200" w:after="80"/>
        <w:ind w:firstLine="0"/>
      </w:pPr>
      <w:r>
        <w:rPr>
          <w:rFonts w:ascii="微软雅黑" w:hAnsi="微软雅黑" w:eastAsia="微软雅黑"/>
          <w:b/>
          <w:color w:val="2878B5"/>
          <w:sz w:val="25"/>
        </w:rPr>
        <w:t>2.2  建模口径、假设与决策参数</w:t>
      </w:r>
    </w:p>
    <w:p w14:paraId="707CC3CF">
      <w:pPr>
        <w:widowControl/>
        <w:spacing w:line="348" w:lineRule="auto" w:before="0" w:after="60"/>
        <w:ind w:firstLine="420"/>
        <w:jc w:val="both"/>
        <w:rPr>
          <w:rFonts w:hint="eastAsia"/>
        </w:rPr>
      </w:pPr>
      <w:r>
        <w:rPr>
          <w:rFonts w:ascii="宋体" w:hAnsi="宋体" w:eastAsia="宋体"/>
          <w:color w:val="263442"/>
          <w:sz w:val="21"/>
        </w:rPr>
        <w:t>已有建模口径、题设规则、模型假设、风险偏好参数及情景设定见表2。</w:t>
      </w:r>
    </w:p>
    <w:p w14:paraId="7D70C40C">
      <w:pPr>
        <w:pStyle w:val="15"/>
        <w:keepNext/>
        <w:keepLines/>
        <w:spacing w:before="40" w:after="120"/>
        <w:ind w:firstLine="0"/>
        <w:jc w:val="center"/>
        <w:rPr>
          <w:rFonts w:hint="eastAsia"/>
        </w:rPr>
      </w:pPr>
      <w:r>
        <w:rPr>
          <w:rFonts w:ascii="宋体" w:hAnsi="宋体" w:eastAsia="宋体"/>
          <w:color w:val="536273"/>
          <w:sz w:val="18"/>
        </w:rPr>
        <w:t>表2  建模口径、题设规则、假设与参数说明</w:t>
      </w:r>
    </w:p>
    <w:tbl>
      <w:tblPr>
        <w:tblStyle w:val="33"/>
        <w:tblW w:w="9180" w:type="dxa"/>
        <w:jc w:val="center"/>
        <w:tblBorders>
          <w:top w:val="single" w:color="AAB8C6" w:sz="4" w:space="0"/>
          <w:left w:val="single" w:color="AAB8C6" w:sz="4" w:space="0"/>
          <w:bottom w:val="single" w:color="AAB8C6" w:sz="4" w:space="0"/>
          <w:right w:val="single" w:color="AAB8C6" w:sz="4" w:space="0"/>
          <w:insideH w:val="single" w:color="AAB8C6" w:sz="4" w:space="0"/>
          <w:insideV w:val="single" w:color="AAB8C6" w:sz="4" w:space="0"/>
        </w:tblBorders>
        <w:tblLayout w:type="autofit"/>
        <w:tblCellMar>
          <w:top w:w="0" w:type="dxa"/>
          <w:left w:w="108" w:type="dxa"/>
          <w:bottom w:w="0" w:type="dxa"/>
          <w:right w:w="108" w:type="dxa"/>
        </w:tblCellMar>
      </w:tblPr>
      <w:tblGrid>
        <w:gridCol w:w="1600"/>
        <w:gridCol w:w="2600"/>
        <w:gridCol w:w="4980"/>
      </w:tblGrid>
      <w:tr w14:paraId="65334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1600" w:type="dxa"/>
            <w:tcMar>
              <w:top w:w="56" w:type="dxa"/>
              <w:left w:w="110" w:type="dxa"/>
              <w:bottom w:w="56" w:type="dxa"/>
              <w:right w:w="110" w:type="dxa"/>
              <w:start w:w="78" w:type="dxa"/>
              <w:end w:w="78" w:type="dxa"/>
            </w:tcMar>
            <w:vAlign w:val="center"/>
            <w:shd w:val="clear" w:color="auto" w:fill="EAF0F6"/>
          </w:tcPr>
          <w:p w14:paraId="6A1DF745">
            <w:pPr>
              <w:keepNext/>
              <w:keepLines/>
              <w:spacing w:after="0" w:before="0" w:line="240" w:lineRule="auto"/>
              <w:jc w:val="center"/>
              <w:rPr>
                <w:rFonts w:hint="eastAsia"/>
              </w:rPr>
            </w:pPr>
            <w:r>
              <w:rPr>
                <w:rFonts w:ascii="宋体" w:hAnsi="宋体" w:eastAsia="宋体"/>
                <w:b/>
                <w:color w:val="263442"/>
                <w:sz w:val="17"/>
              </w:rPr>
              <w:t>类别</w:t>
            </w:r>
          </w:p>
        </w:tc>
        <w:tc>
          <w:tcPr>
            <w:tcW w:w="2600" w:type="dxa"/>
            <w:tcMar>
              <w:top w:w="56" w:type="dxa"/>
              <w:left w:w="110" w:type="dxa"/>
              <w:bottom w:w="56" w:type="dxa"/>
              <w:right w:w="110" w:type="dxa"/>
              <w:start w:w="78" w:type="dxa"/>
              <w:end w:w="78" w:type="dxa"/>
            </w:tcMar>
            <w:vAlign w:val="center"/>
            <w:shd w:val="clear" w:color="auto" w:fill="EAF0F6"/>
          </w:tcPr>
          <w:p w14:paraId="1AA3F619">
            <w:pPr>
              <w:keepNext/>
              <w:keepLines/>
              <w:spacing w:after="0" w:before="0" w:line="240" w:lineRule="auto"/>
              <w:jc w:val="center"/>
              <w:rPr>
                <w:rFonts w:hint="eastAsia"/>
              </w:rPr>
            </w:pPr>
            <w:r>
              <w:rPr>
                <w:rFonts w:ascii="宋体" w:hAnsi="宋体" w:eastAsia="宋体"/>
                <w:b/>
                <w:color w:val="263442"/>
                <w:sz w:val="17"/>
              </w:rPr>
              <w:t>内容</w:t>
            </w:r>
          </w:p>
        </w:tc>
        <w:tc>
          <w:tcPr>
            <w:tcW w:w="4980" w:type="dxa"/>
            <w:tcMar>
              <w:top w:w="56" w:type="dxa"/>
              <w:left w:w="110" w:type="dxa"/>
              <w:bottom w:w="56" w:type="dxa"/>
              <w:right w:w="110" w:type="dxa"/>
              <w:start w:w="78" w:type="dxa"/>
              <w:end w:w="78" w:type="dxa"/>
            </w:tcMar>
            <w:vAlign w:val="center"/>
            <w:shd w:val="clear" w:color="auto" w:fill="EAF0F6"/>
          </w:tcPr>
          <w:p w14:paraId="1F24E35E">
            <w:pPr>
              <w:keepNext/>
              <w:keepLines/>
              <w:spacing w:after="0" w:before="0" w:line="240" w:lineRule="auto"/>
              <w:jc w:val="center"/>
              <w:rPr>
                <w:rFonts w:hint="eastAsia"/>
              </w:rPr>
            </w:pPr>
            <w:r>
              <w:rPr>
                <w:rFonts w:ascii="宋体" w:hAnsi="宋体" w:eastAsia="宋体"/>
                <w:b/>
                <w:color w:val="263442"/>
                <w:sz w:val="17"/>
              </w:rPr>
              <w:t>依据与模型影响</w:t>
            </w:r>
          </w:p>
        </w:tc>
      </w:tr>
      <w:tr w14:paraId="4812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00" w:type="dxa"/>
            <w:tcMar>
              <w:top w:w="56" w:type="dxa"/>
              <w:left w:w="110" w:type="dxa"/>
              <w:bottom w:w="56" w:type="dxa"/>
              <w:right w:w="110" w:type="dxa"/>
              <w:start w:w="78" w:type="dxa"/>
              <w:end w:w="78" w:type="dxa"/>
            </w:tcMar>
            <w:vAlign w:val="center"/>
          </w:tcPr>
          <w:p w14:paraId="7C70B2B4">
            <w:pPr>
              <w:keepLines/>
              <w:spacing w:after="0" w:line="240" w:lineRule="auto" w:before="0"/>
              <w:ind w:firstLine="0"/>
              <w:jc w:val="left"/>
              <w:rPr>
                <w:rFonts w:hint="eastAsia"/>
              </w:rPr>
            </w:pPr>
            <w:r>
              <w:rPr>
                <w:rFonts w:ascii="宋体" w:hAnsi="宋体" w:eastAsia="宋体"/>
                <w:color w:val="263442"/>
                <w:sz w:val="17"/>
              </w:rPr>
              <w:t>建模口径</w:t>
            </w:r>
          </w:p>
        </w:tc>
        <w:tc>
          <w:tcPr>
            <w:tcW w:w="2600" w:type="dxa"/>
            <w:tcMar>
              <w:top w:w="56" w:type="dxa"/>
              <w:left w:w="110" w:type="dxa"/>
              <w:bottom w:w="56" w:type="dxa"/>
              <w:right w:w="110" w:type="dxa"/>
              <w:start w:w="78" w:type="dxa"/>
              <w:end w:w="78" w:type="dxa"/>
            </w:tcMar>
            <w:vAlign w:val="center"/>
          </w:tcPr>
          <w:p w14:paraId="0A84A94B">
            <w:pPr>
              <w:keepLines/>
              <w:spacing w:after="0" w:line="240" w:lineRule="auto" w:before="0"/>
              <w:ind w:firstLine="0"/>
              <w:jc w:val="left"/>
              <w:rPr>
                <w:rFonts w:hint="eastAsia"/>
              </w:rPr>
            </w:pPr>
            <w:r>
              <w:rPr>
                <w:rFonts w:ascii="宋体" w:hAnsi="宋体" w:eastAsia="宋体"/>
                <w:color w:val="263442"/>
                <w:sz w:val="17"/>
              </w:rPr>
              <w:t>信誉评级为主监督标签</w:t>
            </w:r>
          </w:p>
        </w:tc>
        <w:tc>
          <w:tcPr>
            <w:tcW w:w="4980" w:type="dxa"/>
            <w:tcMar>
              <w:top w:w="56" w:type="dxa"/>
              <w:left w:w="110" w:type="dxa"/>
              <w:bottom w:w="56" w:type="dxa"/>
              <w:right w:w="110" w:type="dxa"/>
              <w:start w:w="78" w:type="dxa"/>
              <w:end w:w="78" w:type="dxa"/>
            </w:tcMar>
            <w:vAlign w:val="center"/>
          </w:tcPr>
          <w:p w14:paraId="1E5F4624">
            <w:pPr>
              <w:keepLines/>
              <w:spacing w:after="0" w:line="240" w:lineRule="auto" w:before="0"/>
              <w:ind w:firstLine="0"/>
              <w:jc w:val="center"/>
              <w:rPr>
                <w:rFonts w:hint="eastAsia"/>
              </w:rPr>
            </w:pPr>
            <w:r>
              <w:rPr>
                <w:rFonts w:ascii="宋体" w:hAnsi="宋体" w:eastAsia="宋体"/>
                <w:color w:val="263442"/>
                <w:sz w:val="17"/>
              </w:rPr>
              <w:t>四级评级覆盖全部123家企业，适合做信用风险评价；违约只有27例，不支持复杂个体违约预测。</w:t>
            </w:r>
          </w:p>
        </w:tc>
      </w:tr>
      <w:tr w14:paraId="6839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00" w:type="dxa"/>
            <w:tcMar>
              <w:top w:w="56" w:type="dxa"/>
              <w:left w:w="110" w:type="dxa"/>
              <w:bottom w:w="56" w:type="dxa"/>
              <w:right w:w="110" w:type="dxa"/>
              <w:start w:w="78" w:type="dxa"/>
              <w:end w:w="78" w:type="dxa"/>
            </w:tcMar>
            <w:vAlign w:val="center"/>
            <w:shd w:val="clear" w:color="auto" w:fill="F7F9FB"/>
          </w:tcPr>
          <w:p w14:paraId="09C966E0">
            <w:pPr>
              <w:keepLines/>
              <w:spacing w:after="0" w:line="240" w:lineRule="auto" w:before="0"/>
              <w:ind w:firstLine="0"/>
              <w:jc w:val="left"/>
              <w:rPr>
                <w:rFonts w:hint="eastAsia"/>
              </w:rPr>
            </w:pPr>
            <w:r>
              <w:rPr>
                <w:rFonts w:ascii="宋体" w:hAnsi="宋体" w:eastAsia="宋体"/>
                <w:color w:val="263442"/>
                <w:sz w:val="17"/>
              </w:rPr>
              <w:t>题设规则/模型约束</w:t>
            </w:r>
          </w:p>
        </w:tc>
        <w:tc>
          <w:tcPr>
            <w:tcW w:w="2600" w:type="dxa"/>
            <w:tcMar>
              <w:top w:w="56" w:type="dxa"/>
              <w:left w:w="110" w:type="dxa"/>
              <w:bottom w:w="56" w:type="dxa"/>
              <w:right w:w="110" w:type="dxa"/>
              <w:start w:w="78" w:type="dxa"/>
              <w:end w:w="78" w:type="dxa"/>
            </w:tcMar>
            <w:vAlign w:val="center"/>
            <w:shd w:val="clear" w:color="auto" w:fill="F7F9FB"/>
          </w:tcPr>
          <w:p w14:paraId="0E7C460B">
            <w:pPr>
              <w:keepLines/>
              <w:spacing w:after="0" w:line="240" w:lineRule="auto" w:before="0"/>
              <w:ind w:firstLine="0"/>
              <w:jc w:val="left"/>
              <w:rPr>
                <w:rFonts w:hint="eastAsia"/>
              </w:rPr>
            </w:pPr>
            <w:r>
              <w:rPr>
                <w:rFonts w:ascii="宋体" w:hAnsi="宋体" w:eastAsia="宋体"/>
                <w:color w:val="263442"/>
                <w:sz w:val="17"/>
              </w:rPr>
              <w:t>D级企业在问题一禁贷</w:t>
            </w:r>
          </w:p>
        </w:tc>
        <w:tc>
          <w:tcPr>
            <w:tcW w:w="4980" w:type="dxa"/>
            <w:tcMar>
              <w:top w:w="56" w:type="dxa"/>
              <w:left w:w="110" w:type="dxa"/>
              <w:bottom w:w="56" w:type="dxa"/>
              <w:right w:w="110" w:type="dxa"/>
              <w:start w:w="78" w:type="dxa"/>
              <w:end w:w="78" w:type="dxa"/>
            </w:tcMar>
            <w:vAlign w:val="center"/>
            <w:shd w:val="clear" w:color="auto" w:fill="F7F9FB"/>
          </w:tcPr>
          <w:p w14:paraId="5097BCFB">
            <w:pPr>
              <w:keepLines/>
              <w:spacing w:after="0" w:line="240" w:lineRule="auto" w:before="0"/>
              <w:ind w:firstLine="0"/>
              <w:jc w:val="center"/>
              <w:rPr>
                <w:rFonts w:hint="eastAsia"/>
              </w:rPr>
            </w:pPr>
            <w:r>
              <w:rPr>
                <w:rFonts w:ascii="宋体" w:hAnsi="宋体" w:eastAsia="宋体"/>
                <w:color w:val="263442"/>
                <w:sz w:val="17"/>
              </w:rPr>
              <w:t>附件1中24家D级企业全部违约，且题目要求结合信誉等级制定策略。</w:t>
            </w:r>
          </w:p>
        </w:tc>
      </w:tr>
      <w:tr w14:paraId="25AD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00" w:type="dxa"/>
            <w:tcMar>
              <w:top w:w="56" w:type="dxa"/>
              <w:left w:w="110" w:type="dxa"/>
              <w:bottom w:w="56" w:type="dxa"/>
              <w:right w:w="110" w:type="dxa"/>
              <w:start w:w="78" w:type="dxa"/>
              <w:end w:w="78" w:type="dxa"/>
            </w:tcMar>
            <w:vAlign w:val="center"/>
          </w:tcPr>
          <w:p w14:paraId="0D099730">
            <w:pPr>
              <w:keepLines/>
              <w:spacing w:after="0" w:line="240" w:lineRule="auto" w:before="0"/>
              <w:ind w:firstLine="0"/>
              <w:jc w:val="left"/>
              <w:rPr>
                <w:rFonts w:hint="eastAsia"/>
              </w:rPr>
            </w:pPr>
            <w:r>
              <w:rPr>
                <w:rFonts w:ascii="宋体" w:hAnsi="宋体" w:eastAsia="宋体"/>
                <w:color w:val="263442"/>
                <w:sz w:val="17"/>
              </w:rPr>
              <w:t>题面事实</w:t>
            </w:r>
          </w:p>
        </w:tc>
        <w:tc>
          <w:tcPr>
            <w:tcW w:w="2600" w:type="dxa"/>
            <w:tcMar>
              <w:top w:w="56" w:type="dxa"/>
              <w:left w:w="110" w:type="dxa"/>
              <w:bottom w:w="56" w:type="dxa"/>
              <w:right w:w="110" w:type="dxa"/>
              <w:start w:w="78" w:type="dxa"/>
              <w:end w:w="78" w:type="dxa"/>
            </w:tcMar>
            <w:vAlign w:val="center"/>
          </w:tcPr>
          <w:p w14:paraId="43F9CC94">
            <w:pPr>
              <w:keepLines/>
              <w:spacing w:after="0" w:line="240" w:lineRule="auto" w:before="0"/>
              <w:ind w:firstLine="0"/>
              <w:jc w:val="left"/>
              <w:rPr>
                <w:rFonts w:hint="eastAsia"/>
              </w:rPr>
            </w:pPr>
            <w:r>
              <w:rPr>
                <w:rFonts w:ascii="宋体" w:hAnsi="宋体" w:eastAsia="宋体"/>
                <w:color w:val="263442"/>
                <w:sz w:val="17"/>
              </w:rPr>
              <w:t>贷款期限为一年</w:t>
            </w:r>
          </w:p>
        </w:tc>
        <w:tc>
          <w:tcPr>
            <w:tcW w:w="4980" w:type="dxa"/>
            <w:tcMar>
              <w:top w:w="56" w:type="dxa"/>
              <w:left w:w="110" w:type="dxa"/>
              <w:bottom w:w="56" w:type="dxa"/>
              <w:right w:w="110" w:type="dxa"/>
              <w:start w:w="78" w:type="dxa"/>
              <w:end w:w="78" w:type="dxa"/>
            </w:tcMar>
            <w:vAlign w:val="center"/>
          </w:tcPr>
          <w:p w14:paraId="612A0FD2">
            <w:pPr>
              <w:keepLines/>
              <w:spacing w:after="0" w:line="240" w:lineRule="auto" w:before="0"/>
              <w:ind w:firstLine="0"/>
              <w:jc w:val="center"/>
              <w:rPr>
                <w:rFonts w:hint="eastAsia"/>
              </w:rPr>
            </w:pPr>
            <w:r>
              <w:rPr>
                <w:rFonts w:ascii="宋体" w:hAnsi="宋体" w:eastAsia="宋体"/>
                <w:color w:val="263442"/>
                <w:sz w:val="17"/>
              </w:rPr>
              <w:t>与题面一致，效益均按一年名义口径计算，不做跨期贴现。</w:t>
            </w:r>
          </w:p>
        </w:tc>
      </w:tr>
      <w:tr w14:paraId="2869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00" w:type="dxa"/>
            <w:tcMar>
              <w:top w:w="56" w:type="dxa"/>
              <w:left w:w="110" w:type="dxa"/>
              <w:bottom w:w="56" w:type="dxa"/>
              <w:right w:w="110" w:type="dxa"/>
              <w:start w:w="78" w:type="dxa"/>
              <w:end w:w="78" w:type="dxa"/>
            </w:tcMar>
            <w:vAlign w:val="center"/>
            <w:shd w:val="clear" w:color="auto" w:fill="F7F9FB"/>
          </w:tcPr>
          <w:p w14:paraId="1B3BBD71">
            <w:pPr>
              <w:keepLines/>
              <w:spacing w:after="0" w:line="240" w:lineRule="auto" w:before="0"/>
              <w:ind w:firstLine="0"/>
              <w:jc w:val="left"/>
              <w:rPr>
                <w:rFonts w:hint="eastAsia"/>
              </w:rPr>
            </w:pPr>
            <w:r>
              <w:rPr>
                <w:rFonts w:ascii="宋体" w:hAnsi="宋体" w:eastAsia="宋体"/>
                <w:color w:val="263442"/>
                <w:sz w:val="17"/>
              </w:rPr>
              <w:t>模型假设</w:t>
            </w:r>
          </w:p>
        </w:tc>
        <w:tc>
          <w:tcPr>
            <w:tcW w:w="2600" w:type="dxa"/>
            <w:tcMar>
              <w:top w:w="56" w:type="dxa"/>
              <w:left w:w="110" w:type="dxa"/>
              <w:bottom w:w="56" w:type="dxa"/>
              <w:right w:w="110" w:type="dxa"/>
              <w:start w:w="78" w:type="dxa"/>
              <w:end w:w="78" w:type="dxa"/>
            </w:tcMar>
            <w:vAlign w:val="center"/>
            <w:shd w:val="clear" w:color="auto" w:fill="F7F9FB"/>
          </w:tcPr>
          <w:p w14:paraId="5DDF5018">
            <w:pPr>
              <w:keepLines/>
              <w:spacing w:after="0" w:line="240" w:lineRule="auto" w:before="0"/>
              <w:ind w:firstLine="0"/>
              <w:jc w:val="left"/>
              <w:rPr>
                <w:rFonts w:hint="eastAsia"/>
              </w:rPr>
            </w:pPr>
            <w:r>
              <w:rPr>
                <w:rFonts w:ascii="宋体" w:hAnsi="宋体" w:eastAsia="宋体"/>
                <w:color w:val="263442"/>
                <w:sz w:val="17"/>
              </w:rPr>
              <w:t>主情景 LGD=1</w:t>
            </w:r>
          </w:p>
        </w:tc>
        <w:tc>
          <w:tcPr>
            <w:tcW w:w="4980" w:type="dxa"/>
            <w:tcMar>
              <w:top w:w="56" w:type="dxa"/>
              <w:left w:w="110" w:type="dxa"/>
              <w:bottom w:w="56" w:type="dxa"/>
              <w:right w:w="110" w:type="dxa"/>
              <w:start w:w="78" w:type="dxa"/>
              <w:end w:w="78" w:type="dxa"/>
            </w:tcMar>
            <w:vAlign w:val="center"/>
            <w:shd w:val="clear" w:color="auto" w:fill="F7F9FB"/>
          </w:tcPr>
          <w:p w14:paraId="5B10A3D3">
            <w:pPr>
              <w:keepLines/>
              <w:spacing w:after="0" w:line="240" w:lineRule="auto" w:before="0"/>
              <w:ind w:firstLine="0"/>
              <w:jc w:val="center"/>
              <w:rPr>
                <w:rFonts w:hint="eastAsia"/>
              </w:rPr>
            </w:pPr>
            <w:r>
              <w:rPr>
                <w:rFonts w:ascii="宋体" w:hAnsi="宋体" w:eastAsia="宋体"/>
                <w:color w:val="263442"/>
                <w:sz w:val="17"/>
              </w:rPr>
              <w:t>附件没有抵押物和回收率信息，采用保守全损口径，并在0.4—1.0范围做敏感性。</w:t>
            </w:r>
          </w:p>
        </w:tc>
      </w:tr>
      <w:tr w14:paraId="6913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00" w:type="dxa"/>
            <w:tcMar>
              <w:top w:w="56" w:type="dxa"/>
              <w:left w:w="110" w:type="dxa"/>
              <w:bottom w:w="56" w:type="dxa"/>
              <w:right w:w="110" w:type="dxa"/>
              <w:start w:w="78" w:type="dxa"/>
              <w:end w:w="78" w:type="dxa"/>
            </w:tcMar>
            <w:vAlign w:val="center"/>
          </w:tcPr>
          <w:p w14:paraId="7BFF499A">
            <w:pPr>
              <w:keepLines/>
              <w:spacing w:after="0" w:line="240" w:lineRule="auto" w:before="0"/>
              <w:ind w:firstLine="0"/>
              <w:jc w:val="left"/>
              <w:rPr>
                <w:rFonts w:hint="eastAsia"/>
              </w:rPr>
            </w:pPr>
            <w:r>
              <w:rPr>
                <w:rFonts w:ascii="宋体" w:hAnsi="宋体" w:eastAsia="宋体"/>
                <w:color w:val="263442"/>
                <w:sz w:val="17"/>
              </w:rPr>
              <w:t>风险偏好参数</w:t>
            </w:r>
          </w:p>
        </w:tc>
        <w:tc>
          <w:tcPr>
            <w:tcW w:w="2600" w:type="dxa"/>
            <w:tcMar>
              <w:top w:w="56" w:type="dxa"/>
              <w:left w:w="110" w:type="dxa"/>
              <w:bottom w:w="56" w:type="dxa"/>
              <w:right w:w="110" w:type="dxa"/>
              <w:start w:w="78" w:type="dxa"/>
              <w:end w:w="78" w:type="dxa"/>
            </w:tcMar>
            <w:vAlign w:val="center"/>
          </w:tcPr>
          <w:p w14:paraId="0BB79A6D">
            <w:pPr>
              <w:keepLines/>
              <w:spacing w:after="0" w:line="240" w:lineRule="auto" w:before="0"/>
              <w:ind w:firstLine="0"/>
              <w:jc w:val="left"/>
              <w:rPr>
                <w:rFonts w:hint="eastAsia"/>
              </w:rPr>
            </w:pPr>
            <w:r>
              <w:rPr>
                <w:rFonts w:ascii="宋体" w:hAnsi="宋体" w:eastAsia="宋体"/>
                <w:color w:val="263442"/>
                <w:sz w:val="17"/>
              </w:rPr>
              <w:t>组合风险敞口上限为1.30%</w:t>
            </w:r>
          </w:p>
        </w:tc>
        <w:tc>
          <w:tcPr>
            <w:tcW w:w="4980" w:type="dxa"/>
            <w:tcMar>
              <w:top w:w="56" w:type="dxa"/>
              <w:left w:w="110" w:type="dxa"/>
              <w:bottom w:w="56" w:type="dxa"/>
              <w:right w:w="110" w:type="dxa"/>
              <w:start w:w="78" w:type="dxa"/>
              <w:end w:w="78" w:type="dxa"/>
            </w:tcMar>
            <w:vAlign w:val="center"/>
          </w:tcPr>
          <w:p w14:paraId="1DABF648">
            <w:pPr>
              <w:keepLines/>
              <w:spacing w:after="0" w:line="240" w:lineRule="auto" w:before="0"/>
              <w:ind w:firstLine="0"/>
              <w:jc w:val="center"/>
              <w:rPr>
                <w:rFonts w:hint="eastAsia"/>
              </w:rPr>
            </w:pPr>
            <w:r>
              <w:rPr>
                <w:rFonts w:ascii="宋体" w:hAnsi="宋体" w:eastAsia="宋体"/>
                <w:color w:val="263442"/>
                <w:sz w:val="17"/>
              </w:rPr>
              <w:t>题面没有给出银行风险偏好；该值是主决策参数，另给1.28%—1.40%前沿。</w:t>
            </w:r>
          </w:p>
        </w:tc>
      </w:tr>
      <w:tr w14:paraId="024E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00" w:type="dxa"/>
            <w:tcMar>
              <w:top w:w="56" w:type="dxa"/>
              <w:left w:w="110" w:type="dxa"/>
              <w:bottom w:w="56" w:type="dxa"/>
              <w:right w:w="110" w:type="dxa"/>
              <w:start w:w="78" w:type="dxa"/>
              <w:end w:w="78" w:type="dxa"/>
            </w:tcMar>
            <w:vAlign w:val="center"/>
            <w:shd w:val="clear" w:color="auto" w:fill="F7F9FB"/>
          </w:tcPr>
          <w:p w14:paraId="3ACC3CCA">
            <w:pPr>
              <w:keepLines/>
              <w:spacing w:after="0" w:line="240" w:lineRule="auto" w:before="0"/>
              <w:ind w:firstLine="0"/>
              <w:jc w:val="left"/>
              <w:rPr>
                <w:rFonts w:hint="eastAsia"/>
              </w:rPr>
            </w:pPr>
            <w:r>
              <w:rPr>
                <w:rFonts w:ascii="宋体" w:hAnsi="宋体" w:eastAsia="宋体"/>
                <w:color w:val="263442"/>
                <w:sz w:val="17"/>
              </w:rPr>
              <w:t>情景设定</w:t>
            </w:r>
          </w:p>
        </w:tc>
        <w:tc>
          <w:tcPr>
            <w:tcW w:w="2600" w:type="dxa"/>
            <w:tcMar>
              <w:top w:w="56" w:type="dxa"/>
              <w:left w:w="110" w:type="dxa"/>
              <w:bottom w:w="56" w:type="dxa"/>
              <w:right w:w="110" w:type="dxa"/>
              <w:start w:w="78" w:type="dxa"/>
              <w:end w:w="78" w:type="dxa"/>
            </w:tcMar>
            <w:vAlign w:val="center"/>
            <w:shd w:val="clear" w:color="auto" w:fill="F7F9FB"/>
          </w:tcPr>
          <w:p w14:paraId="4844EDFE">
            <w:pPr>
              <w:keepLines/>
              <w:spacing w:after="0" w:line="240" w:lineRule="auto" w:before="0"/>
              <w:ind w:firstLine="0"/>
              <w:jc w:val="left"/>
              <w:rPr>
                <w:rFonts w:hint="eastAsia"/>
              </w:rPr>
            </w:pPr>
            <w:r>
              <w:rPr>
                <w:rFonts w:ascii="宋体" w:hAnsi="宋体" w:eastAsia="宋体"/>
                <w:color w:val="263442"/>
                <w:sz w:val="17"/>
              </w:rPr>
              <w:t>压力系数不是疫情观测值</w:t>
            </w:r>
          </w:p>
        </w:tc>
        <w:tc>
          <w:tcPr>
            <w:tcW w:w="4980" w:type="dxa"/>
            <w:tcMar>
              <w:top w:w="56" w:type="dxa"/>
              <w:left w:w="110" w:type="dxa"/>
              <w:bottom w:w="56" w:type="dxa"/>
              <w:right w:w="110" w:type="dxa"/>
              <w:start w:w="78" w:type="dxa"/>
              <w:end w:w="78" w:type="dxa"/>
            </w:tcMar>
            <w:vAlign w:val="center"/>
            <w:shd w:val="clear" w:color="auto" w:fill="F7F9FB"/>
          </w:tcPr>
          <w:p w14:paraId="176B1699">
            <w:pPr>
              <w:keepLines/>
              <w:spacing w:after="0" w:line="240" w:lineRule="auto" w:before="0"/>
              <w:ind w:firstLine="0"/>
              <w:jc w:val="center"/>
              <w:rPr>
                <w:rFonts w:hint="eastAsia"/>
              </w:rPr>
            </w:pPr>
            <w:r>
              <w:rPr>
                <w:rFonts w:ascii="宋体" w:hAnsi="宋体" w:eastAsia="宋体"/>
                <w:color w:val="263442"/>
                <w:sz w:val="17"/>
              </w:rPr>
              <w:t>附件缺少行业标签和实际冲击损失，情景只用于压力测试。</w:t>
            </w:r>
          </w:p>
        </w:tc>
      </w:tr>
    </w:tbl>
    <w:p w14:paraId="1D4CF338">
      <w:pPr>
        <w:widowControl/>
        <w:spacing w:after="60" w:line="348" w:lineRule="auto" w:before="0"/>
        <w:ind w:firstLine="420"/>
        <w:jc w:val="both"/>
        <w:rPr>
          <w:rFonts w:hint="eastAsia"/>
        </w:rPr>
      </w:pPr>
      <w:r>
        <w:rPr>
          <w:rFonts w:ascii="宋体" w:hAnsi="宋体" w:eastAsia="宋体"/>
          <w:color w:val="263442"/>
          <w:sz w:val="21"/>
        </w:rPr>
        <w:t>式（1）—（11）中反复使用的全局符号、索引、派生量及其单位/范围见表3；aᵢⱼ 的精确定义尚未在本文直接给出，暂不补写。</w:t>
      </w:r>
    </w:p>
    <w:p w14:paraId="2C1B67E4">
      <w:pPr>
        <w:pStyle w:val="4"/>
        <w:keepNext/>
        <w:keepLines/>
        <w:spacing w:before="200" w:after="80"/>
        <w:ind w:firstLine="0"/>
      </w:pPr>
      <w:r>
        <w:rPr>
          <w:rFonts w:ascii="微软雅黑" w:hAnsi="微软雅黑" w:eastAsia="微软雅黑"/>
          <w:b/>
          <w:color w:val="2878B5"/>
          <w:sz w:val="25"/>
        </w:rPr>
        <w:t>2.3  主要符号、索引与范围</w:t>
      </w:r>
    </w:p>
    <w:p w14:paraId="326D5751">
      <w:pPr>
        <w:pStyle w:val="15"/>
        <w:keepNext/>
        <w:keepLines/>
        <w:spacing w:before="40" w:after="120"/>
        <w:ind w:firstLine="0"/>
        <w:jc w:val="center"/>
        <w:rPr>
          <w:rFonts w:hint="eastAsia"/>
        </w:rPr>
      </w:pPr>
      <w:r>
        <w:rPr>
          <w:rFonts w:ascii="宋体" w:hAnsi="宋体" w:eastAsia="宋体"/>
          <w:color w:val="536273"/>
          <w:sz w:val="18"/>
        </w:rPr>
        <w:t>表3  主要符号、索引及单位/范围</w:t>
      </w:r>
    </w:p>
    <w:tbl>
      <w:tblPr>
        <w:tblStyle w:val="33"/>
        <w:tblW w:w="0" w:type="auto"/>
        <w:jc w:val="center"/>
        <w:tblBorders>
          <w:top w:val="single" w:color="AAB8C6" w:sz="4" w:space="0"/>
          <w:left w:val="single" w:color="AAB8C6" w:sz="4" w:space="0"/>
          <w:bottom w:val="single" w:color="AAB8C6" w:sz="4" w:space="0"/>
          <w:right w:val="single" w:color="AAB8C6" w:sz="4" w:space="0"/>
          <w:insideH w:val="single" w:color="AAB8C6" w:sz="4" w:space="0"/>
          <w:insideV w:val="single" w:color="AAB8C6" w:sz="4" w:space="0"/>
        </w:tblBorders>
        <w:tblLayout w:type="autofit"/>
        <w:tblCellMar>
          <w:top w:w="0" w:type="dxa"/>
          <w:left w:w="108" w:type="dxa"/>
          <w:bottom w:w="0" w:type="dxa"/>
          <w:right w:w="108" w:type="dxa"/>
        </w:tblCellMar>
      </w:tblPr>
      <w:tblGrid>
        <w:gridCol w:w="1699"/>
        <w:gridCol w:w="1483"/>
        <w:gridCol w:w="4536"/>
        <w:gridCol w:w="1584"/>
      </w:tblGrid>
      <w:tr w14:paraId="5214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99" w:type="dxa"/>
            <w:tcMar>
              <w:top w:w="34" w:type="dxa"/>
              <w:left w:w="90" w:type="dxa"/>
              <w:bottom w:w="34" w:type="dxa"/>
              <w:right w:w="90" w:type="dxa"/>
              <w:start w:w="62" w:type="dxa"/>
              <w:end w:w="62" w:type="dxa"/>
            </w:tcMar>
            <w:vAlign w:val="center"/>
            <w:shd w:val="clear" w:color="auto" w:fill="EAF0F6"/>
          </w:tcPr>
          <w:p w14:paraId="27BB8ED3">
            <w:pPr>
              <w:keepNext/>
              <w:keepLines/>
              <w:spacing w:after="0" w:line="240" w:lineRule="auto" w:before="0"/>
              <w:jc w:val="center"/>
              <w:rPr>
                <w:rFonts w:hint="eastAsia"/>
              </w:rPr>
            </w:pPr>
            <w:r>
              <w:rPr>
                <w:rFonts w:ascii="宋体" w:hAnsi="宋体" w:eastAsia="宋体"/>
                <w:b/>
                <w:color w:val="263442"/>
                <w:sz w:val="15"/>
              </w:rPr>
              <w:t>类别</w:t>
            </w:r>
          </w:p>
        </w:tc>
        <w:tc>
          <w:tcPr>
            <w:tcW w:w="1483" w:type="dxa"/>
            <w:tcMar>
              <w:top w:w="34" w:type="dxa"/>
              <w:left w:w="90" w:type="dxa"/>
              <w:bottom w:w="34" w:type="dxa"/>
              <w:right w:w="90" w:type="dxa"/>
              <w:start w:w="62" w:type="dxa"/>
              <w:end w:w="62" w:type="dxa"/>
            </w:tcMar>
            <w:vAlign w:val="center"/>
            <w:shd w:val="clear" w:color="auto" w:fill="EAF0F6"/>
          </w:tcPr>
          <w:p w14:paraId="61630AAB">
            <w:pPr>
              <w:keepNext/>
              <w:keepLines/>
              <w:spacing w:after="0" w:line="240" w:lineRule="auto" w:before="0"/>
              <w:jc w:val="center"/>
              <w:rPr>
                <w:rFonts w:hint="eastAsia"/>
              </w:rPr>
            </w:pPr>
            <w:r>
              <w:rPr>
                <w:rFonts w:ascii="宋体" w:hAnsi="宋体" w:eastAsia="宋体"/>
                <w:b/>
                <w:color w:val="263442"/>
                <w:sz w:val="15"/>
              </w:rPr>
              <w:t>符号</w:t>
            </w:r>
          </w:p>
        </w:tc>
        <w:tc>
          <w:tcPr>
            <w:tcW w:w="4536" w:type="dxa"/>
            <w:tcMar>
              <w:top w:w="34" w:type="dxa"/>
              <w:left w:w="90" w:type="dxa"/>
              <w:bottom w:w="34" w:type="dxa"/>
              <w:right w:w="90" w:type="dxa"/>
              <w:start w:w="62" w:type="dxa"/>
              <w:end w:w="62" w:type="dxa"/>
            </w:tcMar>
            <w:vAlign w:val="center"/>
            <w:shd w:val="clear" w:color="auto" w:fill="EAF0F6"/>
          </w:tcPr>
          <w:p w14:paraId="2F9D300B">
            <w:pPr>
              <w:keepNext/>
              <w:keepLines/>
              <w:spacing w:after="0" w:line="240" w:lineRule="auto" w:before="0"/>
              <w:jc w:val="center"/>
              <w:rPr>
                <w:rFonts w:hint="eastAsia"/>
              </w:rPr>
            </w:pPr>
            <w:r>
              <w:rPr>
                <w:rFonts w:ascii="宋体" w:hAnsi="宋体" w:eastAsia="宋体"/>
                <w:b/>
                <w:color w:val="263442"/>
                <w:sz w:val="15"/>
              </w:rPr>
              <w:t>含义</w:t>
            </w:r>
          </w:p>
        </w:tc>
        <w:tc>
          <w:tcPr>
            <w:tcW w:w="1584" w:type="dxa"/>
            <w:tcMar>
              <w:top w:w="34" w:type="dxa"/>
              <w:left w:w="90" w:type="dxa"/>
              <w:bottom w:w="34" w:type="dxa"/>
              <w:right w:w="90" w:type="dxa"/>
              <w:start w:w="62" w:type="dxa"/>
              <w:end w:w="62" w:type="dxa"/>
            </w:tcMar>
            <w:vAlign w:val="center"/>
            <w:shd w:val="clear" w:color="auto" w:fill="EAF0F6"/>
          </w:tcPr>
          <w:p w14:paraId="3C48DB61">
            <w:pPr>
              <w:keepNext/>
              <w:keepLines/>
              <w:spacing w:after="0" w:line="240" w:lineRule="auto" w:before="0"/>
              <w:jc w:val="center"/>
              <w:rPr>
                <w:rFonts w:hint="eastAsia"/>
              </w:rPr>
            </w:pPr>
            <w:r>
              <w:rPr>
                <w:rFonts w:ascii="宋体" w:hAnsi="宋体" w:eastAsia="宋体"/>
                <w:b/>
                <w:color w:val="263442"/>
                <w:sz w:val="15"/>
              </w:rPr>
              <w:t>单位/范围</w:t>
            </w:r>
          </w:p>
        </w:tc>
      </w:tr>
      <w:tr w14:paraId="32DD6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09BCEDC0">
            <w:pPr>
              <w:keepLines/>
              <w:spacing w:after="0" w:line="240" w:lineRule="auto" w:before="0"/>
              <w:jc w:val="left"/>
              <w:rPr>
                <w:rFonts w:hint="eastAsia"/>
              </w:rPr>
            </w:pPr>
            <w:r>
              <w:rPr>
                <w:rFonts w:ascii="宋体" w:hAnsi="宋体" w:eastAsia="宋体"/>
                <w:color w:val="263442"/>
                <w:sz w:val="15"/>
              </w:rPr>
              <w:t>评级概率与风险量</w:t>
            </w:r>
          </w:p>
        </w:tc>
        <w:tc>
          <w:tcPr>
            <w:tcW w:w="1483" w:type="dxa"/>
            <w:tcMar>
              <w:top w:w="34" w:type="dxa"/>
              <w:left w:w="90" w:type="dxa"/>
              <w:bottom w:w="34" w:type="dxa"/>
              <w:right w:w="90" w:type="dxa"/>
              <w:start w:w="62" w:type="dxa"/>
              <w:end w:w="62" w:type="dxa"/>
            </w:tcMar>
            <w:vAlign w:val="center"/>
          </w:tcPr>
          <w:p w14:paraId="2FF9936D">
            <w:pPr>
              <w:keepLines/>
              <w:spacing w:after="0" w:line="240" w:lineRule="auto" w:before="0"/>
              <w:jc w:val="center"/>
              <w:rPr>
                <w:rFonts w:hint="eastAsia"/>
              </w:rPr>
            </w:pPr>
            <w:r>
              <w:rPr>
                <w:rFonts w:ascii="宋体" w:hAnsi="宋体" w:eastAsia="宋体"/>
                <w:color w:val="263442"/>
                <w:sz w:val="15"/>
              </w:rPr>
              <w:t>pᵢk</w:t>
            </w:r>
          </w:p>
        </w:tc>
        <w:tc>
          <w:tcPr>
            <w:tcW w:w="4536" w:type="dxa"/>
            <w:tcMar>
              <w:top w:w="34" w:type="dxa"/>
              <w:left w:w="90" w:type="dxa"/>
              <w:bottom w:w="34" w:type="dxa"/>
              <w:right w:w="90" w:type="dxa"/>
              <w:start w:w="62" w:type="dxa"/>
              <w:end w:w="62" w:type="dxa"/>
            </w:tcMar>
            <w:vAlign w:val="center"/>
          </w:tcPr>
          <w:p w14:paraId="14998AAD">
            <w:pPr>
              <w:keepLines/>
              <w:spacing w:after="0" w:line="240" w:lineRule="auto" w:before="0"/>
              <w:jc w:val="left"/>
              <w:rPr>
                <w:rFonts w:hint="eastAsia"/>
              </w:rPr>
            </w:pPr>
            <w:r>
              <w:rPr>
                <w:rFonts w:ascii="宋体" w:hAnsi="宋体" w:eastAsia="宋体"/>
                <w:color w:val="263442"/>
                <w:sz w:val="15"/>
              </w:rPr>
              <w:t>企业 i 属于评级 k 的融合概率</w:t>
            </w:r>
          </w:p>
        </w:tc>
        <w:tc>
          <w:tcPr>
            <w:tcW w:w="1584" w:type="dxa"/>
            <w:tcMar>
              <w:top w:w="34" w:type="dxa"/>
              <w:left w:w="90" w:type="dxa"/>
              <w:bottom w:w="34" w:type="dxa"/>
              <w:right w:w="90" w:type="dxa"/>
              <w:start w:w="62" w:type="dxa"/>
              <w:end w:w="62" w:type="dxa"/>
            </w:tcMar>
            <w:vAlign w:val="center"/>
          </w:tcPr>
          <w:p w14:paraId="6169CCA9">
            <w:pPr>
              <w:keepLines/>
              <w:spacing w:after="0" w:line="240" w:lineRule="auto" w:before="0"/>
              <w:jc w:val="center"/>
              <w:rPr>
                <w:rFonts w:hint="eastAsia"/>
              </w:rPr>
            </w:pPr>
            <w:r>
              <w:rPr>
                <w:rFonts w:ascii="宋体" w:hAnsi="宋体" w:eastAsia="宋体"/>
                <w:color w:val="263442"/>
                <w:sz w:val="15"/>
              </w:rPr>
              <w:t>[0,1]</w:t>
            </w:r>
          </w:p>
        </w:tc>
      </w:tr>
      <w:tr w14:paraId="6BE5D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73377BF3">
            <w:pPr>
              <w:keepLines/>
              <w:spacing w:after="0" w:line="240" w:lineRule="auto" w:before="0"/>
              <w:jc w:val="left"/>
              <w:rPr>
                <w:rFonts w:hint="eastAsia"/>
              </w:rPr>
            </w:pPr>
            <w:r>
              <w:rPr>
                <w:rFonts w:ascii="宋体" w:hAnsi="宋体" w:eastAsia="宋体"/>
                <w:color w:val="263442"/>
                <w:sz w:val="15"/>
              </w:rPr>
              <w:t>评级概率与风险量</w:t>
            </w:r>
          </w:p>
        </w:tc>
        <w:tc>
          <w:tcPr>
            <w:tcW w:w="1483" w:type="dxa"/>
            <w:tcMar>
              <w:top w:w="34" w:type="dxa"/>
              <w:left w:w="90" w:type="dxa"/>
              <w:bottom w:w="34" w:type="dxa"/>
              <w:right w:w="90" w:type="dxa"/>
              <w:start w:w="62" w:type="dxa"/>
              <w:end w:w="62" w:type="dxa"/>
            </w:tcMar>
            <w:vAlign w:val="center"/>
            <w:shd w:val="clear" w:color="auto" w:fill="F7F9FB"/>
          </w:tcPr>
          <w:p w14:paraId="329B1B34">
            <w:pPr>
              <w:keepLines/>
              <w:spacing w:after="0" w:line="240" w:lineRule="auto" w:before="0"/>
              <w:jc w:val="center"/>
              <w:rPr>
                <w:rFonts w:hint="eastAsia"/>
              </w:rPr>
            </w:pPr>
            <w:r>
              <w:rPr>
                <w:rFonts w:ascii="宋体" w:hAnsi="宋体" w:eastAsia="宋体"/>
                <w:color w:val="263442"/>
                <w:sz w:val="15"/>
              </w:rPr>
              <w:t>CRIᵢ</w:t>
            </w:r>
          </w:p>
        </w:tc>
        <w:tc>
          <w:tcPr>
            <w:tcW w:w="4536" w:type="dxa"/>
            <w:tcMar>
              <w:top w:w="34" w:type="dxa"/>
              <w:left w:w="90" w:type="dxa"/>
              <w:bottom w:w="34" w:type="dxa"/>
              <w:right w:w="90" w:type="dxa"/>
              <w:start w:w="62" w:type="dxa"/>
              <w:end w:w="62" w:type="dxa"/>
            </w:tcMar>
            <w:vAlign w:val="center"/>
            <w:shd w:val="clear" w:color="auto" w:fill="F7F9FB"/>
          </w:tcPr>
          <w:p w14:paraId="036F7289">
            <w:pPr>
              <w:keepLines/>
              <w:spacing w:after="0" w:line="240" w:lineRule="auto" w:before="0"/>
              <w:jc w:val="left"/>
              <w:rPr>
                <w:rFonts w:hint="eastAsia"/>
              </w:rPr>
            </w:pPr>
            <w:r>
              <w:rPr>
                <w:rFonts w:ascii="宋体" w:hAnsi="宋体" w:eastAsia="宋体"/>
                <w:color w:val="263442"/>
                <w:sz w:val="15"/>
              </w:rPr>
              <w:t>企业 i 的信用风险指数</w:t>
            </w:r>
          </w:p>
        </w:tc>
        <w:tc>
          <w:tcPr>
            <w:tcW w:w="1584" w:type="dxa"/>
            <w:tcMar>
              <w:top w:w="34" w:type="dxa"/>
              <w:left w:w="90" w:type="dxa"/>
              <w:bottom w:w="34" w:type="dxa"/>
              <w:right w:w="90" w:type="dxa"/>
              <w:start w:w="62" w:type="dxa"/>
              <w:end w:w="62" w:type="dxa"/>
            </w:tcMar>
            <w:vAlign w:val="center"/>
            <w:shd w:val="clear" w:color="auto" w:fill="F7F9FB"/>
          </w:tcPr>
          <w:p w14:paraId="6589A0AC">
            <w:pPr>
              <w:keepLines/>
              <w:spacing w:after="0" w:line="240" w:lineRule="auto" w:before="0"/>
              <w:jc w:val="center"/>
              <w:rPr>
                <w:rFonts w:hint="eastAsia"/>
              </w:rPr>
            </w:pPr>
            <w:r>
              <w:rPr>
                <w:rFonts w:ascii="宋体" w:hAnsi="宋体" w:eastAsia="宋体"/>
                <w:color w:val="263442"/>
                <w:sz w:val="15"/>
              </w:rPr>
              <w:t>[0,100]</w:t>
            </w:r>
          </w:p>
        </w:tc>
      </w:tr>
      <w:tr w14:paraId="1496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6C209301">
            <w:pPr>
              <w:keepLines/>
              <w:spacing w:after="0" w:line="240" w:lineRule="auto" w:before="0"/>
              <w:jc w:val="left"/>
              <w:rPr>
                <w:rFonts w:hint="eastAsia"/>
              </w:rPr>
            </w:pPr>
            <w:r>
              <w:rPr>
                <w:rFonts w:ascii="宋体" w:hAnsi="宋体" w:eastAsia="宋体"/>
                <w:color w:val="263442"/>
                <w:sz w:val="15"/>
              </w:rPr>
              <w:t>评级概率与风险量</w:t>
            </w:r>
          </w:p>
        </w:tc>
        <w:tc>
          <w:tcPr>
            <w:tcW w:w="1483" w:type="dxa"/>
            <w:tcMar>
              <w:top w:w="34" w:type="dxa"/>
              <w:left w:w="90" w:type="dxa"/>
              <w:bottom w:w="34" w:type="dxa"/>
              <w:right w:w="90" w:type="dxa"/>
              <w:start w:w="62" w:type="dxa"/>
              <w:end w:w="62" w:type="dxa"/>
            </w:tcMar>
            <w:vAlign w:val="center"/>
          </w:tcPr>
          <w:p w14:paraId="38B49176">
            <w:pPr>
              <w:keepLines/>
              <w:spacing w:after="0" w:line="240" w:lineRule="auto" w:before="0"/>
              <w:jc w:val="center"/>
              <w:rPr>
                <w:rFonts w:hint="eastAsia"/>
              </w:rPr>
            </w:pPr>
            <w:r>
              <w:rPr>
                <w:rFonts w:ascii="宋体" w:hAnsi="宋体" w:eastAsia="宋体"/>
                <w:color w:val="263442"/>
                <w:sz w:val="15"/>
              </w:rPr>
              <w:t>ρᵢ</w:t>
            </w:r>
          </w:p>
        </w:tc>
        <w:tc>
          <w:tcPr>
            <w:tcW w:w="4536" w:type="dxa"/>
            <w:tcMar>
              <w:top w:w="34" w:type="dxa"/>
              <w:left w:w="90" w:type="dxa"/>
              <w:bottom w:w="34" w:type="dxa"/>
              <w:right w:w="90" w:type="dxa"/>
              <w:start w:w="62" w:type="dxa"/>
              <w:end w:w="62" w:type="dxa"/>
            </w:tcMar>
            <w:vAlign w:val="center"/>
          </w:tcPr>
          <w:p w14:paraId="023D3EB4">
            <w:pPr>
              <w:keepLines/>
              <w:spacing w:after="0" w:line="240" w:lineRule="auto" w:before="0"/>
              <w:jc w:val="left"/>
              <w:rPr>
                <w:rFonts w:hint="eastAsia"/>
              </w:rPr>
            </w:pPr>
            <w:r>
              <w:rPr>
                <w:rFonts w:ascii="宋体" w:hAnsi="宋体" w:eastAsia="宋体"/>
                <w:color w:val="263442"/>
                <w:sz w:val="15"/>
              </w:rPr>
              <w:t>由评级概率映射的风险损失尺度</w:t>
            </w:r>
          </w:p>
        </w:tc>
        <w:tc>
          <w:tcPr>
            <w:tcW w:w="1584" w:type="dxa"/>
            <w:tcMar>
              <w:top w:w="34" w:type="dxa"/>
              <w:left w:w="90" w:type="dxa"/>
              <w:bottom w:w="34" w:type="dxa"/>
              <w:right w:w="90" w:type="dxa"/>
              <w:start w:w="62" w:type="dxa"/>
              <w:end w:w="62" w:type="dxa"/>
            </w:tcMar>
            <w:vAlign w:val="center"/>
          </w:tcPr>
          <w:p w14:paraId="029B22E9">
            <w:pPr>
              <w:keepLines/>
              <w:spacing w:after="0" w:line="240" w:lineRule="auto" w:before="0"/>
              <w:jc w:val="center"/>
              <w:rPr>
                <w:rFonts w:hint="eastAsia"/>
              </w:rPr>
            </w:pPr>
            <w:r>
              <w:rPr>
                <w:rFonts w:ascii="宋体" w:hAnsi="宋体" w:eastAsia="宋体"/>
                <w:color w:val="263442"/>
                <w:sz w:val="15"/>
              </w:rPr>
              <w:t>[0,1]</w:t>
            </w:r>
          </w:p>
        </w:tc>
      </w:tr>
      <w:tr w14:paraId="70C34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7F495F76">
            <w:pPr>
              <w:keepLines/>
              <w:spacing w:after="0" w:line="240" w:lineRule="auto" w:before="0"/>
              <w:jc w:val="left"/>
              <w:rPr>
                <w:rFonts w:hint="eastAsia"/>
              </w:rPr>
            </w:pPr>
            <w:r>
              <w:rPr>
                <w:rFonts w:ascii="宋体" w:hAnsi="宋体" w:eastAsia="宋体"/>
                <w:color w:val="263442"/>
                <w:sz w:val="15"/>
              </w:rPr>
              <w:t>利率响应与效益量</w:t>
            </w:r>
          </w:p>
        </w:tc>
        <w:tc>
          <w:tcPr>
            <w:tcW w:w="1483" w:type="dxa"/>
            <w:tcMar>
              <w:top w:w="34" w:type="dxa"/>
              <w:left w:w="90" w:type="dxa"/>
              <w:bottom w:w="34" w:type="dxa"/>
              <w:right w:w="90" w:type="dxa"/>
              <w:start w:w="62" w:type="dxa"/>
              <w:end w:w="62" w:type="dxa"/>
            </w:tcMar>
            <w:vAlign w:val="center"/>
            <w:shd w:val="clear" w:color="auto" w:fill="F7F9FB"/>
          </w:tcPr>
          <w:p w14:paraId="3CE0390F">
            <w:pPr>
              <w:keepLines/>
              <w:spacing w:after="0" w:line="240" w:lineRule="auto" w:before="0"/>
              <w:jc w:val="center"/>
              <w:rPr>
                <w:rFonts w:hint="eastAsia"/>
              </w:rPr>
            </w:pPr>
            <w:r>
              <w:rPr>
                <w:rFonts w:ascii="宋体" w:hAnsi="宋体" w:eastAsia="宋体"/>
                <w:color w:val="263442"/>
                <w:sz w:val="15"/>
              </w:rPr>
              <w:t>ℓᵢ(r)</w:t>
            </w:r>
          </w:p>
        </w:tc>
        <w:tc>
          <w:tcPr>
            <w:tcW w:w="4536" w:type="dxa"/>
            <w:tcMar>
              <w:top w:w="34" w:type="dxa"/>
              <w:left w:w="90" w:type="dxa"/>
              <w:bottom w:w="34" w:type="dxa"/>
              <w:right w:w="90" w:type="dxa"/>
              <w:start w:w="62" w:type="dxa"/>
              <w:end w:w="62" w:type="dxa"/>
            </w:tcMar>
            <w:vAlign w:val="center"/>
            <w:shd w:val="clear" w:color="auto" w:fill="F7F9FB"/>
          </w:tcPr>
          <w:p w14:paraId="00F9BA36">
            <w:pPr>
              <w:keepLines/>
              <w:spacing w:after="0" w:line="240" w:lineRule="auto" w:before="0"/>
              <w:jc w:val="left"/>
              <w:rPr>
                <w:rFonts w:hint="eastAsia"/>
              </w:rPr>
            </w:pPr>
            <w:r>
              <w:rPr>
                <w:rFonts w:ascii="宋体" w:hAnsi="宋体" w:eastAsia="宋体"/>
                <w:color w:val="263442"/>
                <w:sz w:val="15"/>
              </w:rPr>
              <w:t>利率 r 下企业 i 的客户流失率</w:t>
            </w:r>
          </w:p>
        </w:tc>
        <w:tc>
          <w:tcPr>
            <w:tcW w:w="1584" w:type="dxa"/>
            <w:tcMar>
              <w:top w:w="34" w:type="dxa"/>
              <w:left w:w="90" w:type="dxa"/>
              <w:bottom w:w="34" w:type="dxa"/>
              <w:right w:w="90" w:type="dxa"/>
              <w:start w:w="62" w:type="dxa"/>
              <w:end w:w="62" w:type="dxa"/>
            </w:tcMar>
            <w:vAlign w:val="center"/>
            <w:shd w:val="clear" w:color="auto" w:fill="F7F9FB"/>
          </w:tcPr>
          <w:p w14:paraId="07696138">
            <w:pPr>
              <w:keepLines/>
              <w:spacing w:after="0" w:line="240" w:lineRule="auto" w:before="0"/>
              <w:jc w:val="center"/>
              <w:rPr>
                <w:rFonts w:hint="eastAsia"/>
              </w:rPr>
            </w:pPr>
            <w:r>
              <w:rPr>
                <w:rFonts w:ascii="宋体" w:hAnsi="宋体" w:eastAsia="宋体"/>
                <w:color w:val="263442"/>
                <w:sz w:val="15"/>
              </w:rPr>
              <w:t>[0,1]</w:t>
            </w:r>
          </w:p>
        </w:tc>
      </w:tr>
      <w:tr w14:paraId="2AC5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0F522835">
            <w:pPr>
              <w:keepLines/>
              <w:spacing w:after="0" w:line="240" w:lineRule="auto" w:before="0"/>
              <w:jc w:val="left"/>
              <w:rPr>
                <w:rFonts w:hint="eastAsia"/>
              </w:rPr>
            </w:pPr>
            <w:r>
              <w:rPr>
                <w:rFonts w:ascii="宋体" w:hAnsi="宋体" w:eastAsia="宋体"/>
                <w:color w:val="263442"/>
                <w:sz w:val="15"/>
              </w:rPr>
              <w:t>授信决策与约束量</w:t>
            </w:r>
          </w:p>
        </w:tc>
        <w:tc>
          <w:tcPr>
            <w:tcW w:w="1483" w:type="dxa"/>
            <w:tcMar>
              <w:top w:w="34" w:type="dxa"/>
              <w:left w:w="90" w:type="dxa"/>
              <w:bottom w:w="34" w:type="dxa"/>
              <w:right w:w="90" w:type="dxa"/>
              <w:start w:w="62" w:type="dxa"/>
              <w:end w:w="62" w:type="dxa"/>
            </w:tcMar>
            <w:vAlign w:val="center"/>
          </w:tcPr>
          <w:p w14:paraId="5DDD4468">
            <w:pPr>
              <w:keepLines/>
              <w:spacing w:after="0" w:line="240" w:lineRule="auto" w:before="0"/>
              <w:jc w:val="center"/>
              <w:rPr>
                <w:rFonts w:hint="eastAsia"/>
              </w:rPr>
            </w:pPr>
            <w:r>
              <w:rPr>
                <w:rFonts w:ascii="宋体" w:hAnsi="宋体" w:eastAsia="宋体"/>
                <w:color w:val="263442"/>
                <w:sz w:val="15"/>
              </w:rPr>
              <w:t>xᵢ</w:t>
            </w:r>
          </w:p>
        </w:tc>
        <w:tc>
          <w:tcPr>
            <w:tcW w:w="4536" w:type="dxa"/>
            <w:tcMar>
              <w:top w:w="34" w:type="dxa"/>
              <w:left w:w="90" w:type="dxa"/>
              <w:bottom w:w="34" w:type="dxa"/>
              <w:right w:w="90" w:type="dxa"/>
              <w:start w:w="62" w:type="dxa"/>
              <w:end w:w="62" w:type="dxa"/>
            </w:tcMar>
            <w:vAlign w:val="center"/>
          </w:tcPr>
          <w:p w14:paraId="0C962ABE">
            <w:pPr>
              <w:keepLines/>
              <w:spacing w:after="0" w:line="240" w:lineRule="auto" w:before="0"/>
              <w:jc w:val="left"/>
              <w:rPr>
                <w:rFonts w:hint="eastAsia"/>
              </w:rPr>
            </w:pPr>
            <w:r>
              <w:rPr>
                <w:rFonts w:ascii="宋体" w:hAnsi="宋体" w:eastAsia="宋体"/>
                <w:color w:val="263442"/>
                <w:sz w:val="15"/>
              </w:rPr>
              <w:t>对企业 i 的授信额度</w:t>
            </w:r>
          </w:p>
        </w:tc>
        <w:tc>
          <w:tcPr>
            <w:tcW w:w="1584" w:type="dxa"/>
            <w:tcMar>
              <w:top w:w="34" w:type="dxa"/>
              <w:left w:w="90" w:type="dxa"/>
              <w:bottom w:w="34" w:type="dxa"/>
              <w:right w:w="90" w:type="dxa"/>
              <w:start w:w="62" w:type="dxa"/>
              <w:end w:w="62" w:type="dxa"/>
            </w:tcMar>
            <w:vAlign w:val="center"/>
          </w:tcPr>
          <w:p w14:paraId="77F27025">
            <w:pPr>
              <w:keepLines/>
              <w:spacing w:after="0" w:line="240" w:lineRule="auto" w:before="0"/>
              <w:jc w:val="center"/>
              <w:rPr>
                <w:rFonts w:hint="eastAsia"/>
              </w:rPr>
            </w:pPr>
            <w:r>
              <w:rPr>
                <w:rFonts w:ascii="宋体" w:hAnsi="宋体" w:eastAsia="宋体"/>
                <w:color w:val="263442"/>
                <w:sz w:val="15"/>
              </w:rPr>
              <w:t>元</w:t>
            </w:r>
          </w:p>
        </w:tc>
      </w:tr>
      <w:tr w14:paraId="58933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6A4EE8F7">
            <w:pPr>
              <w:keepLines/>
              <w:spacing w:after="0" w:line="240" w:lineRule="auto" w:before="0"/>
              <w:jc w:val="left"/>
              <w:rPr>
                <w:rFonts w:hint="eastAsia"/>
              </w:rPr>
            </w:pPr>
            <w:r>
              <w:rPr>
                <w:rFonts w:ascii="宋体" w:hAnsi="宋体" w:eastAsia="宋体"/>
                <w:color w:val="263442"/>
                <w:sz w:val="15"/>
              </w:rPr>
              <w:t>脆弱度与情景量</w:t>
            </w:r>
          </w:p>
        </w:tc>
        <w:tc>
          <w:tcPr>
            <w:tcW w:w="1483" w:type="dxa"/>
            <w:tcMar>
              <w:top w:w="34" w:type="dxa"/>
              <w:left w:w="90" w:type="dxa"/>
              <w:bottom w:w="34" w:type="dxa"/>
              <w:right w:w="90" w:type="dxa"/>
              <w:start w:w="62" w:type="dxa"/>
              <w:end w:w="62" w:type="dxa"/>
            </w:tcMar>
            <w:vAlign w:val="center"/>
            <w:shd w:val="clear" w:color="auto" w:fill="F7F9FB"/>
          </w:tcPr>
          <w:p w14:paraId="704C488F">
            <w:pPr>
              <w:keepLines/>
              <w:spacing w:after="0" w:line="240" w:lineRule="auto" w:before="0"/>
              <w:jc w:val="center"/>
              <w:rPr>
                <w:rFonts w:hint="eastAsia"/>
              </w:rPr>
            </w:pPr>
            <w:r>
              <w:rPr>
                <w:rFonts w:ascii="宋体" w:hAnsi="宋体" w:eastAsia="宋体"/>
                <w:color w:val="263442"/>
                <w:sz w:val="15"/>
              </w:rPr>
              <w:t>vᵢ</w:t>
            </w:r>
          </w:p>
        </w:tc>
        <w:tc>
          <w:tcPr>
            <w:tcW w:w="4536" w:type="dxa"/>
            <w:tcMar>
              <w:top w:w="34" w:type="dxa"/>
              <w:left w:w="90" w:type="dxa"/>
              <w:bottom w:w="34" w:type="dxa"/>
              <w:right w:w="90" w:type="dxa"/>
              <w:start w:w="62" w:type="dxa"/>
              <w:end w:w="62" w:type="dxa"/>
            </w:tcMar>
            <w:vAlign w:val="center"/>
            <w:shd w:val="clear" w:color="auto" w:fill="F7F9FB"/>
          </w:tcPr>
          <w:p w14:paraId="39888751">
            <w:pPr>
              <w:keepLines/>
              <w:spacing w:after="0" w:line="240" w:lineRule="auto" w:before="0"/>
              <w:jc w:val="left"/>
              <w:rPr>
                <w:rFonts w:hint="eastAsia"/>
              </w:rPr>
            </w:pPr>
            <w:r>
              <w:rPr>
                <w:rFonts w:ascii="宋体" w:hAnsi="宋体" w:eastAsia="宋体"/>
                <w:color w:val="263442"/>
                <w:sz w:val="15"/>
              </w:rPr>
              <w:t>企业 i 的经营脆弱度</w:t>
            </w:r>
          </w:p>
        </w:tc>
        <w:tc>
          <w:tcPr>
            <w:tcW w:w="1584" w:type="dxa"/>
            <w:tcMar>
              <w:top w:w="34" w:type="dxa"/>
              <w:left w:w="90" w:type="dxa"/>
              <w:bottom w:w="34" w:type="dxa"/>
              <w:right w:w="90" w:type="dxa"/>
              <w:start w:w="62" w:type="dxa"/>
              <w:end w:w="62" w:type="dxa"/>
            </w:tcMar>
            <w:vAlign w:val="center"/>
            <w:shd w:val="clear" w:color="auto" w:fill="F7F9FB"/>
          </w:tcPr>
          <w:p w14:paraId="45BC0185">
            <w:pPr>
              <w:keepLines/>
              <w:spacing w:after="0" w:line="240" w:lineRule="auto" w:before="0"/>
              <w:jc w:val="center"/>
              <w:rPr>
                <w:rFonts w:hint="eastAsia"/>
              </w:rPr>
            </w:pPr>
            <w:r>
              <w:rPr>
                <w:rFonts w:ascii="宋体" w:hAnsi="宋体" w:eastAsia="宋体"/>
                <w:color w:val="263442"/>
                <w:sz w:val="15"/>
              </w:rPr>
              <w:t>[0,1]</w:t>
            </w:r>
          </w:p>
        </w:tc>
      </w:tr>
      <w:tr w14:paraId="77F2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228C041B">
            <w:pPr>
              <w:keepLines/>
              <w:spacing w:after="0" w:line="240" w:lineRule="auto" w:before="0"/>
              <w:jc w:val="left"/>
              <w:rPr>
                <w:rFonts w:hint="eastAsia"/>
              </w:rPr>
            </w:pPr>
            <w:r>
              <w:rPr>
                <w:rFonts w:ascii="宋体" w:hAnsi="宋体" w:eastAsia="宋体"/>
                <w:color w:val="263442"/>
                <w:sz w:val="15"/>
              </w:rPr>
              <w:t>利率响应与效益量</w:t>
            </w:r>
          </w:p>
        </w:tc>
        <w:tc>
          <w:tcPr>
            <w:tcW w:w="1483" w:type="dxa"/>
            <w:tcMar>
              <w:top w:w="34" w:type="dxa"/>
              <w:left w:w="90" w:type="dxa"/>
              <w:bottom w:w="34" w:type="dxa"/>
              <w:right w:w="90" w:type="dxa"/>
              <w:start w:w="62" w:type="dxa"/>
              <w:end w:w="62" w:type="dxa"/>
            </w:tcMar>
            <w:vAlign w:val="center"/>
          </w:tcPr>
          <w:p w14:paraId="708652AD">
            <w:pPr>
              <w:keepLines/>
              <w:spacing w:after="0" w:line="240" w:lineRule="auto" w:before="0"/>
              <w:jc w:val="center"/>
              <w:rPr>
                <w:rFonts w:hint="eastAsia"/>
              </w:rPr>
            </w:pPr>
            <w:r>
              <w:rPr>
                <w:rFonts w:ascii="宋体" w:hAnsi="宋体" w:eastAsia="宋体"/>
                <w:color w:val="263442"/>
                <w:sz w:val="15"/>
              </w:rPr>
              <w:t>uᵢs(r)</w:t>
            </w:r>
          </w:p>
        </w:tc>
        <w:tc>
          <w:tcPr>
            <w:tcW w:w="4536" w:type="dxa"/>
            <w:tcMar>
              <w:top w:w="34" w:type="dxa"/>
              <w:left w:w="90" w:type="dxa"/>
              <w:bottom w:w="34" w:type="dxa"/>
              <w:right w:w="90" w:type="dxa"/>
              <w:start w:w="62" w:type="dxa"/>
              <w:end w:w="62" w:type="dxa"/>
            </w:tcMar>
            <w:vAlign w:val="center"/>
          </w:tcPr>
          <w:p w14:paraId="6C1EB300">
            <w:pPr>
              <w:keepLines/>
              <w:spacing w:after="0" w:line="240" w:lineRule="auto" w:before="0"/>
              <w:jc w:val="left"/>
              <w:rPr>
                <w:rFonts w:hint="eastAsia"/>
              </w:rPr>
            </w:pPr>
            <w:r>
              <w:rPr>
                <w:rFonts w:ascii="宋体" w:hAnsi="宋体" w:eastAsia="宋体"/>
                <w:color w:val="263442"/>
                <w:sz w:val="15"/>
              </w:rPr>
              <w:t>压力情景 s、利率 r 下企业 i 的单位贷款效益</w:t>
            </w:r>
          </w:p>
        </w:tc>
        <w:tc>
          <w:tcPr>
            <w:tcW w:w="1584" w:type="dxa"/>
            <w:tcMar>
              <w:top w:w="34" w:type="dxa"/>
              <w:left w:w="90" w:type="dxa"/>
              <w:bottom w:w="34" w:type="dxa"/>
              <w:right w:w="90" w:type="dxa"/>
              <w:start w:w="62" w:type="dxa"/>
              <w:end w:w="62" w:type="dxa"/>
            </w:tcMar>
            <w:vAlign w:val="center"/>
          </w:tcPr>
          <w:p w14:paraId="70C60673">
            <w:pPr>
              <w:keepLines/>
              <w:spacing w:after="0" w:line="240" w:lineRule="auto" w:before="0"/>
              <w:jc w:val="center"/>
              <w:rPr>
                <w:rFonts w:hint="eastAsia"/>
              </w:rPr>
            </w:pPr>
            <w:r>
              <w:rPr>
                <w:rFonts w:ascii="宋体" w:hAnsi="宋体" w:eastAsia="宋体"/>
                <w:color w:val="263442"/>
                <w:sz w:val="15"/>
              </w:rPr>
              <w:t>元/元</w:t>
            </w:r>
          </w:p>
        </w:tc>
      </w:tr>
      <w:tr w14:paraId="468B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29B055BE">
            <w:pPr>
              <w:keepLines/>
              <w:spacing w:after="0" w:line="240" w:lineRule="auto" w:before="0"/>
              <w:jc w:val="left"/>
              <w:rPr>
                <w:rFonts w:hint="eastAsia"/>
              </w:rPr>
            </w:pPr>
            <w:r>
              <w:rPr>
                <w:rFonts w:ascii="宋体" w:hAnsi="宋体" w:eastAsia="宋体"/>
                <w:color w:val="263442"/>
                <w:sz w:val="15"/>
              </w:rPr>
              <w:t>利率响应与效益量</w:t>
            </w:r>
          </w:p>
        </w:tc>
        <w:tc>
          <w:tcPr>
            <w:tcW w:w="1483" w:type="dxa"/>
            <w:tcMar>
              <w:top w:w="34" w:type="dxa"/>
              <w:left w:w="90" w:type="dxa"/>
              <w:bottom w:w="34" w:type="dxa"/>
              <w:right w:w="90" w:type="dxa"/>
              <w:start w:w="62" w:type="dxa"/>
              <w:end w:w="62" w:type="dxa"/>
            </w:tcMar>
            <w:vAlign w:val="center"/>
            <w:shd w:val="clear" w:color="auto" w:fill="F7F9FB"/>
          </w:tcPr>
          <w:p w14:paraId="6CD6276C">
            <w:pPr>
              <w:keepLines/>
              <w:spacing w:after="0" w:line="240" w:lineRule="auto" w:before="0"/>
              <w:jc w:val="center"/>
              <w:rPr>
                <w:rFonts w:hint="eastAsia"/>
              </w:rPr>
            </w:pPr>
            <w:r>
              <w:rPr>
                <w:rFonts w:ascii="宋体" w:hAnsi="宋体" w:eastAsia="宋体"/>
                <w:color w:val="263442"/>
                <w:sz w:val="15"/>
              </w:rPr>
              <w:t>cᵢ(r)</w:t>
            </w:r>
          </w:p>
        </w:tc>
        <w:tc>
          <w:tcPr>
            <w:tcW w:w="4536" w:type="dxa"/>
            <w:tcMar>
              <w:top w:w="34" w:type="dxa"/>
              <w:left w:w="90" w:type="dxa"/>
              <w:bottom w:w="34" w:type="dxa"/>
              <w:right w:w="90" w:type="dxa"/>
              <w:start w:w="62" w:type="dxa"/>
              <w:end w:w="62" w:type="dxa"/>
            </w:tcMar>
            <w:vAlign w:val="center"/>
            <w:shd w:val="clear" w:color="auto" w:fill="F7F9FB"/>
          </w:tcPr>
          <w:p w14:paraId="6EB34C6C">
            <w:pPr>
              <w:keepLines/>
              <w:spacing w:after="0" w:line="240" w:lineRule="auto" w:before="0"/>
              <w:jc w:val="left"/>
              <w:rPr>
                <w:rFonts w:hint="eastAsia"/>
              </w:rPr>
            </w:pPr>
            <w:r>
              <w:rPr>
                <w:rFonts w:ascii="宋体" w:hAnsi="宋体" w:eastAsia="宋体"/>
                <w:color w:val="263442"/>
                <w:sz w:val="15"/>
              </w:rPr>
              <w:t>利率 r 下企业 i 的单位授信期望效益</w:t>
            </w:r>
          </w:p>
        </w:tc>
        <w:tc>
          <w:tcPr>
            <w:tcW w:w="1584" w:type="dxa"/>
            <w:tcMar>
              <w:top w:w="34" w:type="dxa"/>
              <w:left w:w="90" w:type="dxa"/>
              <w:bottom w:w="34" w:type="dxa"/>
              <w:right w:w="90" w:type="dxa"/>
              <w:start w:w="62" w:type="dxa"/>
              <w:end w:w="62" w:type="dxa"/>
            </w:tcMar>
            <w:vAlign w:val="center"/>
            <w:shd w:val="clear" w:color="auto" w:fill="F7F9FB"/>
          </w:tcPr>
          <w:p w14:paraId="6F87C48A">
            <w:pPr>
              <w:keepLines/>
              <w:spacing w:after="0" w:line="240" w:lineRule="auto" w:before="0"/>
              <w:jc w:val="center"/>
              <w:rPr>
                <w:rFonts w:hint="eastAsia"/>
              </w:rPr>
            </w:pPr>
            <w:r>
              <w:rPr>
                <w:rFonts w:ascii="宋体" w:hAnsi="宋体" w:eastAsia="宋体"/>
                <w:color w:val="263442"/>
                <w:sz w:val="15"/>
              </w:rPr>
              <w:t>元/元</w:t>
            </w:r>
          </w:p>
        </w:tc>
      </w:tr>
      <w:tr w14:paraId="46AFC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7FE9C9D0">
            <w:pPr>
              <w:keepLines/>
              <w:spacing w:after="0" w:line="240" w:lineRule="auto" w:before="0"/>
              <w:jc w:val="left"/>
              <w:rPr>
                <w:rFonts w:hint="eastAsia"/>
              </w:rPr>
            </w:pPr>
            <w:r>
              <w:rPr>
                <w:rFonts w:ascii="宋体" w:hAnsi="宋体" w:eastAsia="宋体"/>
                <w:color w:val="263442"/>
                <w:sz w:val="15"/>
              </w:rPr>
              <w:t>授信决策与约束量</w:t>
            </w:r>
          </w:p>
        </w:tc>
        <w:tc>
          <w:tcPr>
            <w:tcW w:w="1483" w:type="dxa"/>
            <w:tcMar>
              <w:top w:w="34" w:type="dxa"/>
              <w:left w:w="90" w:type="dxa"/>
              <w:bottom w:w="34" w:type="dxa"/>
              <w:right w:w="90" w:type="dxa"/>
              <w:start w:w="62" w:type="dxa"/>
              <w:end w:w="62" w:type="dxa"/>
            </w:tcMar>
            <w:vAlign w:val="center"/>
          </w:tcPr>
          <w:p w14:paraId="46F02BE5">
            <w:pPr>
              <w:keepLines/>
              <w:spacing w:after="0" w:line="240" w:lineRule="auto" w:before="0"/>
              <w:jc w:val="center"/>
              <w:rPr>
                <w:rFonts w:hint="eastAsia"/>
              </w:rPr>
            </w:pPr>
            <w:r>
              <w:rPr>
                <w:rFonts w:ascii="宋体" w:hAnsi="宋体" w:eastAsia="宋体"/>
                <w:color w:val="263442"/>
                <w:sz w:val="15"/>
              </w:rPr>
              <w:t>yᵢ</w:t>
            </w:r>
          </w:p>
        </w:tc>
        <w:tc>
          <w:tcPr>
            <w:tcW w:w="4536" w:type="dxa"/>
            <w:tcMar>
              <w:top w:w="34" w:type="dxa"/>
              <w:left w:w="90" w:type="dxa"/>
              <w:bottom w:w="34" w:type="dxa"/>
              <w:right w:w="90" w:type="dxa"/>
              <w:start w:w="62" w:type="dxa"/>
              <w:end w:w="62" w:type="dxa"/>
            </w:tcMar>
            <w:vAlign w:val="center"/>
          </w:tcPr>
          <w:p w14:paraId="06D0C96F">
            <w:pPr>
              <w:keepLines/>
              <w:spacing w:after="0" w:line="240" w:lineRule="auto" w:before="0"/>
              <w:jc w:val="left"/>
              <w:rPr>
                <w:rFonts w:hint="eastAsia"/>
              </w:rPr>
            </w:pPr>
            <w:r>
              <w:rPr>
                <w:rFonts w:ascii="宋体" w:hAnsi="宋体" w:eastAsia="宋体"/>
                <w:color w:val="263442"/>
                <w:sz w:val="15"/>
              </w:rPr>
              <w:t>企业 i 是否获得授信</w:t>
            </w:r>
          </w:p>
        </w:tc>
        <w:tc>
          <w:tcPr>
            <w:tcW w:w="1584" w:type="dxa"/>
            <w:tcMar>
              <w:top w:w="34" w:type="dxa"/>
              <w:left w:w="90" w:type="dxa"/>
              <w:bottom w:w="34" w:type="dxa"/>
              <w:right w:w="90" w:type="dxa"/>
              <w:start w:w="62" w:type="dxa"/>
              <w:end w:w="62" w:type="dxa"/>
            </w:tcMar>
            <w:vAlign w:val="center"/>
          </w:tcPr>
          <w:p w14:paraId="12CC679E">
            <w:pPr>
              <w:keepLines/>
              <w:spacing w:after="0" w:line="240" w:lineRule="auto" w:before="0"/>
              <w:jc w:val="center"/>
              <w:rPr>
                <w:rFonts w:hint="eastAsia"/>
              </w:rPr>
            </w:pPr>
            <w:r>
              <w:rPr>
                <w:rFonts w:ascii="宋体" w:hAnsi="宋体" w:eastAsia="宋体"/>
                <w:color w:val="263442"/>
                <w:sz w:val="15"/>
              </w:rPr>
              <w:t>{0,1}</w:t>
            </w:r>
          </w:p>
        </w:tc>
      </w:tr>
      <w:tr w14:paraId="4AEBE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604CEC22">
            <w:pPr>
              <w:keepLines/>
              <w:spacing w:after="0" w:line="240" w:lineRule="auto" w:before="0"/>
              <w:jc w:val="left"/>
              <w:rPr>
                <w:rFonts w:hint="eastAsia"/>
              </w:rPr>
            </w:pPr>
            <w:r>
              <w:rPr>
                <w:rFonts w:ascii="宋体" w:hAnsi="宋体" w:eastAsia="宋体"/>
                <w:color w:val="263442"/>
                <w:sz w:val="15"/>
              </w:rPr>
              <w:t>授信决策与约束量</w:t>
            </w:r>
          </w:p>
        </w:tc>
        <w:tc>
          <w:tcPr>
            <w:tcW w:w="1483" w:type="dxa"/>
            <w:tcMar>
              <w:top w:w="34" w:type="dxa"/>
              <w:left w:w="90" w:type="dxa"/>
              <w:bottom w:w="34" w:type="dxa"/>
              <w:right w:w="90" w:type="dxa"/>
              <w:start w:w="62" w:type="dxa"/>
              <w:end w:w="62" w:type="dxa"/>
            </w:tcMar>
            <w:vAlign w:val="center"/>
            <w:shd w:val="clear" w:color="auto" w:fill="F7F9FB"/>
          </w:tcPr>
          <w:p w14:paraId="020BBC48">
            <w:pPr>
              <w:keepLines/>
              <w:spacing w:after="0" w:line="240" w:lineRule="auto" w:before="0"/>
              <w:jc w:val="center"/>
              <w:rPr>
                <w:rFonts w:hint="eastAsia"/>
              </w:rPr>
            </w:pPr>
            <w:r>
              <w:rPr>
                <w:rFonts w:ascii="宋体" w:hAnsi="宋体" w:eastAsia="宋体"/>
                <w:color w:val="263442"/>
                <w:sz w:val="15"/>
              </w:rPr>
              <w:t>B</w:t>
            </w:r>
          </w:p>
        </w:tc>
        <w:tc>
          <w:tcPr>
            <w:tcW w:w="4536" w:type="dxa"/>
            <w:tcMar>
              <w:top w:w="34" w:type="dxa"/>
              <w:left w:w="90" w:type="dxa"/>
              <w:bottom w:w="34" w:type="dxa"/>
              <w:right w:w="90" w:type="dxa"/>
              <w:start w:w="62" w:type="dxa"/>
              <w:end w:w="62" w:type="dxa"/>
            </w:tcMar>
            <w:vAlign w:val="center"/>
            <w:shd w:val="clear" w:color="auto" w:fill="F7F9FB"/>
          </w:tcPr>
          <w:p w14:paraId="1742C72A">
            <w:pPr>
              <w:keepLines/>
              <w:spacing w:after="0" w:line="240" w:lineRule="auto" w:before="0"/>
              <w:jc w:val="left"/>
              <w:rPr>
                <w:rFonts w:hint="eastAsia"/>
              </w:rPr>
            </w:pPr>
            <w:r>
              <w:rPr>
                <w:rFonts w:ascii="宋体" w:hAnsi="宋体" w:eastAsia="宋体"/>
                <w:color w:val="263442"/>
                <w:sz w:val="15"/>
              </w:rPr>
              <w:t>年度授信总预算</w:t>
            </w:r>
          </w:p>
        </w:tc>
        <w:tc>
          <w:tcPr>
            <w:tcW w:w="1584" w:type="dxa"/>
            <w:tcMar>
              <w:top w:w="34" w:type="dxa"/>
              <w:left w:w="90" w:type="dxa"/>
              <w:bottom w:w="34" w:type="dxa"/>
              <w:right w:w="90" w:type="dxa"/>
              <w:start w:w="62" w:type="dxa"/>
              <w:end w:w="62" w:type="dxa"/>
            </w:tcMar>
            <w:vAlign w:val="center"/>
            <w:shd w:val="clear" w:color="auto" w:fill="F7F9FB"/>
          </w:tcPr>
          <w:p w14:paraId="77DF41CA">
            <w:pPr>
              <w:keepLines/>
              <w:spacing w:after="0" w:line="240" w:lineRule="auto" w:before="0"/>
              <w:jc w:val="center"/>
              <w:rPr>
                <w:rFonts w:hint="eastAsia"/>
              </w:rPr>
            </w:pPr>
            <w:r>
              <w:rPr>
                <w:rFonts w:ascii="宋体" w:hAnsi="宋体" w:eastAsia="宋体"/>
                <w:color w:val="263442"/>
                <w:sz w:val="15"/>
              </w:rPr>
              <w:t>元</w:t>
            </w:r>
          </w:p>
        </w:tc>
      </w:tr>
      <w:tr w14:paraId="4DE17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5723DD72">
            <w:pPr>
              <w:keepLines/>
              <w:spacing w:after="0" w:line="240" w:lineRule="auto" w:before="0"/>
              <w:jc w:val="left"/>
              <w:rPr>
                <w:rFonts w:hint="eastAsia"/>
              </w:rPr>
            </w:pPr>
            <w:r>
              <w:rPr>
                <w:rFonts w:ascii="宋体" w:hAnsi="宋体" w:eastAsia="宋体"/>
                <w:color w:val="263442"/>
                <w:sz w:val="15"/>
              </w:rPr>
              <w:t>授信决策与约束量</w:t>
            </w:r>
          </w:p>
        </w:tc>
        <w:tc>
          <w:tcPr>
            <w:tcW w:w="1483" w:type="dxa"/>
            <w:tcMar>
              <w:top w:w="34" w:type="dxa"/>
              <w:left w:w="90" w:type="dxa"/>
              <w:bottom w:w="34" w:type="dxa"/>
              <w:right w:w="90" w:type="dxa"/>
              <w:start w:w="62" w:type="dxa"/>
              <w:end w:w="62" w:type="dxa"/>
            </w:tcMar>
            <w:vAlign w:val="center"/>
          </w:tcPr>
          <w:p w14:paraId="15F33316">
            <w:pPr>
              <w:keepLines/>
              <w:spacing w:after="0" w:line="240" w:lineRule="auto" w:before="0"/>
              <w:jc w:val="center"/>
              <w:rPr>
                <w:rFonts w:hint="eastAsia"/>
              </w:rPr>
            </w:pPr>
            <w:r>
              <w:rPr>
                <w:rFonts w:ascii="宋体" w:hAnsi="宋体" w:eastAsia="宋体"/>
                <w:color w:val="263442"/>
                <w:sz w:val="15"/>
              </w:rPr>
              <w:t>R</w:t>
            </w:r>
          </w:p>
        </w:tc>
        <w:tc>
          <w:tcPr>
            <w:tcW w:w="4536" w:type="dxa"/>
            <w:tcMar>
              <w:top w:w="34" w:type="dxa"/>
              <w:left w:w="90" w:type="dxa"/>
              <w:bottom w:w="34" w:type="dxa"/>
              <w:right w:w="90" w:type="dxa"/>
              <w:start w:w="62" w:type="dxa"/>
              <w:end w:w="62" w:type="dxa"/>
            </w:tcMar>
            <w:vAlign w:val="center"/>
          </w:tcPr>
          <w:p w14:paraId="2DFB9036">
            <w:pPr>
              <w:keepLines/>
              <w:spacing w:after="0" w:line="240" w:lineRule="auto" w:before="0"/>
              <w:jc w:val="left"/>
              <w:rPr>
                <w:rFonts w:hint="eastAsia"/>
              </w:rPr>
            </w:pPr>
            <w:r>
              <w:rPr>
                <w:rFonts w:ascii="宋体" w:hAnsi="宋体" w:eastAsia="宋体"/>
                <w:color w:val="263442"/>
                <w:sz w:val="15"/>
              </w:rPr>
              <w:t>组合风险敞口上限</w:t>
            </w:r>
          </w:p>
        </w:tc>
        <w:tc>
          <w:tcPr>
            <w:tcW w:w="1584" w:type="dxa"/>
            <w:tcMar>
              <w:top w:w="34" w:type="dxa"/>
              <w:left w:w="90" w:type="dxa"/>
              <w:bottom w:w="34" w:type="dxa"/>
              <w:right w:w="90" w:type="dxa"/>
              <w:start w:w="62" w:type="dxa"/>
              <w:end w:w="62" w:type="dxa"/>
            </w:tcMar>
            <w:vAlign w:val="center"/>
          </w:tcPr>
          <w:p w14:paraId="26D82A75">
            <w:pPr>
              <w:keepLines/>
              <w:spacing w:after="0" w:line="240" w:lineRule="auto" w:before="0"/>
              <w:jc w:val="center"/>
              <w:rPr>
                <w:rFonts w:hint="eastAsia"/>
              </w:rPr>
            </w:pPr>
            <w:r>
              <w:rPr>
                <w:rFonts w:ascii="宋体" w:hAnsi="宋体" w:eastAsia="宋体"/>
                <w:color w:val="263442"/>
                <w:sz w:val="15"/>
              </w:rPr>
              <w:t>元</w:t>
            </w:r>
          </w:p>
        </w:tc>
      </w:tr>
      <w:tr w14:paraId="5007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5ECD564D">
            <w:pPr>
              <w:keepLines/>
              <w:spacing w:after="0" w:line="240" w:lineRule="auto" w:before="0"/>
              <w:jc w:val="left"/>
              <w:rPr>
                <w:rFonts w:hint="eastAsia"/>
              </w:rPr>
            </w:pPr>
            <w:r>
              <w:rPr>
                <w:rFonts w:ascii="宋体" w:hAnsi="宋体" w:eastAsia="宋体"/>
                <w:color w:val="263442"/>
                <w:sz w:val="15"/>
              </w:rPr>
              <w:t>利率与损失参数</w:t>
            </w:r>
          </w:p>
        </w:tc>
        <w:tc>
          <w:tcPr>
            <w:tcW w:w="1483" w:type="dxa"/>
            <w:tcMar>
              <w:top w:w="34" w:type="dxa"/>
              <w:left w:w="90" w:type="dxa"/>
              <w:bottom w:w="34" w:type="dxa"/>
              <w:right w:w="90" w:type="dxa"/>
              <w:start w:w="62" w:type="dxa"/>
              <w:end w:w="62" w:type="dxa"/>
            </w:tcMar>
            <w:vAlign w:val="center"/>
            <w:shd w:val="clear" w:color="auto" w:fill="F7F9FB"/>
          </w:tcPr>
          <w:p w14:paraId="0674BCA4">
            <w:pPr>
              <w:keepLines/>
              <w:spacing w:after="0" w:line="240" w:lineRule="auto" w:before="0"/>
              <w:jc w:val="center"/>
              <w:rPr>
                <w:rFonts w:hint="eastAsia"/>
              </w:rPr>
            </w:pPr>
            <w:r>
              <w:rPr>
                <w:rFonts w:ascii="宋体" w:hAnsi="宋体" w:eastAsia="宋体"/>
                <w:color w:val="263442"/>
                <w:sz w:val="15"/>
              </w:rPr>
              <w:t>r</w:t>
            </w:r>
          </w:p>
        </w:tc>
        <w:tc>
          <w:tcPr>
            <w:tcW w:w="4536" w:type="dxa"/>
            <w:tcMar>
              <w:top w:w="34" w:type="dxa"/>
              <w:left w:w="90" w:type="dxa"/>
              <w:bottom w:w="34" w:type="dxa"/>
              <w:right w:w="90" w:type="dxa"/>
              <w:start w:w="62" w:type="dxa"/>
              <w:end w:w="62" w:type="dxa"/>
            </w:tcMar>
            <w:vAlign w:val="center"/>
            <w:shd w:val="clear" w:color="auto" w:fill="F7F9FB"/>
          </w:tcPr>
          <w:p w14:paraId="47758BF0">
            <w:pPr>
              <w:keepLines/>
              <w:spacing w:after="0" w:line="240" w:lineRule="auto" w:before="0"/>
              <w:jc w:val="left"/>
              <w:rPr>
                <w:rFonts w:hint="eastAsia"/>
              </w:rPr>
            </w:pPr>
            <w:r>
              <w:rPr>
                <w:rFonts w:ascii="宋体" w:hAnsi="宋体" w:eastAsia="宋体"/>
                <w:color w:val="263442"/>
                <w:sz w:val="15"/>
              </w:rPr>
              <w:t>贷款年利率</w:t>
            </w:r>
          </w:p>
        </w:tc>
        <w:tc>
          <w:tcPr>
            <w:tcW w:w="1584" w:type="dxa"/>
            <w:tcMar>
              <w:top w:w="34" w:type="dxa"/>
              <w:left w:w="90" w:type="dxa"/>
              <w:bottom w:w="34" w:type="dxa"/>
              <w:right w:w="90" w:type="dxa"/>
              <w:start w:w="62" w:type="dxa"/>
              <w:end w:w="62" w:type="dxa"/>
            </w:tcMar>
            <w:vAlign w:val="center"/>
            <w:shd w:val="clear" w:color="auto" w:fill="F7F9FB"/>
          </w:tcPr>
          <w:p w14:paraId="03863E0C">
            <w:pPr>
              <w:keepLines/>
              <w:spacing w:after="0" w:line="240" w:lineRule="auto" w:before="0"/>
              <w:jc w:val="center"/>
              <w:rPr>
                <w:rFonts w:hint="eastAsia"/>
              </w:rPr>
            </w:pPr>
            <w:r>
              <w:rPr>
                <w:rFonts w:ascii="宋体" w:hAnsi="宋体" w:eastAsia="宋体"/>
                <w:color w:val="263442"/>
                <w:sz w:val="15"/>
              </w:rPr>
              <w:t>[4%,15%]</w:t>
            </w:r>
          </w:p>
        </w:tc>
      </w:tr>
      <w:tr w14:paraId="69256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3994479D">
            <w:pPr>
              <w:keepLines/>
              <w:spacing w:after="0" w:line="240" w:lineRule="auto" w:before="0"/>
              <w:jc w:val="left"/>
              <w:rPr>
                <w:rFonts w:hint="eastAsia"/>
              </w:rPr>
            </w:pPr>
            <w:r>
              <w:rPr>
                <w:rFonts w:ascii="宋体" w:hAnsi="宋体" w:eastAsia="宋体"/>
                <w:color w:val="263442"/>
                <w:sz w:val="15"/>
              </w:rPr>
              <w:t>利率与损失参数</w:t>
            </w:r>
          </w:p>
        </w:tc>
        <w:tc>
          <w:tcPr>
            <w:tcW w:w="1483" w:type="dxa"/>
            <w:tcMar>
              <w:top w:w="34" w:type="dxa"/>
              <w:left w:w="90" w:type="dxa"/>
              <w:bottom w:w="34" w:type="dxa"/>
              <w:right w:w="90" w:type="dxa"/>
              <w:start w:w="62" w:type="dxa"/>
              <w:end w:w="62" w:type="dxa"/>
            </w:tcMar>
            <w:vAlign w:val="center"/>
          </w:tcPr>
          <w:p w14:paraId="088C1314">
            <w:pPr>
              <w:keepLines/>
              <w:spacing w:after="0" w:line="240" w:lineRule="auto" w:before="0"/>
              <w:jc w:val="center"/>
              <w:rPr>
                <w:rFonts w:hint="eastAsia"/>
              </w:rPr>
            </w:pPr>
            <w:r>
              <w:rPr>
                <w:rFonts w:ascii="宋体" w:hAnsi="宋体" w:eastAsia="宋体"/>
                <w:color w:val="263442"/>
                <w:sz w:val="15"/>
              </w:rPr>
              <w:t>LGD</w:t>
            </w:r>
          </w:p>
        </w:tc>
        <w:tc>
          <w:tcPr>
            <w:tcW w:w="4536" w:type="dxa"/>
            <w:tcMar>
              <w:top w:w="34" w:type="dxa"/>
              <w:left w:w="90" w:type="dxa"/>
              <w:bottom w:w="34" w:type="dxa"/>
              <w:right w:w="90" w:type="dxa"/>
              <w:start w:w="62" w:type="dxa"/>
              <w:end w:w="62" w:type="dxa"/>
            </w:tcMar>
            <w:vAlign w:val="center"/>
          </w:tcPr>
          <w:p w14:paraId="00C48CDC">
            <w:pPr>
              <w:keepLines/>
              <w:spacing w:after="0" w:line="240" w:lineRule="auto" w:before="0"/>
              <w:jc w:val="left"/>
              <w:rPr>
                <w:rFonts w:hint="eastAsia"/>
              </w:rPr>
            </w:pPr>
            <w:r>
              <w:rPr>
                <w:rFonts w:ascii="宋体" w:hAnsi="宋体" w:eastAsia="宋体"/>
                <w:color w:val="263442"/>
                <w:sz w:val="15"/>
              </w:rPr>
              <w:t>违约损失率</w:t>
            </w:r>
          </w:p>
        </w:tc>
        <w:tc>
          <w:tcPr>
            <w:tcW w:w="1584" w:type="dxa"/>
            <w:tcMar>
              <w:top w:w="34" w:type="dxa"/>
              <w:left w:w="90" w:type="dxa"/>
              <w:bottom w:w="34" w:type="dxa"/>
              <w:right w:w="90" w:type="dxa"/>
              <w:start w:w="62" w:type="dxa"/>
              <w:end w:w="62" w:type="dxa"/>
            </w:tcMar>
            <w:vAlign w:val="center"/>
          </w:tcPr>
          <w:p w14:paraId="0F5C75F1">
            <w:pPr>
              <w:keepLines/>
              <w:spacing w:after="0" w:line="240" w:lineRule="auto" w:before="0"/>
              <w:jc w:val="center"/>
              <w:rPr>
                <w:rFonts w:hint="eastAsia"/>
              </w:rPr>
            </w:pPr>
            <w:r>
              <w:rPr>
                <w:rFonts w:ascii="宋体" w:hAnsi="宋体" w:eastAsia="宋体"/>
                <w:color w:val="263442"/>
                <w:sz w:val="15"/>
              </w:rPr>
              <w:t>[0,1]</w:t>
            </w:r>
          </w:p>
        </w:tc>
      </w:tr>
      <w:tr w14:paraId="2BC5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5A74D4EF">
            <w:pPr>
              <w:keepLines/>
              <w:spacing w:after="0" w:line="240" w:lineRule="auto" w:before="0"/>
              <w:jc w:val="left"/>
              <w:rPr>
                <w:rFonts w:hint="eastAsia"/>
              </w:rPr>
            </w:pPr>
            <w:r>
              <w:rPr>
                <w:rFonts w:ascii="宋体" w:hAnsi="宋体" w:eastAsia="宋体"/>
                <w:color w:val="263442"/>
                <w:sz w:val="15"/>
              </w:rPr>
              <w:t>脆弱度与情景量</w:t>
            </w:r>
          </w:p>
        </w:tc>
        <w:tc>
          <w:tcPr>
            <w:tcW w:w="1483" w:type="dxa"/>
            <w:tcMar>
              <w:top w:w="34" w:type="dxa"/>
              <w:left w:w="90" w:type="dxa"/>
              <w:bottom w:w="34" w:type="dxa"/>
              <w:right w:w="90" w:type="dxa"/>
              <w:start w:w="62" w:type="dxa"/>
              <w:end w:w="62" w:type="dxa"/>
            </w:tcMar>
            <w:vAlign w:val="center"/>
            <w:shd w:val="clear" w:color="auto" w:fill="F7F9FB"/>
          </w:tcPr>
          <w:p w14:paraId="4F19CD75">
            <w:pPr>
              <w:keepLines/>
              <w:spacing w:after="0" w:line="240" w:lineRule="auto" w:before="0"/>
              <w:jc w:val="center"/>
              <w:rPr>
                <w:rFonts w:hint="eastAsia"/>
              </w:rPr>
            </w:pPr>
            <w:r>
              <w:rPr>
                <w:rFonts w:ascii="宋体" w:hAnsi="宋体" w:eastAsia="宋体"/>
                <w:color w:val="263442"/>
                <w:sz w:val="15"/>
              </w:rPr>
              <w:t>δₛ</w:t>
            </w:r>
          </w:p>
        </w:tc>
        <w:tc>
          <w:tcPr>
            <w:tcW w:w="4536" w:type="dxa"/>
            <w:tcMar>
              <w:top w:w="34" w:type="dxa"/>
              <w:left w:w="90" w:type="dxa"/>
              <w:bottom w:w="34" w:type="dxa"/>
              <w:right w:w="90" w:type="dxa"/>
              <w:start w:w="62" w:type="dxa"/>
              <w:end w:w="62" w:type="dxa"/>
            </w:tcMar>
            <w:vAlign w:val="center"/>
            <w:shd w:val="clear" w:color="auto" w:fill="F7F9FB"/>
          </w:tcPr>
          <w:p w14:paraId="2BEBEC47">
            <w:pPr>
              <w:keepLines/>
              <w:spacing w:after="0" w:line="240" w:lineRule="auto" w:before="0"/>
              <w:jc w:val="left"/>
              <w:rPr>
                <w:rFonts w:hint="eastAsia"/>
              </w:rPr>
            </w:pPr>
            <w:r>
              <w:rPr>
                <w:rFonts w:ascii="宋体" w:hAnsi="宋体" w:eastAsia="宋体"/>
                <w:color w:val="263442"/>
                <w:sz w:val="15"/>
              </w:rPr>
              <w:t>情景 s 的风险损失尺度冲击强度</w:t>
            </w:r>
          </w:p>
        </w:tc>
        <w:tc>
          <w:tcPr>
            <w:tcW w:w="1584" w:type="dxa"/>
            <w:tcMar>
              <w:top w:w="34" w:type="dxa"/>
              <w:left w:w="90" w:type="dxa"/>
              <w:bottom w:w="34" w:type="dxa"/>
              <w:right w:w="90" w:type="dxa"/>
              <w:start w:w="62" w:type="dxa"/>
              <w:end w:w="62" w:type="dxa"/>
            </w:tcMar>
            <w:vAlign w:val="center"/>
            <w:shd w:val="clear" w:color="auto" w:fill="F7F9FB"/>
          </w:tcPr>
          <w:p w14:paraId="14D4336A">
            <w:pPr>
              <w:keepLines/>
              <w:spacing w:after="0" w:line="240" w:lineRule="auto" w:before="0"/>
              <w:jc w:val="center"/>
              <w:rPr>
                <w:rFonts w:hint="eastAsia"/>
              </w:rPr>
            </w:pPr>
            <w:r>
              <w:rPr>
                <w:rFonts w:ascii="宋体" w:hAnsi="宋体" w:eastAsia="宋体"/>
                <w:color w:val="263442"/>
                <w:sz w:val="15"/>
              </w:rPr>
              <w:t>0.15、0.50、1.00</w:t>
            </w:r>
          </w:p>
        </w:tc>
      </w:tr>
      <w:tr w14:paraId="44CF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480C1225">
            <w:pPr>
              <w:keepLines/>
              <w:spacing w:after="0" w:line="240" w:lineRule="auto" w:before="0"/>
              <w:jc w:val="left"/>
              <w:rPr>
                <w:rFonts w:hint="eastAsia"/>
              </w:rPr>
            </w:pPr>
            <w:r>
              <w:rPr>
                <w:rFonts w:ascii="宋体" w:hAnsi="宋体" w:eastAsia="宋体"/>
                <w:color w:val="263442"/>
                <w:sz w:val="15"/>
              </w:rPr>
              <w:t>脆弱度与情景量</w:t>
            </w:r>
          </w:p>
        </w:tc>
        <w:tc>
          <w:tcPr>
            <w:tcW w:w="1483" w:type="dxa"/>
            <w:tcMar>
              <w:top w:w="34" w:type="dxa"/>
              <w:left w:w="90" w:type="dxa"/>
              <w:bottom w:w="34" w:type="dxa"/>
              <w:right w:w="90" w:type="dxa"/>
              <w:start w:w="62" w:type="dxa"/>
              <w:end w:w="62" w:type="dxa"/>
            </w:tcMar>
            <w:vAlign w:val="center"/>
          </w:tcPr>
          <w:p w14:paraId="1220EAF0">
            <w:pPr>
              <w:keepLines/>
              <w:spacing w:after="0" w:line="240" w:lineRule="auto" w:before="0"/>
              <w:jc w:val="center"/>
              <w:rPr>
                <w:rFonts w:hint="eastAsia"/>
              </w:rPr>
            </w:pPr>
            <w:r>
              <w:rPr>
                <w:rFonts w:ascii="宋体" w:hAnsi="宋体" w:eastAsia="宋体"/>
                <w:color w:val="263442"/>
                <w:sz w:val="15"/>
              </w:rPr>
              <w:t>γₛ</w:t>
            </w:r>
          </w:p>
        </w:tc>
        <w:tc>
          <w:tcPr>
            <w:tcW w:w="4536" w:type="dxa"/>
            <w:tcMar>
              <w:top w:w="34" w:type="dxa"/>
              <w:left w:w="90" w:type="dxa"/>
              <w:bottom w:w="34" w:type="dxa"/>
              <w:right w:w="90" w:type="dxa"/>
              <w:start w:w="62" w:type="dxa"/>
              <w:end w:w="62" w:type="dxa"/>
            </w:tcMar>
            <w:vAlign w:val="center"/>
          </w:tcPr>
          <w:p w14:paraId="13E1B655">
            <w:pPr>
              <w:keepLines/>
              <w:spacing w:after="0" w:line="240" w:lineRule="auto" w:before="0"/>
              <w:jc w:val="left"/>
              <w:rPr>
                <w:rFonts w:hint="eastAsia"/>
              </w:rPr>
            </w:pPr>
            <w:r>
              <w:rPr>
                <w:rFonts w:ascii="宋体" w:hAnsi="宋体" w:eastAsia="宋体"/>
                <w:color w:val="263442"/>
                <w:sz w:val="15"/>
              </w:rPr>
              <w:t>情景 s 的客户留存冲击强度</w:t>
            </w:r>
          </w:p>
        </w:tc>
        <w:tc>
          <w:tcPr>
            <w:tcW w:w="1584" w:type="dxa"/>
            <w:tcMar>
              <w:top w:w="34" w:type="dxa"/>
              <w:left w:w="90" w:type="dxa"/>
              <w:bottom w:w="34" w:type="dxa"/>
              <w:right w:w="90" w:type="dxa"/>
              <w:start w:w="62" w:type="dxa"/>
              <w:end w:w="62" w:type="dxa"/>
            </w:tcMar>
            <w:vAlign w:val="center"/>
          </w:tcPr>
          <w:p w14:paraId="551C96BF">
            <w:pPr>
              <w:keepLines/>
              <w:spacing w:after="0" w:line="240" w:lineRule="auto" w:before="0"/>
              <w:jc w:val="center"/>
              <w:rPr>
                <w:rFonts w:hint="eastAsia"/>
              </w:rPr>
            </w:pPr>
            <w:r>
              <w:rPr>
                <w:rFonts w:ascii="宋体" w:hAnsi="宋体" w:eastAsia="宋体"/>
                <w:color w:val="263442"/>
                <w:sz w:val="15"/>
              </w:rPr>
              <w:t>0.05、0.15、0.30</w:t>
            </w:r>
          </w:p>
        </w:tc>
      </w:tr>
      <w:tr w14:paraId="01A1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7A0CD513">
            <w:pPr>
              <w:keepLines/>
              <w:spacing w:after="0" w:line="240" w:lineRule="auto" w:before="0"/>
              <w:jc w:val="left"/>
              <w:rPr>
                <w:rFonts w:hint="eastAsia"/>
              </w:rPr>
            </w:pPr>
            <w:r>
              <w:rPr>
                <w:rFonts w:ascii="宋体" w:hAnsi="宋体" w:eastAsia="宋体"/>
                <w:color w:val="263442"/>
                <w:sz w:val="15"/>
              </w:rPr>
              <w:t>利率响应与效益量</w:t>
            </w:r>
          </w:p>
        </w:tc>
        <w:tc>
          <w:tcPr>
            <w:tcW w:w="1483" w:type="dxa"/>
            <w:tcMar>
              <w:top w:w="34" w:type="dxa"/>
              <w:left w:w="90" w:type="dxa"/>
              <w:bottom w:w="34" w:type="dxa"/>
              <w:right w:w="90" w:type="dxa"/>
              <w:start w:w="62" w:type="dxa"/>
              <w:end w:w="62" w:type="dxa"/>
            </w:tcMar>
            <w:vAlign w:val="center"/>
            <w:shd w:val="clear" w:color="auto" w:fill="F7F9FB"/>
          </w:tcPr>
          <w:p w14:paraId="59573216">
            <w:pPr>
              <w:keepLines/>
              <w:spacing w:after="0" w:line="240" w:lineRule="auto" w:before="0"/>
              <w:jc w:val="center"/>
              <w:rPr>
                <w:rFonts w:hint="eastAsia"/>
              </w:rPr>
            </w:pPr>
            <w:r>
              <w:rPr>
                <w:rFonts w:ascii="宋体" w:hAnsi="宋体" w:eastAsia="宋体"/>
                <w:color w:val="263442"/>
                <w:sz w:val="15"/>
              </w:rPr>
              <w:t>qᵢs(r)</w:t>
            </w:r>
          </w:p>
        </w:tc>
        <w:tc>
          <w:tcPr>
            <w:tcW w:w="4536" w:type="dxa"/>
            <w:tcMar>
              <w:top w:w="34" w:type="dxa"/>
              <w:left w:w="90" w:type="dxa"/>
              <w:bottom w:w="34" w:type="dxa"/>
              <w:right w:w="90" w:type="dxa"/>
              <w:start w:w="62" w:type="dxa"/>
              <w:end w:w="62" w:type="dxa"/>
            </w:tcMar>
            <w:vAlign w:val="center"/>
            <w:shd w:val="clear" w:color="auto" w:fill="F7F9FB"/>
          </w:tcPr>
          <w:p w14:paraId="01295D53">
            <w:pPr>
              <w:keepLines/>
              <w:spacing w:after="0" w:line="240" w:lineRule="auto" w:before="0"/>
              <w:jc w:val="left"/>
              <w:rPr>
                <w:rFonts w:hint="eastAsia"/>
              </w:rPr>
            </w:pPr>
            <w:r>
              <w:rPr>
                <w:rFonts w:ascii="宋体" w:hAnsi="宋体" w:eastAsia="宋体"/>
                <w:color w:val="263442"/>
                <w:sz w:val="15"/>
              </w:rPr>
              <w:t>情景 s、利率 r 下企业 i 的客户留存率</w:t>
            </w:r>
          </w:p>
        </w:tc>
        <w:tc>
          <w:tcPr>
            <w:tcW w:w="1584" w:type="dxa"/>
            <w:tcMar>
              <w:top w:w="34" w:type="dxa"/>
              <w:left w:w="90" w:type="dxa"/>
              <w:bottom w:w="34" w:type="dxa"/>
              <w:right w:w="90" w:type="dxa"/>
              <w:start w:w="62" w:type="dxa"/>
              <w:end w:w="62" w:type="dxa"/>
            </w:tcMar>
            <w:vAlign w:val="center"/>
            <w:shd w:val="clear" w:color="auto" w:fill="F7F9FB"/>
          </w:tcPr>
          <w:p w14:paraId="2AEDD8C6">
            <w:pPr>
              <w:keepLines/>
              <w:spacing w:after="0" w:line="240" w:lineRule="auto" w:before="0"/>
              <w:jc w:val="center"/>
              <w:rPr>
                <w:rFonts w:hint="eastAsia"/>
              </w:rPr>
            </w:pPr>
            <w:r>
              <w:rPr>
                <w:rFonts w:ascii="宋体" w:hAnsi="宋体" w:eastAsia="宋体"/>
                <w:color w:val="263442"/>
                <w:sz w:val="15"/>
              </w:rPr>
              <w:t>[0,1]</w:t>
            </w:r>
          </w:p>
        </w:tc>
      </w:tr>
      <w:tr w14:paraId="1925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3C91A2C3">
            <w:pPr>
              <w:keepLines/>
              <w:spacing w:after="0" w:line="240" w:lineRule="auto" w:before="0"/>
              <w:jc w:val="left"/>
              <w:rPr>
                <w:rFonts w:hint="eastAsia"/>
              </w:rPr>
            </w:pPr>
            <w:r>
              <w:rPr>
                <w:rFonts w:ascii="宋体" w:hAnsi="宋体" w:eastAsia="宋体"/>
                <w:color w:val="263442"/>
                <w:sz w:val="15"/>
              </w:rPr>
              <w:t>授信决策与约束量</w:t>
            </w:r>
          </w:p>
        </w:tc>
        <w:tc>
          <w:tcPr>
            <w:tcW w:w="1483" w:type="dxa"/>
            <w:tcMar>
              <w:top w:w="34" w:type="dxa"/>
              <w:left w:w="90" w:type="dxa"/>
              <w:bottom w:w="34" w:type="dxa"/>
              <w:right w:w="90" w:type="dxa"/>
              <w:start w:w="62" w:type="dxa"/>
              <w:end w:w="62" w:type="dxa"/>
            </w:tcMar>
            <w:vAlign w:val="center"/>
          </w:tcPr>
          <w:p w14:paraId="3A1DD929">
            <w:pPr>
              <w:keepLines/>
              <w:spacing w:after="0" w:line="240" w:lineRule="auto" w:before="0"/>
              <w:jc w:val="center"/>
              <w:rPr>
                <w:rFonts w:hint="eastAsia"/>
              </w:rPr>
            </w:pPr>
            <w:r>
              <w:rPr>
                <w:rFonts w:ascii="宋体" w:hAnsi="宋体" w:eastAsia="宋体"/>
                <w:color w:val="263442"/>
                <w:sz w:val="15"/>
              </w:rPr>
              <w:t>z</w:t>
            </w:r>
          </w:p>
        </w:tc>
        <w:tc>
          <w:tcPr>
            <w:tcW w:w="4536" w:type="dxa"/>
            <w:tcMar>
              <w:top w:w="34" w:type="dxa"/>
              <w:left w:w="90" w:type="dxa"/>
              <w:bottom w:w="34" w:type="dxa"/>
              <w:right w:w="90" w:type="dxa"/>
              <w:start w:w="62" w:type="dxa"/>
              <w:end w:w="62" w:type="dxa"/>
            </w:tcMar>
            <w:vAlign w:val="center"/>
          </w:tcPr>
          <w:p w14:paraId="2620DE13">
            <w:pPr>
              <w:keepLines/>
              <w:spacing w:after="0" w:line="240" w:lineRule="auto" w:before="0"/>
              <w:jc w:val="left"/>
              <w:rPr>
                <w:rFonts w:hint="eastAsia"/>
              </w:rPr>
            </w:pPr>
            <w:r>
              <w:rPr>
                <w:rFonts w:ascii="宋体" w:hAnsi="宋体" w:eastAsia="宋体"/>
                <w:color w:val="263442"/>
                <w:sz w:val="15"/>
              </w:rPr>
              <w:t>全部情景中的最坏组合总效益辅助变量</w:t>
            </w:r>
          </w:p>
        </w:tc>
        <w:tc>
          <w:tcPr>
            <w:tcW w:w="1584" w:type="dxa"/>
            <w:tcMar>
              <w:top w:w="34" w:type="dxa"/>
              <w:left w:w="90" w:type="dxa"/>
              <w:bottom w:w="34" w:type="dxa"/>
              <w:right w:w="90" w:type="dxa"/>
              <w:start w:w="62" w:type="dxa"/>
              <w:end w:w="62" w:type="dxa"/>
            </w:tcMar>
            <w:vAlign w:val="center"/>
          </w:tcPr>
          <w:p w14:paraId="55F4531F">
            <w:pPr>
              <w:keepLines/>
              <w:spacing w:after="0" w:line="240" w:lineRule="auto" w:before="0"/>
              <w:jc w:val="center"/>
              <w:rPr>
                <w:rFonts w:hint="eastAsia"/>
              </w:rPr>
            </w:pPr>
            <w:r>
              <w:rPr>
                <w:rFonts w:ascii="宋体" w:hAnsi="宋体" w:eastAsia="宋体"/>
                <w:color w:val="263442"/>
                <w:sz w:val="15"/>
              </w:rPr>
              <w:t>元</w:t>
            </w:r>
          </w:p>
        </w:tc>
      </w:tr>
      <w:tr w14:paraId="0C6B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55537A41">
            <w:pPr>
              <w:keepLines/>
              <w:spacing w:after="0" w:line="240" w:lineRule="auto" w:before="0"/>
              <w:jc w:val="left"/>
              <w:rPr>
                <w:rFonts w:hint="eastAsia"/>
              </w:rPr>
            </w:pPr>
            <w:r>
              <w:rPr>
                <w:rFonts w:ascii="宋体" w:hAnsi="宋体" w:eastAsia="宋体"/>
                <w:color w:val="263442"/>
                <w:sz w:val="15"/>
              </w:rPr>
              <w:t>索引</w:t>
            </w:r>
          </w:p>
        </w:tc>
        <w:tc>
          <w:tcPr>
            <w:tcW w:w="1483" w:type="dxa"/>
            <w:tcMar>
              <w:top w:w="34" w:type="dxa"/>
              <w:left w:w="90" w:type="dxa"/>
              <w:bottom w:w="34" w:type="dxa"/>
              <w:right w:w="90" w:type="dxa"/>
              <w:start w:w="62" w:type="dxa"/>
              <w:end w:w="62" w:type="dxa"/>
            </w:tcMar>
            <w:vAlign w:val="center"/>
            <w:shd w:val="clear" w:color="auto" w:fill="F7F9FB"/>
          </w:tcPr>
          <w:p w14:paraId="7E85E81A">
            <w:pPr>
              <w:keepLines/>
              <w:spacing w:after="0" w:line="240" w:lineRule="auto" w:before="0"/>
              <w:jc w:val="center"/>
              <w:rPr>
                <w:rFonts w:hint="eastAsia"/>
              </w:rPr>
            </w:pPr>
            <w:r>
              <w:rPr>
                <w:rFonts w:ascii="宋体" w:hAnsi="宋体" w:eastAsia="宋体"/>
                <w:color w:val="263442"/>
                <w:sz w:val="15"/>
              </w:rPr>
              <w:t>i</w:t>
            </w:r>
          </w:p>
        </w:tc>
        <w:tc>
          <w:tcPr>
            <w:tcW w:w="4536" w:type="dxa"/>
            <w:tcMar>
              <w:top w:w="34" w:type="dxa"/>
              <w:left w:w="90" w:type="dxa"/>
              <w:bottom w:w="34" w:type="dxa"/>
              <w:right w:w="90" w:type="dxa"/>
              <w:start w:w="62" w:type="dxa"/>
              <w:end w:w="62" w:type="dxa"/>
            </w:tcMar>
            <w:vAlign w:val="center"/>
            <w:shd w:val="clear" w:color="auto" w:fill="F7F9FB"/>
          </w:tcPr>
          <w:p w14:paraId="72261B23">
            <w:pPr>
              <w:keepLines/>
              <w:spacing w:after="0" w:line="240" w:lineRule="auto" w:before="0"/>
              <w:jc w:val="left"/>
              <w:rPr>
                <w:rFonts w:hint="eastAsia"/>
              </w:rPr>
            </w:pPr>
            <w:r>
              <w:rPr>
                <w:rFonts w:ascii="宋体" w:hAnsi="宋体" w:eastAsia="宋体"/>
                <w:color w:val="263442"/>
                <w:sz w:val="15"/>
              </w:rPr>
              <w:t>企业索引</w:t>
            </w:r>
          </w:p>
        </w:tc>
        <w:tc>
          <w:tcPr>
            <w:tcW w:w="1584" w:type="dxa"/>
            <w:tcMar>
              <w:top w:w="34" w:type="dxa"/>
              <w:left w:w="90" w:type="dxa"/>
              <w:bottom w:w="34" w:type="dxa"/>
              <w:right w:w="90" w:type="dxa"/>
              <w:start w:w="62" w:type="dxa"/>
              <w:end w:w="62" w:type="dxa"/>
            </w:tcMar>
            <w:vAlign w:val="center"/>
            <w:shd w:val="clear" w:color="auto" w:fill="F7F9FB"/>
          </w:tcPr>
          <w:p w14:paraId="3AEC0AEC">
            <w:pPr>
              <w:keepLines/>
              <w:spacing w:after="0" w:line="240" w:lineRule="auto" w:before="0"/>
              <w:jc w:val="center"/>
              <w:rPr>
                <w:rFonts w:hint="eastAsia"/>
              </w:rPr>
            </w:pPr>
            <w:r>
              <w:rPr>
                <w:rFonts w:ascii="宋体" w:hAnsi="宋体" w:eastAsia="宋体"/>
                <w:color w:val="263442"/>
                <w:sz w:val="15"/>
              </w:rPr>
              <w:t>企业集合</w:t>
            </w:r>
          </w:p>
        </w:tc>
      </w:tr>
      <w:tr w14:paraId="446E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1DC94DA2">
            <w:pPr>
              <w:keepLines/>
              <w:spacing w:after="0" w:line="240" w:lineRule="auto" w:before="0"/>
              <w:jc w:val="left"/>
              <w:rPr>
                <w:rFonts w:hint="eastAsia"/>
              </w:rPr>
            </w:pPr>
            <w:r>
              <w:rPr>
                <w:rFonts w:ascii="宋体" w:hAnsi="宋体" w:eastAsia="宋体"/>
                <w:color w:val="263442"/>
                <w:sz w:val="15"/>
              </w:rPr>
              <w:t>索引</w:t>
            </w:r>
          </w:p>
        </w:tc>
        <w:tc>
          <w:tcPr>
            <w:tcW w:w="1483" w:type="dxa"/>
            <w:tcMar>
              <w:top w:w="34" w:type="dxa"/>
              <w:left w:w="90" w:type="dxa"/>
              <w:bottom w:w="34" w:type="dxa"/>
              <w:right w:w="90" w:type="dxa"/>
              <w:start w:w="62" w:type="dxa"/>
              <w:end w:w="62" w:type="dxa"/>
            </w:tcMar>
            <w:vAlign w:val="center"/>
          </w:tcPr>
          <w:p w14:paraId="4EB3FAF8">
            <w:pPr>
              <w:keepLines/>
              <w:spacing w:after="0" w:line="240" w:lineRule="auto" w:before="0"/>
              <w:jc w:val="center"/>
              <w:rPr>
                <w:rFonts w:hint="eastAsia"/>
              </w:rPr>
            </w:pPr>
            <w:r>
              <w:rPr>
                <w:rFonts w:ascii="宋体" w:hAnsi="宋体" w:eastAsia="宋体"/>
                <w:color w:val="263442"/>
                <w:sz w:val="15"/>
              </w:rPr>
              <w:t>j</w:t>
            </w:r>
          </w:p>
        </w:tc>
        <w:tc>
          <w:tcPr>
            <w:tcW w:w="4536" w:type="dxa"/>
            <w:tcMar>
              <w:top w:w="34" w:type="dxa"/>
              <w:left w:w="90" w:type="dxa"/>
              <w:bottom w:w="34" w:type="dxa"/>
              <w:right w:w="90" w:type="dxa"/>
              <w:start w:w="62" w:type="dxa"/>
              <w:end w:w="62" w:type="dxa"/>
            </w:tcMar>
            <w:vAlign w:val="center"/>
          </w:tcPr>
          <w:p w14:paraId="69AFE1FE">
            <w:pPr>
              <w:keepLines/>
              <w:spacing w:after="0" w:line="240" w:lineRule="auto" w:before="0"/>
              <w:jc w:val="left"/>
              <w:rPr>
                <w:rFonts w:hint="eastAsia"/>
              </w:rPr>
            </w:pPr>
            <w:r>
              <w:rPr>
                <w:rFonts w:ascii="宋体" w:hAnsi="宋体" w:eastAsia="宋体"/>
                <w:color w:val="263442"/>
                <w:sz w:val="15"/>
              </w:rPr>
              <w:t>企业 i 的交易对手索引</w:t>
            </w:r>
          </w:p>
        </w:tc>
        <w:tc>
          <w:tcPr>
            <w:tcW w:w="1584" w:type="dxa"/>
            <w:tcMar>
              <w:top w:w="34" w:type="dxa"/>
              <w:left w:w="90" w:type="dxa"/>
              <w:bottom w:w="34" w:type="dxa"/>
              <w:right w:w="90" w:type="dxa"/>
              <w:start w:w="62" w:type="dxa"/>
              <w:end w:w="62" w:type="dxa"/>
            </w:tcMar>
            <w:vAlign w:val="center"/>
          </w:tcPr>
          <w:p w14:paraId="1B7DCEAD">
            <w:pPr>
              <w:keepLines/>
              <w:spacing w:after="0" w:line="240" w:lineRule="auto" w:before="0"/>
              <w:jc w:val="center"/>
              <w:rPr>
                <w:rFonts w:hint="eastAsia"/>
              </w:rPr>
            </w:pPr>
            <w:r>
              <w:rPr>
                <w:rFonts w:ascii="宋体" w:hAnsi="宋体" w:eastAsia="宋体"/>
                <w:color w:val="263442"/>
                <w:sz w:val="15"/>
              </w:rPr>
              <w:t>交易对手集合</w:t>
            </w:r>
          </w:p>
        </w:tc>
      </w:tr>
      <w:tr w14:paraId="3BC01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60BA91E9">
            <w:pPr>
              <w:keepLines/>
              <w:spacing w:after="0" w:line="240" w:lineRule="auto" w:before="0"/>
              <w:jc w:val="left"/>
              <w:rPr>
                <w:rFonts w:hint="eastAsia"/>
              </w:rPr>
            </w:pPr>
            <w:r>
              <w:rPr>
                <w:rFonts w:ascii="宋体" w:hAnsi="宋体" w:eastAsia="宋体"/>
                <w:color w:val="263442"/>
                <w:sz w:val="15"/>
              </w:rPr>
              <w:t>索引</w:t>
            </w:r>
          </w:p>
        </w:tc>
        <w:tc>
          <w:tcPr>
            <w:tcW w:w="1483" w:type="dxa"/>
            <w:tcMar>
              <w:top w:w="34" w:type="dxa"/>
              <w:left w:w="90" w:type="dxa"/>
              <w:bottom w:w="34" w:type="dxa"/>
              <w:right w:w="90" w:type="dxa"/>
              <w:start w:w="62" w:type="dxa"/>
              <w:end w:w="62" w:type="dxa"/>
            </w:tcMar>
            <w:vAlign w:val="center"/>
            <w:shd w:val="clear" w:color="auto" w:fill="F7F9FB"/>
          </w:tcPr>
          <w:p w14:paraId="707C9239">
            <w:pPr>
              <w:keepLines/>
              <w:spacing w:after="0" w:line="240" w:lineRule="auto" w:before="0"/>
              <w:jc w:val="center"/>
              <w:rPr>
                <w:rFonts w:hint="eastAsia"/>
              </w:rPr>
            </w:pPr>
            <w:r>
              <w:rPr>
                <w:rFonts w:ascii="宋体" w:hAnsi="宋体" w:eastAsia="宋体"/>
                <w:color w:val="263442"/>
                <w:sz w:val="15"/>
              </w:rPr>
              <w:t>k</w:t>
            </w:r>
          </w:p>
        </w:tc>
        <w:tc>
          <w:tcPr>
            <w:tcW w:w="4536" w:type="dxa"/>
            <w:tcMar>
              <w:top w:w="34" w:type="dxa"/>
              <w:left w:w="90" w:type="dxa"/>
              <w:bottom w:w="34" w:type="dxa"/>
              <w:right w:w="90" w:type="dxa"/>
              <w:start w:w="62" w:type="dxa"/>
              <w:end w:w="62" w:type="dxa"/>
            </w:tcMar>
            <w:vAlign w:val="center"/>
            <w:shd w:val="clear" w:color="auto" w:fill="F7F9FB"/>
          </w:tcPr>
          <w:p w14:paraId="76029B33">
            <w:pPr>
              <w:keepLines/>
              <w:spacing w:after="0" w:line="240" w:lineRule="auto" w:before="0"/>
              <w:jc w:val="left"/>
              <w:rPr>
                <w:rFonts w:hint="eastAsia"/>
              </w:rPr>
            </w:pPr>
            <w:r>
              <w:rPr>
                <w:rFonts w:ascii="宋体" w:hAnsi="宋体" w:eastAsia="宋体"/>
                <w:color w:val="263442"/>
                <w:sz w:val="15"/>
              </w:rPr>
              <w:t>信用评级索引，对应 A、B、C、D 四档</w:t>
            </w:r>
          </w:p>
        </w:tc>
        <w:tc>
          <w:tcPr>
            <w:tcW w:w="1584" w:type="dxa"/>
            <w:tcMar>
              <w:top w:w="34" w:type="dxa"/>
              <w:left w:w="90" w:type="dxa"/>
              <w:bottom w:w="34" w:type="dxa"/>
              <w:right w:w="90" w:type="dxa"/>
              <w:start w:w="62" w:type="dxa"/>
              <w:end w:w="62" w:type="dxa"/>
            </w:tcMar>
            <w:vAlign w:val="center"/>
            <w:shd w:val="clear" w:color="auto" w:fill="F7F9FB"/>
          </w:tcPr>
          <w:p w14:paraId="5D08F587">
            <w:pPr>
              <w:keepLines/>
              <w:spacing w:after="0" w:line="240" w:lineRule="auto" w:before="0"/>
              <w:jc w:val="center"/>
              <w:rPr>
                <w:rFonts w:hint="eastAsia"/>
              </w:rPr>
            </w:pPr>
            <w:r>
              <w:rPr>
                <w:rFonts w:ascii="宋体" w:hAnsi="宋体" w:eastAsia="宋体"/>
                <w:color w:val="263442"/>
                <w:sz w:val="15"/>
              </w:rPr>
              <w:t>{A,B,C,D}</w:t>
            </w:r>
          </w:p>
        </w:tc>
      </w:tr>
      <w:tr w14:paraId="7E3A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53EEC6F2">
            <w:pPr>
              <w:keepLines/>
              <w:spacing w:after="0" w:line="240" w:lineRule="auto" w:before="0"/>
              <w:jc w:val="left"/>
              <w:rPr>
                <w:rFonts w:hint="eastAsia"/>
              </w:rPr>
            </w:pPr>
            <w:r>
              <w:rPr>
                <w:rFonts w:ascii="宋体" w:hAnsi="宋体" w:eastAsia="宋体"/>
                <w:color w:val="263442"/>
                <w:sz w:val="15"/>
              </w:rPr>
              <w:t>索引</w:t>
            </w:r>
          </w:p>
        </w:tc>
        <w:tc>
          <w:tcPr>
            <w:tcW w:w="1483" w:type="dxa"/>
            <w:tcMar>
              <w:top w:w="34" w:type="dxa"/>
              <w:left w:w="90" w:type="dxa"/>
              <w:bottom w:w="34" w:type="dxa"/>
              <w:right w:w="90" w:type="dxa"/>
              <w:start w:w="62" w:type="dxa"/>
              <w:end w:w="62" w:type="dxa"/>
            </w:tcMar>
            <w:vAlign w:val="center"/>
          </w:tcPr>
          <w:p w14:paraId="0A530503">
            <w:pPr>
              <w:keepLines/>
              <w:spacing w:after="0" w:line="240" w:lineRule="auto" w:before="0"/>
              <w:jc w:val="center"/>
              <w:rPr>
                <w:rFonts w:hint="eastAsia"/>
              </w:rPr>
            </w:pPr>
            <w:r>
              <w:rPr>
                <w:rFonts w:ascii="宋体" w:hAnsi="宋体" w:eastAsia="宋体"/>
                <w:color w:val="263442"/>
                <w:sz w:val="15"/>
              </w:rPr>
              <w:t>s</w:t>
            </w:r>
          </w:p>
        </w:tc>
        <w:tc>
          <w:tcPr>
            <w:tcW w:w="4536" w:type="dxa"/>
            <w:tcMar>
              <w:top w:w="34" w:type="dxa"/>
              <w:left w:w="90" w:type="dxa"/>
              <w:bottom w:w="34" w:type="dxa"/>
              <w:right w:w="90" w:type="dxa"/>
              <w:start w:w="62" w:type="dxa"/>
              <w:end w:w="62" w:type="dxa"/>
            </w:tcMar>
            <w:vAlign w:val="center"/>
          </w:tcPr>
          <w:p w14:paraId="2DF4086D">
            <w:pPr>
              <w:keepLines/>
              <w:spacing w:after="0" w:line="240" w:lineRule="auto" w:before="0"/>
              <w:jc w:val="left"/>
              <w:rPr>
                <w:rFonts w:hint="eastAsia"/>
              </w:rPr>
            </w:pPr>
            <w:r>
              <w:rPr>
                <w:rFonts w:ascii="宋体" w:hAnsi="宋体" w:eastAsia="宋体"/>
                <w:color w:val="263442"/>
                <w:sz w:val="15"/>
              </w:rPr>
              <w:t>压力情景索引，对应轻度、中度、重度</w:t>
            </w:r>
          </w:p>
        </w:tc>
        <w:tc>
          <w:tcPr>
            <w:tcW w:w="1584" w:type="dxa"/>
            <w:tcMar>
              <w:top w:w="34" w:type="dxa"/>
              <w:left w:w="90" w:type="dxa"/>
              <w:bottom w:w="34" w:type="dxa"/>
              <w:right w:w="90" w:type="dxa"/>
              <w:start w:w="62" w:type="dxa"/>
              <w:end w:w="62" w:type="dxa"/>
            </w:tcMar>
            <w:vAlign w:val="center"/>
          </w:tcPr>
          <w:p w14:paraId="05F40A41">
            <w:pPr>
              <w:keepLines/>
              <w:spacing w:after="0" w:line="240" w:lineRule="auto" w:before="0"/>
              <w:jc w:val="center"/>
              <w:rPr>
                <w:rFonts w:hint="eastAsia"/>
              </w:rPr>
            </w:pPr>
            <w:r>
              <w:rPr>
                <w:rFonts w:ascii="宋体" w:hAnsi="宋体" w:eastAsia="宋体"/>
                <w:color w:val="263442"/>
                <w:sz w:val="15"/>
              </w:rPr>
              <w:t>{轻度,中度,重度}</w:t>
            </w:r>
          </w:p>
        </w:tc>
      </w:tr>
      <w:tr w14:paraId="65EC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13EFD70F">
            <w:pPr>
              <w:keepLines/>
              <w:spacing w:after="0" w:line="240" w:lineRule="auto" w:before="0"/>
              <w:jc w:val="left"/>
              <w:rPr>
                <w:rFonts w:hint="eastAsia"/>
              </w:rPr>
            </w:pPr>
            <w:r>
              <w:rPr>
                <w:rFonts w:ascii="宋体" w:hAnsi="宋体" w:eastAsia="宋体"/>
                <w:color w:val="263442"/>
                <w:sz w:val="15"/>
              </w:rPr>
              <w:t>概率向量</w:t>
            </w:r>
          </w:p>
        </w:tc>
        <w:tc>
          <w:tcPr>
            <w:tcW w:w="1483" w:type="dxa"/>
            <w:tcMar>
              <w:top w:w="34" w:type="dxa"/>
              <w:left w:w="90" w:type="dxa"/>
              <w:bottom w:w="34" w:type="dxa"/>
              <w:right w:w="90" w:type="dxa"/>
              <w:start w:w="62" w:type="dxa"/>
              <w:end w:w="62" w:type="dxa"/>
            </w:tcMar>
            <w:vAlign w:val="center"/>
            <w:shd w:val="clear" w:color="auto" w:fill="F7F9FB"/>
          </w:tcPr>
          <w:p w14:paraId="731A0D2C">
            <w:pPr>
              <w:keepLines/>
              <w:spacing w:after="0" w:line="240" w:lineRule="auto" w:before="0"/>
              <w:jc w:val="center"/>
              <w:rPr>
                <w:rFonts w:hint="eastAsia"/>
              </w:rPr>
            </w:pPr>
            <w:r>
              <w:rPr>
                <w:rFonts w:ascii="宋体" w:hAnsi="宋体" w:eastAsia="宋体"/>
                <w:color w:val="263442"/>
                <w:sz w:val="15"/>
              </w:rPr>
              <w:t>pᵢ</w:t>
            </w:r>
          </w:p>
        </w:tc>
        <w:tc>
          <w:tcPr>
            <w:tcW w:w="4536" w:type="dxa"/>
            <w:tcMar>
              <w:top w:w="34" w:type="dxa"/>
              <w:left w:w="90" w:type="dxa"/>
              <w:bottom w:w="34" w:type="dxa"/>
              <w:right w:w="90" w:type="dxa"/>
              <w:start w:w="62" w:type="dxa"/>
              <w:end w:w="62" w:type="dxa"/>
            </w:tcMar>
            <w:vAlign w:val="center"/>
            <w:shd w:val="clear" w:color="auto" w:fill="F7F9FB"/>
          </w:tcPr>
          <w:p w14:paraId="49785010">
            <w:pPr>
              <w:keepLines/>
              <w:spacing w:after="0" w:line="240" w:lineRule="auto" w:before="0"/>
              <w:jc w:val="left"/>
              <w:rPr>
                <w:rFonts w:hint="eastAsia"/>
              </w:rPr>
            </w:pPr>
            <w:r>
              <w:rPr>
                <w:rFonts w:ascii="宋体" w:hAnsi="宋体" w:eastAsia="宋体"/>
                <w:color w:val="263442"/>
                <w:sz w:val="15"/>
              </w:rPr>
              <w:t>企业 i 在 A、B、C、D 评级顺序下的融合概率向量</w:t>
            </w:r>
          </w:p>
        </w:tc>
        <w:tc>
          <w:tcPr>
            <w:tcW w:w="1584" w:type="dxa"/>
            <w:tcMar>
              <w:top w:w="34" w:type="dxa"/>
              <w:left w:w="90" w:type="dxa"/>
              <w:bottom w:w="34" w:type="dxa"/>
              <w:right w:w="90" w:type="dxa"/>
              <w:start w:w="62" w:type="dxa"/>
              <w:end w:w="62" w:type="dxa"/>
            </w:tcMar>
            <w:vAlign w:val="center"/>
            <w:shd w:val="clear" w:color="auto" w:fill="F7F9FB"/>
          </w:tcPr>
          <w:p w14:paraId="27A4520D">
            <w:pPr>
              <w:keepLines/>
              <w:spacing w:after="0" w:line="240" w:lineRule="auto" w:before="0"/>
              <w:jc w:val="center"/>
              <w:rPr>
                <w:rFonts w:hint="eastAsia"/>
              </w:rPr>
            </w:pPr>
            <w:r>
              <w:rPr>
                <w:rFonts w:ascii="宋体" w:hAnsi="宋体" w:eastAsia="宋体"/>
                <w:color w:val="263442"/>
                <w:sz w:val="15"/>
              </w:rPr>
              <w:t>各分量属于[0,1]</w:t>
            </w:r>
          </w:p>
        </w:tc>
      </w:tr>
      <w:tr w14:paraId="63F18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3E0B9E7F">
            <w:pPr>
              <w:keepLines/>
              <w:spacing w:after="0" w:line="240" w:lineRule="auto" w:before="0"/>
              <w:jc w:val="left"/>
              <w:rPr>
                <w:rFonts w:hint="eastAsia"/>
              </w:rPr>
            </w:pPr>
            <w:r>
              <w:rPr>
                <w:rFonts w:ascii="宋体" w:hAnsi="宋体" w:eastAsia="宋体"/>
                <w:color w:val="263442"/>
                <w:sz w:val="15"/>
              </w:rPr>
              <w:t>概率向量</w:t>
            </w:r>
          </w:p>
        </w:tc>
        <w:tc>
          <w:tcPr>
            <w:tcW w:w="1483" w:type="dxa"/>
            <w:tcMar>
              <w:top w:w="34" w:type="dxa"/>
              <w:left w:w="90" w:type="dxa"/>
              <w:bottom w:w="34" w:type="dxa"/>
              <w:right w:w="90" w:type="dxa"/>
              <w:start w:w="62" w:type="dxa"/>
              <w:end w:w="62" w:type="dxa"/>
            </w:tcMar>
            <w:vAlign w:val="center"/>
          </w:tcPr>
          <w:p w14:paraId="5ECC4859">
            <w:pPr>
              <w:keepLines/>
              <w:spacing w:after="0" w:line="240" w:lineRule="auto" w:before="0"/>
              <w:jc w:val="center"/>
              <w:rPr>
                <w:rFonts w:hint="eastAsia"/>
              </w:rPr>
            </w:pPr>
            <w:r>
              <w:rPr>
                <w:rFonts w:ascii="宋体" w:hAnsi="宋体" w:eastAsia="宋体"/>
                <w:color w:val="263442"/>
                <w:sz w:val="15"/>
              </w:rPr>
              <w:t>pᵢˣᵍᵇ</w:t>
            </w:r>
          </w:p>
        </w:tc>
        <w:tc>
          <w:tcPr>
            <w:tcW w:w="4536" w:type="dxa"/>
            <w:tcMar>
              <w:top w:w="34" w:type="dxa"/>
              <w:left w:w="90" w:type="dxa"/>
              <w:bottom w:w="34" w:type="dxa"/>
              <w:right w:w="90" w:type="dxa"/>
              <w:start w:w="62" w:type="dxa"/>
              <w:end w:w="62" w:type="dxa"/>
            </w:tcMar>
            <w:vAlign w:val="center"/>
          </w:tcPr>
          <w:p w14:paraId="5E0072D8">
            <w:pPr>
              <w:keepLines/>
              <w:spacing w:after="0" w:line="240" w:lineRule="auto" w:before="0"/>
              <w:jc w:val="left"/>
              <w:rPr>
                <w:rFonts w:hint="eastAsia"/>
              </w:rPr>
            </w:pPr>
            <w:r>
              <w:rPr>
                <w:rFonts w:ascii="宋体" w:hAnsi="宋体" w:eastAsia="宋体"/>
                <w:color w:val="263442"/>
                <w:sz w:val="15"/>
              </w:rPr>
              <w:t>XGBoost 分量对企业 i 的四级评级概率向量</w:t>
            </w:r>
          </w:p>
        </w:tc>
        <w:tc>
          <w:tcPr>
            <w:tcW w:w="1584" w:type="dxa"/>
            <w:tcMar>
              <w:top w:w="34" w:type="dxa"/>
              <w:left w:w="90" w:type="dxa"/>
              <w:bottom w:w="34" w:type="dxa"/>
              <w:right w:w="90" w:type="dxa"/>
              <w:start w:w="62" w:type="dxa"/>
              <w:end w:w="62" w:type="dxa"/>
            </w:tcMar>
            <w:vAlign w:val="center"/>
          </w:tcPr>
          <w:p w14:paraId="5242B39E">
            <w:pPr>
              <w:keepLines/>
              <w:spacing w:after="0" w:line="240" w:lineRule="auto" w:before="0"/>
              <w:jc w:val="center"/>
              <w:rPr>
                <w:rFonts w:hint="eastAsia"/>
              </w:rPr>
            </w:pPr>
            <w:r>
              <w:rPr>
                <w:rFonts w:ascii="宋体" w:hAnsi="宋体" w:eastAsia="宋体"/>
                <w:color w:val="263442"/>
                <w:sz w:val="15"/>
              </w:rPr>
              <w:t>各分量属于[0,1]</w:t>
            </w:r>
          </w:p>
        </w:tc>
      </w:tr>
      <w:tr w14:paraId="2EFF3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4374DCA5">
            <w:pPr>
              <w:keepLines/>
              <w:spacing w:after="0" w:line="240" w:lineRule="auto" w:before="0"/>
              <w:jc w:val="left"/>
              <w:rPr>
                <w:rFonts w:hint="eastAsia"/>
              </w:rPr>
            </w:pPr>
            <w:r>
              <w:rPr>
                <w:rFonts w:ascii="宋体" w:hAnsi="宋体" w:eastAsia="宋体"/>
                <w:color w:val="263442"/>
                <w:sz w:val="15"/>
              </w:rPr>
              <w:t>概率向量</w:t>
            </w:r>
          </w:p>
        </w:tc>
        <w:tc>
          <w:tcPr>
            <w:tcW w:w="1483" w:type="dxa"/>
            <w:tcMar>
              <w:top w:w="34" w:type="dxa"/>
              <w:left w:w="90" w:type="dxa"/>
              <w:bottom w:w="34" w:type="dxa"/>
              <w:right w:w="90" w:type="dxa"/>
              <w:start w:w="62" w:type="dxa"/>
              <w:end w:w="62" w:type="dxa"/>
            </w:tcMar>
            <w:vAlign w:val="center"/>
            <w:shd w:val="clear" w:color="auto" w:fill="F7F9FB"/>
          </w:tcPr>
          <w:p w14:paraId="75417DFB">
            <w:pPr>
              <w:keepLines/>
              <w:spacing w:after="0" w:line="240" w:lineRule="auto" w:before="0"/>
              <w:jc w:val="center"/>
              <w:rPr>
                <w:rFonts w:hint="eastAsia"/>
              </w:rPr>
            </w:pPr>
            <w:r>
              <w:rPr>
                <w:rFonts w:ascii="宋体" w:hAnsi="宋体" w:eastAsia="宋体"/>
                <w:color w:val="263442"/>
                <w:sz w:val="15"/>
              </w:rPr>
              <w:t>pᵢˡᵒᵍ</w:t>
            </w:r>
          </w:p>
        </w:tc>
        <w:tc>
          <w:tcPr>
            <w:tcW w:w="4536" w:type="dxa"/>
            <w:tcMar>
              <w:top w:w="34" w:type="dxa"/>
              <w:left w:w="90" w:type="dxa"/>
              <w:bottom w:w="34" w:type="dxa"/>
              <w:right w:w="90" w:type="dxa"/>
              <w:start w:w="62" w:type="dxa"/>
              <w:end w:w="62" w:type="dxa"/>
            </w:tcMar>
            <w:vAlign w:val="center"/>
            <w:shd w:val="clear" w:color="auto" w:fill="F7F9FB"/>
          </w:tcPr>
          <w:p w14:paraId="6C8AF06E">
            <w:pPr>
              <w:keepLines/>
              <w:spacing w:after="0" w:line="240" w:lineRule="auto" w:before="0"/>
              <w:jc w:val="left"/>
              <w:rPr>
                <w:rFonts w:hint="eastAsia"/>
              </w:rPr>
            </w:pPr>
            <w:r>
              <w:rPr>
                <w:rFonts w:ascii="宋体" w:hAnsi="宋体" w:eastAsia="宋体"/>
                <w:color w:val="263442"/>
                <w:sz w:val="15"/>
              </w:rPr>
              <w:t>Logistic 分量对企业 i 的四级评级概率向量</w:t>
            </w:r>
          </w:p>
        </w:tc>
        <w:tc>
          <w:tcPr>
            <w:tcW w:w="1584" w:type="dxa"/>
            <w:tcMar>
              <w:top w:w="34" w:type="dxa"/>
              <w:left w:w="90" w:type="dxa"/>
              <w:bottom w:w="34" w:type="dxa"/>
              <w:right w:w="90" w:type="dxa"/>
              <w:start w:w="62" w:type="dxa"/>
              <w:end w:w="62" w:type="dxa"/>
            </w:tcMar>
            <w:vAlign w:val="center"/>
            <w:shd w:val="clear" w:color="auto" w:fill="F7F9FB"/>
          </w:tcPr>
          <w:p w14:paraId="29369BAE">
            <w:pPr>
              <w:keepLines/>
              <w:spacing w:after="0" w:line="240" w:lineRule="auto" w:before="0"/>
              <w:jc w:val="center"/>
              <w:rPr>
                <w:rFonts w:hint="eastAsia"/>
              </w:rPr>
            </w:pPr>
            <w:r>
              <w:rPr>
                <w:rFonts w:ascii="宋体" w:hAnsi="宋体" w:eastAsia="宋体"/>
                <w:color w:val="263442"/>
                <w:sz w:val="15"/>
              </w:rPr>
              <w:t>各分量属于[0,1]</w:t>
            </w:r>
          </w:p>
        </w:tc>
      </w:tr>
      <w:tr w14:paraId="0A6F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0FB29BC7">
            <w:pPr>
              <w:keepLines/>
              <w:spacing w:after="0" w:line="240" w:lineRule="auto" w:before="0"/>
              <w:jc w:val="left"/>
              <w:rPr>
                <w:rFonts w:hint="eastAsia"/>
              </w:rPr>
            </w:pPr>
            <w:r>
              <w:rPr>
                <w:rFonts w:ascii="宋体" w:hAnsi="宋体" w:eastAsia="宋体"/>
                <w:color w:val="263442"/>
                <w:sz w:val="15"/>
              </w:rPr>
              <w:t>融合参数</w:t>
            </w:r>
          </w:p>
        </w:tc>
        <w:tc>
          <w:tcPr>
            <w:tcW w:w="1483" w:type="dxa"/>
            <w:tcMar>
              <w:top w:w="34" w:type="dxa"/>
              <w:left w:w="90" w:type="dxa"/>
              <w:bottom w:w="34" w:type="dxa"/>
              <w:right w:w="90" w:type="dxa"/>
              <w:start w:w="62" w:type="dxa"/>
              <w:end w:w="62" w:type="dxa"/>
            </w:tcMar>
            <w:vAlign w:val="center"/>
          </w:tcPr>
          <w:p w14:paraId="520EE5B4">
            <w:pPr>
              <w:keepLines/>
              <w:spacing w:after="0" w:line="240" w:lineRule="auto" w:before="0"/>
              <w:jc w:val="center"/>
              <w:rPr>
                <w:rFonts w:hint="eastAsia"/>
              </w:rPr>
            </w:pPr>
            <w:r>
              <w:rPr>
                <w:rFonts w:ascii="宋体" w:hAnsi="宋体" w:eastAsia="宋体"/>
                <w:color w:val="263442"/>
                <w:sz w:val="15"/>
              </w:rPr>
              <w:t>ω</w:t>
            </w:r>
          </w:p>
        </w:tc>
        <w:tc>
          <w:tcPr>
            <w:tcW w:w="4536" w:type="dxa"/>
            <w:tcMar>
              <w:top w:w="34" w:type="dxa"/>
              <w:left w:w="90" w:type="dxa"/>
              <w:bottom w:w="34" w:type="dxa"/>
              <w:right w:w="90" w:type="dxa"/>
              <w:start w:w="62" w:type="dxa"/>
              <w:end w:w="62" w:type="dxa"/>
            </w:tcMar>
            <w:vAlign w:val="center"/>
          </w:tcPr>
          <w:p w14:paraId="208EFE03">
            <w:pPr>
              <w:keepLines/>
              <w:spacing w:after="0" w:line="240" w:lineRule="auto" w:before="0"/>
              <w:jc w:val="left"/>
              <w:rPr>
                <w:rFonts w:hint="eastAsia"/>
              </w:rPr>
            </w:pPr>
            <w:r>
              <w:rPr>
                <w:rFonts w:ascii="宋体" w:hAnsi="宋体" w:eastAsia="宋体"/>
                <w:color w:val="263442"/>
                <w:sz w:val="15"/>
              </w:rPr>
              <w:t>XGBoost 概率向量的融合权重</w:t>
            </w:r>
          </w:p>
        </w:tc>
        <w:tc>
          <w:tcPr>
            <w:tcW w:w="1584" w:type="dxa"/>
            <w:tcMar>
              <w:top w:w="34" w:type="dxa"/>
              <w:left w:w="90" w:type="dxa"/>
              <w:bottom w:w="34" w:type="dxa"/>
              <w:right w:w="90" w:type="dxa"/>
              <w:start w:w="62" w:type="dxa"/>
              <w:end w:w="62" w:type="dxa"/>
            </w:tcMar>
            <w:vAlign w:val="center"/>
          </w:tcPr>
          <w:p w14:paraId="28B387D7">
            <w:pPr>
              <w:keepLines/>
              <w:spacing w:after="0" w:line="240" w:lineRule="auto" w:before="0"/>
              <w:jc w:val="center"/>
              <w:rPr>
                <w:rFonts w:hint="eastAsia"/>
              </w:rPr>
            </w:pPr>
            <w:r>
              <w:rPr>
                <w:rFonts w:ascii="宋体" w:hAnsi="宋体" w:eastAsia="宋体"/>
                <w:color w:val="263442"/>
                <w:sz w:val="15"/>
              </w:rPr>
              <w:t>0.80</w:t>
            </w:r>
          </w:p>
        </w:tc>
      </w:tr>
      <w:tr w14:paraId="6264A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632967EC">
            <w:pPr>
              <w:keepLines/>
              <w:spacing w:after="0" w:line="240" w:lineRule="auto" w:before="0"/>
              <w:jc w:val="left"/>
              <w:rPr>
                <w:rFonts w:hint="eastAsia"/>
              </w:rPr>
            </w:pPr>
            <w:r>
              <w:rPr>
                <w:rFonts w:ascii="宋体" w:hAnsi="宋体" w:eastAsia="宋体"/>
                <w:color w:val="263442"/>
                <w:sz w:val="15"/>
              </w:rPr>
              <w:t>平滑量</w:t>
            </w:r>
          </w:p>
        </w:tc>
        <w:tc>
          <w:tcPr>
            <w:tcW w:w="1483" w:type="dxa"/>
            <w:tcMar>
              <w:top w:w="34" w:type="dxa"/>
              <w:left w:w="90" w:type="dxa"/>
              <w:bottom w:w="34" w:type="dxa"/>
              <w:right w:w="90" w:type="dxa"/>
              <w:start w:w="62" w:type="dxa"/>
              <w:end w:w="62" w:type="dxa"/>
            </w:tcMar>
            <w:vAlign w:val="center"/>
            <w:shd w:val="clear" w:color="auto" w:fill="F7F9FB"/>
          </w:tcPr>
          <w:p w14:paraId="4684AC3D">
            <w:pPr>
              <w:keepLines/>
              <w:spacing w:after="0" w:line="240" w:lineRule="auto" w:before="0"/>
              <w:jc w:val="center"/>
              <w:rPr>
                <w:rFonts w:hint="eastAsia"/>
              </w:rPr>
            </w:pPr>
            <w:r>
              <w:rPr>
                <w:rFonts w:ascii="宋体" w:hAnsi="宋体" w:eastAsia="宋体"/>
                <w:color w:val="263442"/>
                <w:sz w:val="15"/>
              </w:rPr>
              <w:t>dₖ</w:t>
            </w:r>
          </w:p>
        </w:tc>
        <w:tc>
          <w:tcPr>
            <w:tcW w:w="4536" w:type="dxa"/>
            <w:tcMar>
              <w:top w:w="34" w:type="dxa"/>
              <w:left w:w="90" w:type="dxa"/>
              <w:bottom w:w="34" w:type="dxa"/>
              <w:right w:w="90" w:type="dxa"/>
              <w:start w:w="62" w:type="dxa"/>
              <w:end w:w="62" w:type="dxa"/>
            </w:tcMar>
            <w:vAlign w:val="center"/>
            <w:shd w:val="clear" w:color="auto" w:fill="F7F9FB"/>
          </w:tcPr>
          <w:p w14:paraId="6AD08264">
            <w:pPr>
              <w:keepLines/>
              <w:spacing w:after="0" w:line="240" w:lineRule="auto" w:before="0"/>
              <w:jc w:val="left"/>
              <w:rPr>
                <w:rFonts w:hint="eastAsia"/>
              </w:rPr>
            </w:pPr>
            <w:r>
              <w:rPr>
                <w:rFonts w:ascii="宋体" w:hAnsi="宋体" w:eastAsia="宋体"/>
                <w:color w:val="263442"/>
                <w:sz w:val="15"/>
              </w:rPr>
              <w:t>评级 k 的违约数</w:t>
            </w:r>
          </w:p>
        </w:tc>
        <w:tc>
          <w:tcPr>
            <w:tcW w:w="1584" w:type="dxa"/>
            <w:tcMar>
              <w:top w:w="34" w:type="dxa"/>
              <w:left w:w="90" w:type="dxa"/>
              <w:bottom w:w="34" w:type="dxa"/>
              <w:right w:w="90" w:type="dxa"/>
              <w:start w:w="62" w:type="dxa"/>
              <w:end w:w="62" w:type="dxa"/>
            </w:tcMar>
            <w:vAlign w:val="center"/>
            <w:shd w:val="clear" w:color="auto" w:fill="F7F9FB"/>
          </w:tcPr>
          <w:p w14:paraId="5C271530">
            <w:pPr>
              <w:keepLines/>
              <w:spacing w:after="0" w:line="240" w:lineRule="auto" w:before="0"/>
              <w:jc w:val="center"/>
              <w:rPr>
                <w:rFonts w:hint="eastAsia"/>
              </w:rPr>
            </w:pPr>
            <w:r>
              <w:rPr>
                <w:rFonts w:ascii="宋体" w:hAnsi="宋体" w:eastAsia="宋体"/>
                <w:color w:val="263442"/>
                <w:sz w:val="15"/>
              </w:rPr>
              <w:t>非负整数</w:t>
            </w:r>
          </w:p>
        </w:tc>
      </w:tr>
      <w:tr w14:paraId="5A58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4AF8740D">
            <w:pPr>
              <w:keepLines/>
              <w:spacing w:after="0" w:line="240" w:lineRule="auto" w:before="0"/>
              <w:jc w:val="left"/>
              <w:rPr>
                <w:rFonts w:hint="eastAsia"/>
              </w:rPr>
            </w:pPr>
            <w:r>
              <w:rPr>
                <w:rFonts w:ascii="宋体" w:hAnsi="宋体" w:eastAsia="宋体"/>
                <w:color w:val="263442"/>
                <w:sz w:val="15"/>
              </w:rPr>
              <w:t>平滑量</w:t>
            </w:r>
          </w:p>
        </w:tc>
        <w:tc>
          <w:tcPr>
            <w:tcW w:w="1483" w:type="dxa"/>
            <w:tcMar>
              <w:top w:w="34" w:type="dxa"/>
              <w:left w:w="90" w:type="dxa"/>
              <w:bottom w:w="34" w:type="dxa"/>
              <w:right w:w="90" w:type="dxa"/>
              <w:start w:w="62" w:type="dxa"/>
              <w:end w:w="62" w:type="dxa"/>
            </w:tcMar>
            <w:vAlign w:val="center"/>
          </w:tcPr>
          <w:p w14:paraId="3888F5CF">
            <w:pPr>
              <w:keepLines/>
              <w:spacing w:after="0" w:line="240" w:lineRule="auto" w:before="0"/>
              <w:jc w:val="center"/>
              <w:rPr>
                <w:rFonts w:hint="eastAsia"/>
              </w:rPr>
            </w:pPr>
            <w:r>
              <w:rPr>
                <w:rFonts w:ascii="宋体" w:hAnsi="宋体" w:eastAsia="宋体"/>
                <w:color w:val="263442"/>
                <w:sz w:val="15"/>
              </w:rPr>
              <w:t>nₖ</w:t>
            </w:r>
          </w:p>
        </w:tc>
        <w:tc>
          <w:tcPr>
            <w:tcW w:w="4536" w:type="dxa"/>
            <w:tcMar>
              <w:top w:w="34" w:type="dxa"/>
              <w:left w:w="90" w:type="dxa"/>
              <w:bottom w:w="34" w:type="dxa"/>
              <w:right w:w="90" w:type="dxa"/>
              <w:start w:w="62" w:type="dxa"/>
              <w:end w:w="62" w:type="dxa"/>
            </w:tcMar>
            <w:vAlign w:val="center"/>
          </w:tcPr>
          <w:p w14:paraId="794ACCEE">
            <w:pPr>
              <w:keepLines/>
              <w:spacing w:after="0" w:line="240" w:lineRule="auto" w:before="0"/>
              <w:jc w:val="left"/>
              <w:rPr>
                <w:rFonts w:hint="eastAsia"/>
              </w:rPr>
            </w:pPr>
            <w:r>
              <w:rPr>
                <w:rFonts w:ascii="宋体" w:hAnsi="宋体" w:eastAsia="宋体"/>
                <w:color w:val="263442"/>
                <w:sz w:val="15"/>
              </w:rPr>
              <w:t>评级 k 的企业数</w:t>
            </w:r>
          </w:p>
        </w:tc>
        <w:tc>
          <w:tcPr>
            <w:tcW w:w="1584" w:type="dxa"/>
            <w:tcMar>
              <w:top w:w="34" w:type="dxa"/>
              <w:left w:w="90" w:type="dxa"/>
              <w:bottom w:w="34" w:type="dxa"/>
              <w:right w:w="90" w:type="dxa"/>
              <w:start w:w="62" w:type="dxa"/>
              <w:end w:w="62" w:type="dxa"/>
            </w:tcMar>
            <w:vAlign w:val="center"/>
          </w:tcPr>
          <w:p w14:paraId="45A4B248">
            <w:pPr>
              <w:keepLines/>
              <w:spacing w:after="0" w:line="240" w:lineRule="auto" w:before="0"/>
              <w:jc w:val="center"/>
              <w:rPr>
                <w:rFonts w:hint="eastAsia"/>
              </w:rPr>
            </w:pPr>
            <w:r>
              <w:rPr>
                <w:rFonts w:ascii="宋体" w:hAnsi="宋体" w:eastAsia="宋体"/>
                <w:color w:val="263442"/>
                <w:sz w:val="15"/>
              </w:rPr>
              <w:t>正整数</w:t>
            </w:r>
          </w:p>
        </w:tc>
      </w:tr>
      <w:tr w14:paraId="0B00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0AE867F7">
            <w:pPr>
              <w:keepLines/>
              <w:spacing w:after="0" w:line="240" w:lineRule="auto" w:before="0"/>
              <w:jc w:val="left"/>
              <w:rPr>
                <w:rFonts w:hint="eastAsia"/>
              </w:rPr>
            </w:pPr>
            <w:r>
              <w:rPr>
                <w:rFonts w:ascii="宋体" w:hAnsi="宋体" w:eastAsia="宋体"/>
                <w:color w:val="263442"/>
                <w:sz w:val="15"/>
              </w:rPr>
              <w:t>平滑量</w:t>
            </w:r>
          </w:p>
        </w:tc>
        <w:tc>
          <w:tcPr>
            <w:tcW w:w="1483" w:type="dxa"/>
            <w:tcMar>
              <w:top w:w="34" w:type="dxa"/>
              <w:left w:w="90" w:type="dxa"/>
              <w:bottom w:w="34" w:type="dxa"/>
              <w:right w:w="90" w:type="dxa"/>
              <w:start w:w="62" w:type="dxa"/>
              <w:end w:w="62" w:type="dxa"/>
            </w:tcMar>
            <w:vAlign w:val="center"/>
            <w:shd w:val="clear" w:color="auto" w:fill="F7F9FB"/>
          </w:tcPr>
          <w:p w14:paraId="10E91FA9">
            <w:pPr>
              <w:keepLines/>
              <w:spacing w:after="0" w:line="240" w:lineRule="auto" w:before="0"/>
              <w:jc w:val="center"/>
              <w:rPr>
                <w:rFonts w:hint="eastAsia"/>
              </w:rPr>
            </w:pPr>
            <w:r>
              <w:rPr>
                <w:rFonts w:ascii="宋体" w:hAnsi="宋体" w:eastAsia="宋体"/>
                <w:color w:val="263442"/>
                <w:sz w:val="15"/>
              </w:rPr>
              <w:t>d̃ₖ</w:t>
            </w:r>
          </w:p>
        </w:tc>
        <w:tc>
          <w:tcPr>
            <w:tcW w:w="4536" w:type="dxa"/>
            <w:tcMar>
              <w:top w:w="34" w:type="dxa"/>
              <w:left w:w="90" w:type="dxa"/>
              <w:bottom w:w="34" w:type="dxa"/>
              <w:right w:w="90" w:type="dxa"/>
              <w:start w:w="62" w:type="dxa"/>
              <w:end w:w="62" w:type="dxa"/>
            </w:tcMar>
            <w:vAlign w:val="center"/>
            <w:shd w:val="clear" w:color="auto" w:fill="F7F9FB"/>
          </w:tcPr>
          <w:p w14:paraId="5A706152">
            <w:pPr>
              <w:keepLines/>
              <w:spacing w:after="0" w:line="240" w:lineRule="auto" w:before="0"/>
              <w:jc w:val="left"/>
              <w:rPr>
                <w:rFonts w:hint="eastAsia"/>
              </w:rPr>
            </w:pPr>
            <w:r>
              <w:rPr>
                <w:rFonts w:ascii="宋体" w:hAnsi="宋体" w:eastAsia="宋体"/>
                <w:color w:val="263442"/>
                <w:sz w:val="15"/>
              </w:rPr>
              <w:t>评级 k 经 Jeffreys 平滑后的违约损失尺度</w:t>
            </w:r>
          </w:p>
        </w:tc>
        <w:tc>
          <w:tcPr>
            <w:tcW w:w="1584" w:type="dxa"/>
            <w:tcMar>
              <w:top w:w="34" w:type="dxa"/>
              <w:left w:w="90" w:type="dxa"/>
              <w:bottom w:w="34" w:type="dxa"/>
              <w:right w:w="90" w:type="dxa"/>
              <w:start w:w="62" w:type="dxa"/>
              <w:end w:w="62" w:type="dxa"/>
            </w:tcMar>
            <w:vAlign w:val="center"/>
            <w:shd w:val="clear" w:color="auto" w:fill="F7F9FB"/>
          </w:tcPr>
          <w:p w14:paraId="24527935">
            <w:pPr>
              <w:keepLines/>
              <w:spacing w:after="0" w:line="240" w:lineRule="auto" w:before="0"/>
              <w:jc w:val="center"/>
              <w:rPr>
                <w:rFonts w:hint="eastAsia"/>
              </w:rPr>
            </w:pPr>
            <w:r>
              <w:rPr>
                <w:rFonts w:ascii="宋体" w:hAnsi="宋体" w:eastAsia="宋体"/>
                <w:color w:val="263442"/>
                <w:sz w:val="15"/>
              </w:rPr>
              <w:t>[0,1]</w:t>
            </w:r>
          </w:p>
        </w:tc>
      </w:tr>
      <w:tr w14:paraId="589C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332FF46C">
            <w:pPr>
              <w:keepLines/>
              <w:spacing w:after="0" w:line="240" w:lineRule="auto" w:before="0"/>
              <w:jc w:val="left"/>
              <w:rPr>
                <w:rFonts w:hint="eastAsia"/>
              </w:rPr>
            </w:pPr>
            <w:r>
              <w:rPr>
                <w:rFonts w:ascii="宋体" w:hAnsi="宋体" w:eastAsia="宋体"/>
                <w:color w:val="263442"/>
                <w:sz w:val="15"/>
              </w:rPr>
              <w:t>百分位函数</w:t>
            </w:r>
          </w:p>
        </w:tc>
        <w:tc>
          <w:tcPr>
            <w:tcW w:w="1483" w:type="dxa"/>
            <w:tcMar>
              <w:top w:w="34" w:type="dxa"/>
              <w:left w:w="90" w:type="dxa"/>
              <w:bottom w:w="34" w:type="dxa"/>
              <w:right w:w="90" w:type="dxa"/>
              <w:start w:w="62" w:type="dxa"/>
              <w:end w:w="62" w:type="dxa"/>
            </w:tcMar>
            <w:vAlign w:val="center"/>
          </w:tcPr>
          <w:p w14:paraId="51C0A940">
            <w:pPr>
              <w:keepLines/>
              <w:spacing w:after="0" w:line="240" w:lineRule="auto" w:before="0"/>
              <w:jc w:val="center"/>
              <w:rPr>
                <w:rFonts w:hint="eastAsia"/>
              </w:rPr>
            </w:pPr>
            <w:r>
              <w:rPr>
                <w:rFonts w:ascii="宋体" w:hAnsi="宋体" w:eastAsia="宋体"/>
                <w:color w:val="263442"/>
                <w:sz w:val="15"/>
              </w:rPr>
              <w:t>P(·)</w:t>
            </w:r>
          </w:p>
        </w:tc>
        <w:tc>
          <w:tcPr>
            <w:tcW w:w="4536" w:type="dxa"/>
            <w:tcMar>
              <w:top w:w="34" w:type="dxa"/>
              <w:left w:w="90" w:type="dxa"/>
              <w:bottom w:w="34" w:type="dxa"/>
              <w:right w:w="90" w:type="dxa"/>
              <w:start w:w="62" w:type="dxa"/>
              <w:end w:w="62" w:type="dxa"/>
            </w:tcMar>
            <w:vAlign w:val="center"/>
          </w:tcPr>
          <w:p w14:paraId="6729EA2B">
            <w:pPr>
              <w:keepLines/>
              <w:spacing w:after="0" w:line="240" w:lineRule="auto" w:before="0"/>
              <w:jc w:val="left"/>
              <w:rPr>
                <w:rFonts w:hint="eastAsia"/>
              </w:rPr>
            </w:pPr>
            <w:r>
              <w:rPr>
                <w:rFonts w:ascii="宋体" w:hAnsi="宋体" w:eastAsia="宋体"/>
                <w:color w:val="263442"/>
                <w:sz w:val="15"/>
              </w:rPr>
              <w:t>样本内百分位排序函数</w:t>
            </w:r>
          </w:p>
        </w:tc>
        <w:tc>
          <w:tcPr>
            <w:tcW w:w="1584" w:type="dxa"/>
            <w:tcMar>
              <w:top w:w="34" w:type="dxa"/>
              <w:left w:w="90" w:type="dxa"/>
              <w:bottom w:w="34" w:type="dxa"/>
              <w:right w:w="90" w:type="dxa"/>
              <w:start w:w="62" w:type="dxa"/>
              <w:end w:w="62" w:type="dxa"/>
            </w:tcMar>
            <w:vAlign w:val="center"/>
          </w:tcPr>
          <w:p w14:paraId="4E095F5E">
            <w:pPr>
              <w:keepLines/>
              <w:spacing w:after="0" w:line="240" w:lineRule="auto" w:before="0"/>
              <w:jc w:val="center"/>
              <w:rPr>
                <w:rFonts w:hint="eastAsia"/>
              </w:rPr>
            </w:pPr>
            <w:r>
              <w:rPr>
                <w:rFonts w:ascii="宋体" w:hAnsi="宋体" w:eastAsia="宋体"/>
                <w:color w:val="263442"/>
                <w:sz w:val="15"/>
              </w:rPr>
              <w:t>[0,1]</w:t>
            </w:r>
          </w:p>
        </w:tc>
      </w:tr>
      <w:tr w14:paraId="0858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06195865">
            <w:pPr>
              <w:keepLines/>
              <w:spacing w:after="0" w:line="240" w:lineRule="auto" w:before="0"/>
              <w:jc w:val="left"/>
              <w:rPr>
                <w:rFonts w:hint="eastAsia"/>
              </w:rPr>
            </w:pPr>
            <w:r>
              <w:rPr>
                <w:rFonts w:ascii="宋体" w:hAnsi="宋体" w:eastAsia="宋体"/>
                <w:color w:val="263442"/>
                <w:sz w:val="15"/>
              </w:rPr>
              <w:t>脆弱度构成量</w:t>
            </w:r>
          </w:p>
        </w:tc>
        <w:tc>
          <w:tcPr>
            <w:tcW w:w="1483" w:type="dxa"/>
            <w:tcMar>
              <w:top w:w="34" w:type="dxa"/>
              <w:left w:w="90" w:type="dxa"/>
              <w:bottom w:w="34" w:type="dxa"/>
              <w:right w:w="90" w:type="dxa"/>
              <w:start w:w="62" w:type="dxa"/>
              <w:end w:w="62" w:type="dxa"/>
            </w:tcMar>
            <w:vAlign w:val="center"/>
            <w:shd w:val="clear" w:color="auto" w:fill="F7F9FB"/>
          </w:tcPr>
          <w:p w14:paraId="1560CF5E">
            <w:pPr>
              <w:keepLines/>
              <w:spacing w:after="0" w:line="240" w:lineRule="auto" w:before="0"/>
              <w:jc w:val="center"/>
              <w:rPr>
                <w:rFonts w:hint="eastAsia"/>
              </w:rPr>
            </w:pPr>
            <w:r>
              <w:rPr>
                <w:rFonts w:ascii="宋体" w:hAnsi="宋体" w:eastAsia="宋体"/>
                <w:color w:val="263442"/>
                <w:sz w:val="15"/>
              </w:rPr>
              <w:t>CVᵢ</w:t>
            </w:r>
          </w:p>
        </w:tc>
        <w:tc>
          <w:tcPr>
            <w:tcW w:w="4536" w:type="dxa"/>
            <w:tcMar>
              <w:top w:w="34" w:type="dxa"/>
              <w:left w:w="90" w:type="dxa"/>
              <w:bottom w:w="34" w:type="dxa"/>
              <w:right w:w="90" w:type="dxa"/>
              <w:start w:w="62" w:type="dxa"/>
              <w:end w:w="62" w:type="dxa"/>
            </w:tcMar>
            <w:vAlign w:val="center"/>
            <w:shd w:val="clear" w:color="auto" w:fill="F7F9FB"/>
          </w:tcPr>
          <w:p w14:paraId="3E001739">
            <w:pPr>
              <w:keepLines/>
              <w:spacing w:after="0" w:line="240" w:lineRule="auto" w:before="0"/>
              <w:jc w:val="left"/>
              <w:rPr>
                <w:rFonts w:hint="eastAsia"/>
              </w:rPr>
            </w:pPr>
            <w:r>
              <w:rPr>
                <w:rFonts w:ascii="宋体" w:hAnsi="宋体" w:eastAsia="宋体"/>
                <w:color w:val="263442"/>
                <w:sz w:val="15"/>
              </w:rPr>
              <w:t>企业 i 的销项月度变异系数</w:t>
            </w:r>
          </w:p>
        </w:tc>
        <w:tc>
          <w:tcPr>
            <w:tcW w:w="1584" w:type="dxa"/>
            <w:tcMar>
              <w:top w:w="34" w:type="dxa"/>
              <w:left w:w="90" w:type="dxa"/>
              <w:bottom w:w="34" w:type="dxa"/>
              <w:right w:w="90" w:type="dxa"/>
              <w:start w:w="62" w:type="dxa"/>
              <w:end w:w="62" w:type="dxa"/>
            </w:tcMar>
            <w:vAlign w:val="center"/>
            <w:shd w:val="clear" w:color="auto" w:fill="F7F9FB"/>
          </w:tcPr>
          <w:p w14:paraId="2487C9E3">
            <w:pPr>
              <w:keepLines/>
              <w:spacing w:after="0" w:line="240" w:lineRule="auto" w:before="0"/>
              <w:jc w:val="center"/>
              <w:rPr>
                <w:rFonts w:hint="eastAsia"/>
              </w:rPr>
            </w:pPr>
            <w:r>
              <w:rPr>
                <w:rFonts w:ascii="宋体" w:hAnsi="宋体" w:eastAsia="宋体"/>
                <w:color w:val="263442"/>
                <w:sz w:val="15"/>
              </w:rPr>
              <w:t>无量纲</w:t>
            </w:r>
          </w:p>
        </w:tc>
      </w:tr>
      <w:tr w14:paraId="75A21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543D62B5">
            <w:pPr>
              <w:keepLines/>
              <w:spacing w:after="0" w:line="240" w:lineRule="auto" w:before="0"/>
              <w:jc w:val="left"/>
              <w:rPr>
                <w:rFonts w:hint="eastAsia"/>
              </w:rPr>
            </w:pPr>
            <w:r>
              <w:rPr>
                <w:rFonts w:ascii="宋体" w:hAnsi="宋体" w:eastAsia="宋体"/>
                <w:color w:val="263442"/>
                <w:sz w:val="15"/>
              </w:rPr>
              <w:t>脆弱度构成量</w:t>
            </w:r>
          </w:p>
        </w:tc>
        <w:tc>
          <w:tcPr>
            <w:tcW w:w="1483" w:type="dxa"/>
            <w:tcMar>
              <w:top w:w="34" w:type="dxa"/>
              <w:left w:w="90" w:type="dxa"/>
              <w:bottom w:w="34" w:type="dxa"/>
              <w:right w:w="90" w:type="dxa"/>
              <w:start w:w="62" w:type="dxa"/>
              <w:end w:w="62" w:type="dxa"/>
            </w:tcMar>
            <w:vAlign w:val="center"/>
          </w:tcPr>
          <w:p w14:paraId="52009551">
            <w:pPr>
              <w:keepLines/>
              <w:spacing w:after="0" w:line="240" w:lineRule="auto" w:before="0"/>
              <w:jc w:val="center"/>
              <w:rPr>
                <w:rFonts w:hint="eastAsia"/>
              </w:rPr>
            </w:pPr>
            <w:r>
              <w:rPr>
                <w:rFonts w:ascii="宋体" w:hAnsi="宋体" w:eastAsia="宋体"/>
                <w:color w:val="263442"/>
                <w:sz w:val="15"/>
              </w:rPr>
              <w:t>gᵢ</w:t>
            </w:r>
          </w:p>
        </w:tc>
        <w:tc>
          <w:tcPr>
            <w:tcW w:w="4536" w:type="dxa"/>
            <w:tcMar>
              <w:top w:w="34" w:type="dxa"/>
              <w:left w:w="90" w:type="dxa"/>
              <w:bottom w:w="34" w:type="dxa"/>
              <w:right w:w="90" w:type="dxa"/>
              <w:start w:w="62" w:type="dxa"/>
              <w:end w:w="62" w:type="dxa"/>
            </w:tcMar>
            <w:vAlign w:val="center"/>
          </w:tcPr>
          <w:p w14:paraId="7B6D1CEA">
            <w:pPr>
              <w:keepLines/>
              <w:spacing w:after="0" w:line="240" w:lineRule="auto" w:before="0"/>
              <w:jc w:val="left"/>
              <w:rPr>
                <w:rFonts w:hint="eastAsia"/>
              </w:rPr>
            </w:pPr>
            <w:r>
              <w:rPr>
                <w:rFonts w:ascii="宋体" w:hAnsi="宋体" w:eastAsia="宋体"/>
                <w:color w:val="263442"/>
                <w:sz w:val="15"/>
              </w:rPr>
              <w:t>企业 i 的销售近期变化指标，用于表征近期下滑</w:t>
            </w:r>
          </w:p>
        </w:tc>
        <w:tc>
          <w:tcPr>
            <w:tcW w:w="1584" w:type="dxa"/>
            <w:tcMar>
              <w:top w:w="34" w:type="dxa"/>
              <w:left w:w="90" w:type="dxa"/>
              <w:bottom w:w="34" w:type="dxa"/>
              <w:right w:w="90" w:type="dxa"/>
              <w:start w:w="62" w:type="dxa"/>
              <w:end w:w="62" w:type="dxa"/>
            </w:tcMar>
            <w:vAlign w:val="center"/>
          </w:tcPr>
          <w:p w14:paraId="23FB2AB4">
            <w:pPr>
              <w:keepLines/>
              <w:spacing w:after="0" w:line="240" w:lineRule="auto" w:before="0"/>
              <w:jc w:val="center"/>
              <w:rPr>
                <w:rFonts w:hint="eastAsia"/>
              </w:rPr>
            </w:pPr>
            <w:r>
              <w:rPr>
                <w:rFonts w:ascii="宋体" w:hAnsi="宋体" w:eastAsia="宋体"/>
                <w:color w:val="263442"/>
                <w:sz w:val="15"/>
              </w:rPr>
              <w:t>无量纲</w:t>
            </w:r>
          </w:p>
        </w:tc>
      </w:tr>
      <w:tr w14:paraId="6BB91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65A24F47">
            <w:pPr>
              <w:keepLines/>
              <w:spacing w:after="0" w:line="240" w:lineRule="auto" w:before="0"/>
              <w:jc w:val="left"/>
              <w:rPr>
                <w:rFonts w:hint="eastAsia"/>
              </w:rPr>
            </w:pPr>
            <w:r>
              <w:rPr>
                <w:rFonts w:ascii="宋体" w:hAnsi="宋体" w:eastAsia="宋体"/>
                <w:color w:val="263442"/>
                <w:sz w:val="15"/>
              </w:rPr>
              <w:t>脆弱度构成量</w:t>
            </w:r>
          </w:p>
        </w:tc>
        <w:tc>
          <w:tcPr>
            <w:tcW w:w="1483" w:type="dxa"/>
            <w:tcMar>
              <w:top w:w="34" w:type="dxa"/>
              <w:left w:w="90" w:type="dxa"/>
              <w:bottom w:w="34" w:type="dxa"/>
              <w:right w:w="90" w:type="dxa"/>
              <w:start w:w="62" w:type="dxa"/>
              <w:end w:w="62" w:type="dxa"/>
            </w:tcMar>
            <w:vAlign w:val="center"/>
            <w:shd w:val="clear" w:color="auto" w:fill="F7F9FB"/>
          </w:tcPr>
          <w:p w14:paraId="1EC83BB9">
            <w:pPr>
              <w:keepLines/>
              <w:spacing w:after="0" w:line="240" w:lineRule="auto" w:before="0"/>
              <w:jc w:val="center"/>
              <w:rPr>
                <w:rFonts w:hint="eastAsia"/>
              </w:rPr>
            </w:pPr>
            <w:r>
              <w:rPr>
                <w:rFonts w:ascii="宋体" w:hAnsi="宋体" w:eastAsia="宋体"/>
                <w:color w:val="263442"/>
                <w:sz w:val="15"/>
              </w:rPr>
              <w:t>HHIᵢˢ</w:t>
            </w:r>
          </w:p>
        </w:tc>
        <w:tc>
          <w:tcPr>
            <w:tcW w:w="4536" w:type="dxa"/>
            <w:tcMar>
              <w:top w:w="34" w:type="dxa"/>
              <w:left w:w="90" w:type="dxa"/>
              <w:bottom w:w="34" w:type="dxa"/>
              <w:right w:w="90" w:type="dxa"/>
              <w:start w:w="62" w:type="dxa"/>
              <w:end w:w="62" w:type="dxa"/>
            </w:tcMar>
            <w:vAlign w:val="center"/>
            <w:shd w:val="clear" w:color="auto" w:fill="F7F9FB"/>
          </w:tcPr>
          <w:p w14:paraId="02A7F563">
            <w:pPr>
              <w:keepLines/>
              <w:spacing w:after="0" w:line="240" w:lineRule="auto" w:before="0"/>
              <w:jc w:val="left"/>
              <w:rPr>
                <w:rFonts w:hint="eastAsia"/>
              </w:rPr>
            </w:pPr>
            <w:r>
              <w:rPr>
                <w:rFonts w:ascii="宋体" w:hAnsi="宋体" w:eastAsia="宋体"/>
                <w:color w:val="263442"/>
                <w:sz w:val="15"/>
              </w:rPr>
              <w:t>企业 i 的客户集中度 HHI</w:t>
            </w:r>
          </w:p>
        </w:tc>
        <w:tc>
          <w:tcPr>
            <w:tcW w:w="1584" w:type="dxa"/>
            <w:tcMar>
              <w:top w:w="34" w:type="dxa"/>
              <w:left w:w="90" w:type="dxa"/>
              <w:bottom w:w="34" w:type="dxa"/>
              <w:right w:w="90" w:type="dxa"/>
              <w:start w:w="62" w:type="dxa"/>
              <w:end w:w="62" w:type="dxa"/>
            </w:tcMar>
            <w:vAlign w:val="center"/>
            <w:shd w:val="clear" w:color="auto" w:fill="F7F9FB"/>
          </w:tcPr>
          <w:p w14:paraId="007D8DE4">
            <w:pPr>
              <w:keepLines/>
              <w:spacing w:after="0" w:line="240" w:lineRule="auto" w:before="0"/>
              <w:jc w:val="center"/>
              <w:rPr>
                <w:rFonts w:hint="eastAsia"/>
              </w:rPr>
            </w:pPr>
            <w:r>
              <w:rPr>
                <w:rFonts w:ascii="宋体" w:hAnsi="宋体" w:eastAsia="宋体"/>
                <w:color w:val="263442"/>
                <w:sz w:val="15"/>
              </w:rPr>
              <w:t>[0,1]</w:t>
            </w:r>
          </w:p>
        </w:tc>
      </w:tr>
      <w:tr w14:paraId="6390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3791CA91">
            <w:pPr>
              <w:keepLines/>
              <w:spacing w:after="0" w:line="240" w:lineRule="auto" w:before="0"/>
              <w:jc w:val="left"/>
              <w:rPr>
                <w:rFonts w:hint="eastAsia"/>
              </w:rPr>
            </w:pPr>
            <w:r>
              <w:rPr>
                <w:rFonts w:ascii="宋体" w:hAnsi="宋体" w:eastAsia="宋体"/>
                <w:color w:val="263442"/>
                <w:sz w:val="15"/>
              </w:rPr>
              <w:t>脆弱度构成量</w:t>
            </w:r>
          </w:p>
        </w:tc>
        <w:tc>
          <w:tcPr>
            <w:tcW w:w="1483" w:type="dxa"/>
            <w:tcMar>
              <w:top w:w="34" w:type="dxa"/>
              <w:left w:w="90" w:type="dxa"/>
              <w:bottom w:w="34" w:type="dxa"/>
              <w:right w:w="90" w:type="dxa"/>
              <w:start w:w="62" w:type="dxa"/>
              <w:end w:w="62" w:type="dxa"/>
            </w:tcMar>
            <w:vAlign w:val="center"/>
          </w:tcPr>
          <w:p w14:paraId="6F14E009">
            <w:pPr>
              <w:keepLines/>
              <w:spacing w:after="0" w:line="240" w:lineRule="auto" w:before="0"/>
              <w:jc w:val="center"/>
              <w:rPr>
                <w:rFonts w:hint="eastAsia"/>
              </w:rPr>
            </w:pPr>
            <w:r>
              <w:rPr>
                <w:rFonts w:ascii="宋体" w:hAnsi="宋体" w:eastAsia="宋体"/>
                <w:color w:val="263442"/>
                <w:sz w:val="15"/>
              </w:rPr>
              <w:t>HHIᵢᵖ</w:t>
            </w:r>
          </w:p>
        </w:tc>
        <w:tc>
          <w:tcPr>
            <w:tcW w:w="4536" w:type="dxa"/>
            <w:tcMar>
              <w:top w:w="34" w:type="dxa"/>
              <w:left w:w="90" w:type="dxa"/>
              <w:bottom w:w="34" w:type="dxa"/>
              <w:right w:w="90" w:type="dxa"/>
              <w:start w:w="62" w:type="dxa"/>
              <w:end w:w="62" w:type="dxa"/>
            </w:tcMar>
            <w:vAlign w:val="center"/>
          </w:tcPr>
          <w:p w14:paraId="0EE39E6D">
            <w:pPr>
              <w:keepLines/>
              <w:spacing w:after="0" w:line="240" w:lineRule="auto" w:before="0"/>
              <w:jc w:val="left"/>
              <w:rPr>
                <w:rFonts w:hint="eastAsia"/>
              </w:rPr>
            </w:pPr>
            <w:r>
              <w:rPr>
                <w:rFonts w:ascii="宋体" w:hAnsi="宋体" w:eastAsia="宋体"/>
                <w:color w:val="263442"/>
                <w:sz w:val="15"/>
              </w:rPr>
              <w:t>企业 i 的供应商集中度 HHI</w:t>
            </w:r>
          </w:p>
        </w:tc>
        <w:tc>
          <w:tcPr>
            <w:tcW w:w="1584" w:type="dxa"/>
            <w:tcMar>
              <w:top w:w="34" w:type="dxa"/>
              <w:left w:w="90" w:type="dxa"/>
              <w:bottom w:w="34" w:type="dxa"/>
              <w:right w:w="90" w:type="dxa"/>
              <w:start w:w="62" w:type="dxa"/>
              <w:end w:w="62" w:type="dxa"/>
            </w:tcMar>
            <w:vAlign w:val="center"/>
          </w:tcPr>
          <w:p w14:paraId="4D417777">
            <w:pPr>
              <w:keepLines/>
              <w:spacing w:after="0" w:line="240" w:lineRule="auto" w:before="0"/>
              <w:jc w:val="center"/>
              <w:rPr>
                <w:rFonts w:hint="eastAsia"/>
              </w:rPr>
            </w:pPr>
            <w:r>
              <w:rPr>
                <w:rFonts w:ascii="宋体" w:hAnsi="宋体" w:eastAsia="宋体"/>
                <w:color w:val="263442"/>
                <w:sz w:val="15"/>
              </w:rPr>
              <w:t>[0,1]</w:t>
            </w:r>
          </w:p>
        </w:tc>
      </w:tr>
      <w:tr w14:paraId="13696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shd w:val="clear" w:color="auto" w:fill="F7F9FB"/>
          </w:tcPr>
          <w:p w14:paraId="4A311D8C">
            <w:pPr>
              <w:keepLines/>
              <w:spacing w:after="0" w:line="240" w:lineRule="auto" w:before="0"/>
              <w:jc w:val="left"/>
              <w:rPr>
                <w:rFonts w:hint="eastAsia"/>
              </w:rPr>
            </w:pPr>
            <w:r>
              <w:rPr>
                <w:rFonts w:ascii="宋体" w:hAnsi="宋体" w:eastAsia="宋体"/>
                <w:color w:val="263442"/>
                <w:sz w:val="15"/>
              </w:rPr>
              <w:t>脆弱度构成量</w:t>
            </w:r>
          </w:p>
        </w:tc>
        <w:tc>
          <w:tcPr>
            <w:tcW w:w="1483" w:type="dxa"/>
            <w:tcMar>
              <w:top w:w="34" w:type="dxa"/>
              <w:left w:w="90" w:type="dxa"/>
              <w:bottom w:w="34" w:type="dxa"/>
              <w:right w:w="90" w:type="dxa"/>
              <w:start w:w="62" w:type="dxa"/>
              <w:end w:w="62" w:type="dxa"/>
            </w:tcMar>
            <w:vAlign w:val="center"/>
            <w:shd w:val="clear" w:color="auto" w:fill="F7F9FB"/>
          </w:tcPr>
          <w:p w14:paraId="594755AE">
            <w:pPr>
              <w:keepLines/>
              <w:spacing w:after="0" w:line="240" w:lineRule="auto" w:before="0"/>
              <w:jc w:val="center"/>
              <w:rPr>
                <w:rFonts w:hint="eastAsia"/>
              </w:rPr>
            </w:pPr>
            <w:r>
              <w:rPr>
                <w:rFonts w:ascii="宋体" w:hAnsi="宋体" w:eastAsia="宋体"/>
                <w:color w:val="263442"/>
                <w:sz w:val="15"/>
              </w:rPr>
              <w:t>negᵢ</w:t>
            </w:r>
          </w:p>
        </w:tc>
        <w:tc>
          <w:tcPr>
            <w:tcW w:w="4536" w:type="dxa"/>
            <w:tcMar>
              <w:top w:w="34" w:type="dxa"/>
              <w:left w:w="90" w:type="dxa"/>
              <w:bottom w:w="34" w:type="dxa"/>
              <w:right w:w="90" w:type="dxa"/>
              <w:start w:w="62" w:type="dxa"/>
              <w:end w:w="62" w:type="dxa"/>
            </w:tcMar>
            <w:vAlign w:val="center"/>
            <w:shd w:val="clear" w:color="auto" w:fill="F7F9FB"/>
          </w:tcPr>
          <w:p w14:paraId="20AEDB8A">
            <w:pPr>
              <w:keepLines/>
              <w:spacing w:after="0" w:line="240" w:lineRule="auto" w:before="0"/>
              <w:jc w:val="left"/>
              <w:rPr>
                <w:rFonts w:hint="eastAsia"/>
              </w:rPr>
            </w:pPr>
            <w:r>
              <w:rPr>
                <w:rFonts w:ascii="宋体" w:hAnsi="宋体" w:eastAsia="宋体"/>
                <w:color w:val="263442"/>
                <w:sz w:val="15"/>
              </w:rPr>
              <w:t>企业 i 的销项负数率</w:t>
            </w:r>
          </w:p>
        </w:tc>
        <w:tc>
          <w:tcPr>
            <w:tcW w:w="1584" w:type="dxa"/>
            <w:tcMar>
              <w:top w:w="34" w:type="dxa"/>
              <w:left w:w="90" w:type="dxa"/>
              <w:bottom w:w="34" w:type="dxa"/>
              <w:right w:w="90" w:type="dxa"/>
              <w:start w:w="62" w:type="dxa"/>
              <w:end w:w="62" w:type="dxa"/>
            </w:tcMar>
            <w:vAlign w:val="center"/>
            <w:shd w:val="clear" w:color="auto" w:fill="F7F9FB"/>
          </w:tcPr>
          <w:p w14:paraId="6F29031D">
            <w:pPr>
              <w:keepLines/>
              <w:spacing w:after="0" w:line="240" w:lineRule="auto" w:before="0"/>
              <w:jc w:val="center"/>
              <w:rPr>
                <w:rFonts w:hint="eastAsia"/>
              </w:rPr>
            </w:pPr>
            <w:r>
              <w:rPr>
                <w:rFonts w:ascii="宋体" w:hAnsi="宋体" w:eastAsia="宋体"/>
                <w:color w:val="263442"/>
                <w:sz w:val="15"/>
              </w:rPr>
              <w:t>[0,1]</w:t>
            </w:r>
          </w:p>
        </w:tc>
      </w:tr>
      <w:tr w14:paraId="6303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99" w:type="dxa"/>
            <w:tcMar>
              <w:top w:w="34" w:type="dxa"/>
              <w:left w:w="90" w:type="dxa"/>
              <w:bottom w:w="34" w:type="dxa"/>
              <w:right w:w="90" w:type="dxa"/>
              <w:start w:w="62" w:type="dxa"/>
              <w:end w:w="62" w:type="dxa"/>
            </w:tcMar>
            <w:vAlign w:val="center"/>
          </w:tcPr>
          <w:p w14:paraId="4CF0CE6D">
            <w:pPr>
              <w:keepLines/>
              <w:spacing w:after="0" w:line="240" w:lineRule="auto" w:before="0"/>
              <w:jc w:val="left"/>
              <w:rPr>
                <w:rFonts w:hint="eastAsia"/>
              </w:rPr>
            </w:pPr>
            <w:r>
              <w:rPr>
                <w:rFonts w:ascii="宋体" w:hAnsi="宋体" w:eastAsia="宋体"/>
                <w:color w:val="263442"/>
                <w:sz w:val="15"/>
              </w:rPr>
              <w:t>脆弱度构成量</w:t>
            </w:r>
          </w:p>
        </w:tc>
        <w:tc>
          <w:tcPr>
            <w:tcW w:w="1483" w:type="dxa"/>
            <w:tcMar>
              <w:top w:w="34" w:type="dxa"/>
              <w:left w:w="90" w:type="dxa"/>
              <w:bottom w:w="34" w:type="dxa"/>
              <w:right w:w="90" w:type="dxa"/>
              <w:start w:w="62" w:type="dxa"/>
              <w:end w:w="62" w:type="dxa"/>
            </w:tcMar>
            <w:vAlign w:val="center"/>
          </w:tcPr>
          <w:p w14:paraId="4D2C109A">
            <w:pPr>
              <w:keepLines/>
              <w:spacing w:after="0" w:line="240" w:lineRule="auto" w:before="0"/>
              <w:jc w:val="center"/>
              <w:rPr>
                <w:rFonts w:hint="eastAsia"/>
              </w:rPr>
            </w:pPr>
            <w:r>
              <w:rPr>
                <w:rFonts w:ascii="宋体" w:hAnsi="宋体" w:eastAsia="宋体"/>
                <w:color w:val="263442"/>
                <w:sz w:val="15"/>
              </w:rPr>
              <w:t>activeᵢ</w:t>
            </w:r>
          </w:p>
        </w:tc>
        <w:tc>
          <w:tcPr>
            <w:tcW w:w="4536" w:type="dxa"/>
            <w:tcMar>
              <w:top w:w="34" w:type="dxa"/>
              <w:left w:w="90" w:type="dxa"/>
              <w:bottom w:w="34" w:type="dxa"/>
              <w:right w:w="90" w:type="dxa"/>
              <w:start w:w="62" w:type="dxa"/>
              <w:end w:w="62" w:type="dxa"/>
            </w:tcMar>
            <w:vAlign w:val="center"/>
          </w:tcPr>
          <w:p w14:paraId="2E85B817">
            <w:pPr>
              <w:keepLines/>
              <w:spacing w:after="0" w:line="240" w:lineRule="auto" w:before="0"/>
              <w:jc w:val="left"/>
              <w:rPr>
                <w:rFonts w:hint="eastAsia"/>
              </w:rPr>
            </w:pPr>
            <w:r>
              <w:rPr>
                <w:rFonts w:ascii="宋体" w:hAnsi="宋体" w:eastAsia="宋体"/>
                <w:color w:val="263442"/>
                <w:sz w:val="15"/>
              </w:rPr>
              <w:t>企业 i 的销项活跃度</w:t>
            </w:r>
          </w:p>
        </w:tc>
        <w:tc>
          <w:tcPr>
            <w:tcW w:w="1584" w:type="dxa"/>
            <w:tcMar>
              <w:top w:w="34" w:type="dxa"/>
              <w:left w:w="90" w:type="dxa"/>
              <w:bottom w:w="34" w:type="dxa"/>
              <w:right w:w="90" w:type="dxa"/>
              <w:start w:w="62" w:type="dxa"/>
              <w:end w:w="62" w:type="dxa"/>
            </w:tcMar>
            <w:vAlign w:val="center"/>
          </w:tcPr>
          <w:p w14:paraId="5AF42385">
            <w:pPr>
              <w:keepLines/>
              <w:spacing w:after="0" w:line="240" w:lineRule="auto" w:before="0"/>
              <w:jc w:val="center"/>
              <w:rPr>
                <w:rFonts w:hint="eastAsia"/>
              </w:rPr>
            </w:pPr>
            <w:r>
              <w:rPr>
                <w:rFonts w:ascii="宋体" w:hAnsi="宋体" w:eastAsia="宋体"/>
                <w:color w:val="263442"/>
                <w:sz w:val="15"/>
              </w:rPr>
              <w:t>[0,1]</w:t>
            </w:r>
          </w:p>
        </w:tc>
      </w:tr>
    </w:tbl>
    <w:p w14:paraId="1912291E">
      <w:pPr>
        <w:spacing w:after="20"/>
        <w:rPr>
          <w:rFonts w:hint="eastAsia"/>
        </w:rPr>
      </w:pPr>
    </w:p>
    <w:p w14:paraId="68C02EC0">
      <w:pPr>
        <w:pStyle w:val="3"/>
        <w:keepNext/>
        <w:keepLines/>
        <w:spacing w:before="280" w:after="140"/>
        <w:ind w:firstLine="0"/>
      </w:pPr>
      <w:r>
        <w:rPr>
          <w:rFonts w:ascii="微软雅黑" w:hAnsi="微软雅黑" w:eastAsia="微软雅黑"/>
          <w:b/>
          <w:color w:val="17324D"/>
          <w:sz w:val="31"/>
        </w:rPr>
        <w:t>3  经营特征与信用风险评价</w:t>
      </w:r>
    </w:p>
    <w:p w14:paraId="2FCE6733">
      <w:pPr>
        <w:pStyle w:val="4"/>
        <w:keepNext/>
        <w:keepLines/>
        <w:spacing w:before="200" w:after="80"/>
        <w:ind w:firstLine="0"/>
      </w:pPr>
      <w:r>
        <w:rPr>
          <w:rFonts w:ascii="微软雅黑" w:hAnsi="微软雅黑" w:eastAsia="微软雅黑"/>
          <w:b/>
          <w:color w:val="2878B5"/>
          <w:sz w:val="25"/>
        </w:rPr>
        <w:t>3.1  发票经营特征</w:t>
      </w:r>
    </w:p>
    <w:p w14:paraId="1C59D523">
      <w:pPr>
        <w:widowControl/>
        <w:spacing w:line="348" w:lineRule="auto" w:before="0" w:after="60"/>
        <w:ind w:firstLine="420"/>
        <w:jc w:val="both"/>
        <w:rPr>
          <w:rFonts w:hint="eastAsia"/>
        </w:rPr>
      </w:pPr>
      <w:r>
        <w:rPr>
          <w:rFonts w:ascii="宋体" w:hAnsi="宋体" w:eastAsia="宋体"/>
          <w:color w:val="263442"/>
          <w:sz w:val="21"/>
        </w:rPr>
        <w:t>企业经营状态不能由单一销售额刻画。本文从进项和销项两个方向分别提取正额、负额、净额、发票数、交易对手数、有效月份数、最近12月规模、线性趋势、增长率、月度变异系数、交易对手 HHI、前五大交易对手占比、负数记录比例和作废率，并结合进销比及经营年限类变量形成32维特征。该体系同时覆盖经营规模、持续性、波动、集中度和异常交易结构；对右偏的规模量取 log(1+x)，对含正负值的净额使用 asinh 变换。</w:t>
      </w:r>
    </w:p>
    <w:p w14:paraId="3D526FBD">
      <w:pPr>
        <w:widowControl/>
        <w:spacing w:before="0" w:line="348" w:lineRule="auto" w:after="60"/>
        <w:ind w:firstLine="420"/>
        <w:jc w:val="both"/>
        <w:rPr>
          <w:rFonts w:hint="eastAsia"/>
        </w:rPr>
      </w:pPr>
      <w:r>
        <w:rPr>
          <w:rFonts w:ascii="宋体" w:hAnsi="宋体" w:eastAsia="宋体"/>
          <w:color w:val="263442"/>
          <w:sz w:val="21"/>
        </w:rPr>
        <w:t>HHIᵢ = Σⱼ (aᵢⱼ / Σⱼ aᵢⱼ)²    （1）</w:t>
      </w:r>
    </w:p>
    <w:p w14:paraId="1E957F34">
      <w:pPr>
        <w:widowControl/>
        <w:spacing w:line="348" w:lineRule="auto" w:before="0" w:after="60"/>
        <w:ind w:firstLine="420"/>
        <w:jc w:val="both"/>
        <w:rPr>
          <w:rFonts w:hint="eastAsia"/>
        </w:rPr>
      </w:pPr>
      <w:r>
        <w:rPr>
          <w:rFonts w:ascii="宋体" w:hAnsi="宋体" w:eastAsia="宋体"/>
          <w:color w:val="263442"/>
          <w:sz w:val="21"/>
        </w:rPr>
        <w:t>HHI 与前五大客户占比共同描述集中度：前者对全部交易对手加权，后者直观反映头部依赖。月度变异系数用标准差除以绝对均值，均值接近0时通过安全除法返回0并保留异常比例特征，避免数值爆炸。</w:t>
      </w:r>
    </w:p>
    <w:p w14:paraId="683DA3B0">
      <w:pPr>
        <w:widowControl/>
        <w:spacing w:line="348" w:lineRule="auto" w:before="0" w:after="60"/>
        <w:ind w:firstLine="420"/>
        <w:jc w:val="both"/>
        <w:rPr>
          <w:rFonts w:hint="eastAsia"/>
        </w:rPr>
      </w:pPr>
      <w:r>
        <w:rPr>
          <w:rFonts w:ascii="宋体" w:hAnsi="宋体" w:eastAsia="宋体"/>
          <w:color w:val="263442"/>
          <w:sz w:val="21"/>
        </w:rPr>
        <w:t>经营特征组及风险含义见表4。特征分组、概率融合与信用风险指数（CRI）的映射关系如图2所示。</w:t>
      </w:r>
    </w:p>
    <w:p w14:paraId="1FBD80D0">
      <w:pPr>
        <w:pStyle w:val="15"/>
        <w:keepNext/>
        <w:keepLines/>
        <w:spacing w:before="40" w:after="120"/>
        <w:ind w:firstLine="0"/>
        <w:jc w:val="center"/>
        <w:rPr>
          <w:rFonts w:hint="eastAsia"/>
        </w:rPr>
      </w:pPr>
      <w:r>
        <w:rPr>
          <w:rFonts w:ascii="宋体" w:hAnsi="宋体" w:eastAsia="宋体"/>
          <w:color w:val="536273"/>
          <w:sz w:val="18"/>
        </w:rPr>
        <w:t>表4  经营特征组及风险含义</w:t>
      </w:r>
    </w:p>
    <w:tbl>
      <w:tblPr>
        <w:tblStyle w:val="33"/>
        <w:tblW w:w="9180" w:type="dxa"/>
        <w:jc w:val="center"/>
        <w:tblBorders>
          <w:top w:val="single" w:color="AAB8C6" w:sz="4" w:space="0"/>
          <w:left w:val="single" w:color="AAB8C6" w:sz="4" w:space="0"/>
          <w:bottom w:val="single" w:color="AAB8C6" w:sz="4" w:space="0"/>
          <w:right w:val="single" w:color="AAB8C6" w:sz="4" w:space="0"/>
          <w:insideH w:val="single" w:color="AAB8C6" w:sz="4" w:space="0"/>
          <w:insideV w:val="single" w:color="AAB8C6" w:sz="4" w:space="0"/>
        </w:tblBorders>
        <w:tblLayout w:type="autofit"/>
        <w:tblCellMar>
          <w:top w:w="0" w:type="dxa"/>
          <w:left w:w="108" w:type="dxa"/>
          <w:bottom w:w="0" w:type="dxa"/>
          <w:right w:w="108" w:type="dxa"/>
        </w:tblCellMar>
      </w:tblPr>
      <w:tblGrid>
        <w:gridCol w:w="1800"/>
        <w:gridCol w:w="3400"/>
        <w:gridCol w:w="3980"/>
      </w:tblGrid>
      <w:tr w14:paraId="71317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1800" w:type="dxa"/>
            <w:tcMar>
              <w:top w:w="56" w:type="dxa"/>
              <w:left w:w="110" w:type="dxa"/>
              <w:bottom w:w="56" w:type="dxa"/>
              <w:right w:w="110" w:type="dxa"/>
              <w:start w:w="78" w:type="dxa"/>
              <w:end w:w="78" w:type="dxa"/>
            </w:tcMar>
            <w:vAlign w:val="center"/>
            <w:shd w:val="clear" w:color="auto" w:fill="EAF0F6"/>
          </w:tcPr>
          <w:p w14:paraId="4403784A">
            <w:pPr>
              <w:keepNext/>
              <w:keepLines/>
              <w:spacing w:after="0" w:before="0" w:line="240" w:lineRule="auto"/>
              <w:jc w:val="center"/>
              <w:rPr>
                <w:rFonts w:hint="eastAsia"/>
              </w:rPr>
            </w:pPr>
            <w:r>
              <w:rPr>
                <w:rFonts w:ascii="宋体" w:hAnsi="宋体" w:eastAsia="宋体"/>
                <w:b/>
                <w:color w:val="263442"/>
                <w:sz w:val="17"/>
              </w:rPr>
              <w:t>特征组</w:t>
            </w:r>
          </w:p>
        </w:tc>
        <w:tc>
          <w:tcPr>
            <w:tcW w:w="3400" w:type="dxa"/>
            <w:tcMar>
              <w:top w:w="56" w:type="dxa"/>
              <w:left w:w="110" w:type="dxa"/>
              <w:bottom w:w="56" w:type="dxa"/>
              <w:right w:w="110" w:type="dxa"/>
              <w:start w:w="78" w:type="dxa"/>
              <w:end w:w="78" w:type="dxa"/>
            </w:tcMar>
            <w:vAlign w:val="center"/>
            <w:shd w:val="clear" w:color="auto" w:fill="EAF0F6"/>
          </w:tcPr>
          <w:p w14:paraId="542A88B9">
            <w:pPr>
              <w:keepNext/>
              <w:keepLines/>
              <w:spacing w:after="0" w:before="0" w:line="240" w:lineRule="auto"/>
              <w:jc w:val="center"/>
              <w:rPr>
                <w:rFonts w:hint="eastAsia"/>
              </w:rPr>
            </w:pPr>
            <w:r>
              <w:rPr>
                <w:rFonts w:ascii="宋体" w:hAnsi="宋体" w:eastAsia="宋体"/>
                <w:b/>
                <w:color w:val="263442"/>
                <w:sz w:val="17"/>
              </w:rPr>
              <w:t>代表变量</w:t>
            </w:r>
          </w:p>
        </w:tc>
        <w:tc>
          <w:tcPr>
            <w:tcW w:w="3980" w:type="dxa"/>
            <w:tcMar>
              <w:top w:w="56" w:type="dxa"/>
              <w:left w:w="110" w:type="dxa"/>
              <w:bottom w:w="56" w:type="dxa"/>
              <w:right w:w="110" w:type="dxa"/>
              <w:start w:w="78" w:type="dxa"/>
              <w:end w:w="78" w:type="dxa"/>
            </w:tcMar>
            <w:vAlign w:val="center"/>
            <w:shd w:val="clear" w:color="auto" w:fill="EAF0F6"/>
          </w:tcPr>
          <w:p w14:paraId="7ECBF2E0">
            <w:pPr>
              <w:keepNext/>
              <w:keepLines/>
              <w:spacing w:after="0" w:before="0" w:line="240" w:lineRule="auto"/>
              <w:jc w:val="center"/>
              <w:rPr>
                <w:rFonts w:hint="eastAsia"/>
              </w:rPr>
            </w:pPr>
            <w:r>
              <w:rPr>
                <w:rFonts w:ascii="宋体" w:hAnsi="宋体" w:eastAsia="宋体"/>
                <w:b/>
                <w:color w:val="263442"/>
                <w:sz w:val="17"/>
              </w:rPr>
              <w:t>风险含义</w:t>
            </w:r>
          </w:p>
        </w:tc>
      </w:tr>
      <w:tr w14:paraId="58C0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Mar>
              <w:top w:w="56" w:type="dxa"/>
              <w:left w:w="110" w:type="dxa"/>
              <w:bottom w:w="56" w:type="dxa"/>
              <w:right w:w="110" w:type="dxa"/>
              <w:start w:w="78" w:type="dxa"/>
              <w:end w:w="78" w:type="dxa"/>
            </w:tcMar>
            <w:vAlign w:val="center"/>
          </w:tcPr>
          <w:p w14:paraId="124D6F4B">
            <w:pPr>
              <w:keepLines/>
              <w:spacing w:after="0" w:line="240" w:lineRule="auto" w:before="0"/>
              <w:ind w:firstLine="0"/>
              <w:jc w:val="left"/>
              <w:rPr>
                <w:rFonts w:hint="eastAsia"/>
              </w:rPr>
            </w:pPr>
            <w:r>
              <w:rPr>
                <w:rFonts w:ascii="宋体" w:hAnsi="宋体" w:eastAsia="宋体"/>
                <w:color w:val="263442"/>
                <w:sz w:val="17"/>
              </w:rPr>
              <w:t>经营规模</w:t>
            </w:r>
          </w:p>
        </w:tc>
        <w:tc>
          <w:tcPr>
            <w:tcW w:w="3400" w:type="dxa"/>
            <w:tcMar>
              <w:top w:w="56" w:type="dxa"/>
              <w:left w:w="110" w:type="dxa"/>
              <w:bottom w:w="56" w:type="dxa"/>
              <w:right w:w="110" w:type="dxa"/>
              <w:start w:w="78" w:type="dxa"/>
              <w:end w:w="78" w:type="dxa"/>
            </w:tcMar>
            <w:vAlign w:val="center"/>
          </w:tcPr>
          <w:p w14:paraId="3FB33CAE">
            <w:pPr>
              <w:keepLines/>
              <w:spacing w:after="0" w:line="240" w:lineRule="auto" w:before="0"/>
              <w:ind w:firstLine="0"/>
              <w:jc w:val="center"/>
              <w:rPr>
                <w:rFonts w:hint="eastAsia"/>
              </w:rPr>
            </w:pPr>
            <w:r>
              <w:rPr>
                <w:rFonts w:ascii="宋体" w:hAnsi="宋体" w:eastAsia="宋体"/>
                <w:color w:val="263442"/>
                <w:sz w:val="17"/>
              </w:rPr>
              <w:t>正额、净额、发票数、交易对手数</w:t>
            </w:r>
          </w:p>
        </w:tc>
        <w:tc>
          <w:tcPr>
            <w:tcW w:w="3980" w:type="dxa"/>
            <w:tcMar>
              <w:top w:w="56" w:type="dxa"/>
              <w:left w:w="110" w:type="dxa"/>
              <w:bottom w:w="56" w:type="dxa"/>
              <w:right w:w="110" w:type="dxa"/>
              <w:start w:w="78" w:type="dxa"/>
              <w:end w:w="78" w:type="dxa"/>
            </w:tcMar>
            <w:vAlign w:val="center"/>
          </w:tcPr>
          <w:p w14:paraId="5A2BAE09">
            <w:pPr>
              <w:keepLines/>
              <w:spacing w:after="0" w:line="240" w:lineRule="auto" w:before="0"/>
              <w:ind w:firstLine="0"/>
              <w:jc w:val="center"/>
              <w:rPr>
                <w:rFonts w:hint="eastAsia"/>
              </w:rPr>
            </w:pPr>
            <w:r>
              <w:rPr>
                <w:rFonts w:ascii="宋体" w:hAnsi="宋体" w:eastAsia="宋体"/>
                <w:color w:val="263442"/>
                <w:sz w:val="17"/>
              </w:rPr>
              <w:t>持续经营能力与现金流基础</w:t>
            </w:r>
          </w:p>
        </w:tc>
      </w:tr>
      <w:tr w14:paraId="74D9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Mar>
              <w:top w:w="56" w:type="dxa"/>
              <w:left w:w="110" w:type="dxa"/>
              <w:bottom w:w="56" w:type="dxa"/>
              <w:right w:w="110" w:type="dxa"/>
              <w:start w:w="78" w:type="dxa"/>
              <w:end w:w="78" w:type="dxa"/>
            </w:tcMar>
            <w:vAlign w:val="center"/>
            <w:shd w:val="clear" w:color="auto" w:fill="F7F9FB"/>
          </w:tcPr>
          <w:p w14:paraId="690BA327">
            <w:pPr>
              <w:keepLines/>
              <w:spacing w:after="0" w:line="240" w:lineRule="auto" w:before="0"/>
              <w:ind w:firstLine="0"/>
              <w:jc w:val="left"/>
              <w:rPr>
                <w:rFonts w:hint="eastAsia"/>
              </w:rPr>
            </w:pPr>
            <w:r>
              <w:rPr>
                <w:rFonts w:ascii="宋体" w:hAnsi="宋体" w:eastAsia="宋体"/>
                <w:color w:val="263442"/>
                <w:sz w:val="17"/>
              </w:rPr>
              <w:t>活跃与近期性</w:t>
            </w:r>
          </w:p>
        </w:tc>
        <w:tc>
          <w:tcPr>
            <w:tcW w:w="3400" w:type="dxa"/>
            <w:tcMar>
              <w:top w:w="56" w:type="dxa"/>
              <w:left w:w="110" w:type="dxa"/>
              <w:bottom w:w="56" w:type="dxa"/>
              <w:right w:w="110" w:type="dxa"/>
              <w:start w:w="78" w:type="dxa"/>
              <w:end w:w="78" w:type="dxa"/>
            </w:tcMar>
            <w:vAlign w:val="center"/>
            <w:shd w:val="clear" w:color="auto" w:fill="F7F9FB"/>
          </w:tcPr>
          <w:p w14:paraId="7E7EF30B">
            <w:pPr>
              <w:keepLines/>
              <w:spacing w:after="0" w:line="240" w:lineRule="auto" w:before="0"/>
              <w:ind w:firstLine="0"/>
              <w:jc w:val="center"/>
              <w:rPr>
                <w:rFonts w:hint="eastAsia"/>
              </w:rPr>
            </w:pPr>
            <w:r>
              <w:rPr>
                <w:rFonts w:ascii="宋体" w:hAnsi="宋体" w:eastAsia="宋体"/>
                <w:color w:val="263442"/>
                <w:sz w:val="17"/>
              </w:rPr>
              <w:t>有效月份比、近12月规模</w:t>
            </w:r>
          </w:p>
        </w:tc>
        <w:tc>
          <w:tcPr>
            <w:tcW w:w="3980" w:type="dxa"/>
            <w:tcMar>
              <w:top w:w="56" w:type="dxa"/>
              <w:left w:w="110" w:type="dxa"/>
              <w:bottom w:w="56" w:type="dxa"/>
              <w:right w:w="110" w:type="dxa"/>
              <w:start w:w="78" w:type="dxa"/>
              <w:end w:w="78" w:type="dxa"/>
            </w:tcMar>
            <w:vAlign w:val="center"/>
            <w:shd w:val="clear" w:color="auto" w:fill="F7F9FB"/>
          </w:tcPr>
          <w:p w14:paraId="673EF211">
            <w:pPr>
              <w:keepLines/>
              <w:spacing w:after="0" w:line="240" w:lineRule="auto" w:before="0"/>
              <w:ind w:firstLine="0"/>
              <w:jc w:val="center"/>
              <w:rPr>
                <w:rFonts w:hint="eastAsia"/>
              </w:rPr>
            </w:pPr>
            <w:r>
              <w:rPr>
                <w:rFonts w:ascii="宋体" w:hAnsi="宋体" w:eastAsia="宋体"/>
                <w:color w:val="263442"/>
                <w:sz w:val="17"/>
              </w:rPr>
              <w:t>是否持续开票及当前业务强度</w:t>
            </w:r>
          </w:p>
        </w:tc>
      </w:tr>
      <w:tr w14:paraId="12FCD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Mar>
              <w:top w:w="56" w:type="dxa"/>
              <w:left w:w="110" w:type="dxa"/>
              <w:bottom w:w="56" w:type="dxa"/>
              <w:right w:w="110" w:type="dxa"/>
              <w:start w:w="78" w:type="dxa"/>
              <w:end w:w="78" w:type="dxa"/>
            </w:tcMar>
            <w:vAlign w:val="center"/>
          </w:tcPr>
          <w:p w14:paraId="534953CF">
            <w:pPr>
              <w:keepLines/>
              <w:spacing w:after="0" w:line="240" w:lineRule="auto" w:before="0"/>
              <w:ind w:firstLine="0"/>
              <w:jc w:val="left"/>
              <w:rPr>
                <w:rFonts w:hint="eastAsia"/>
              </w:rPr>
            </w:pPr>
            <w:r>
              <w:rPr>
                <w:rFonts w:ascii="宋体" w:hAnsi="宋体" w:eastAsia="宋体"/>
                <w:color w:val="263442"/>
                <w:sz w:val="17"/>
              </w:rPr>
              <w:t>波动与趋势</w:t>
            </w:r>
          </w:p>
        </w:tc>
        <w:tc>
          <w:tcPr>
            <w:tcW w:w="3400" w:type="dxa"/>
            <w:tcMar>
              <w:top w:w="56" w:type="dxa"/>
              <w:left w:w="110" w:type="dxa"/>
              <w:bottom w:w="56" w:type="dxa"/>
              <w:right w:w="110" w:type="dxa"/>
              <w:start w:w="78" w:type="dxa"/>
              <w:end w:w="78" w:type="dxa"/>
            </w:tcMar>
            <w:vAlign w:val="center"/>
          </w:tcPr>
          <w:p w14:paraId="3F2112ED">
            <w:pPr>
              <w:keepLines/>
              <w:spacing w:after="0" w:line="240" w:lineRule="auto" w:before="0"/>
              <w:ind w:firstLine="0"/>
              <w:jc w:val="center"/>
              <w:rPr>
                <w:rFonts w:hint="eastAsia"/>
              </w:rPr>
            </w:pPr>
            <w:r>
              <w:rPr>
                <w:rFonts w:ascii="宋体" w:hAnsi="宋体" w:eastAsia="宋体"/>
                <w:color w:val="263442"/>
                <w:sz w:val="17"/>
              </w:rPr>
              <w:t>月度CV、趋势、近期增长</w:t>
            </w:r>
          </w:p>
        </w:tc>
        <w:tc>
          <w:tcPr>
            <w:tcW w:w="3980" w:type="dxa"/>
            <w:tcMar>
              <w:top w:w="56" w:type="dxa"/>
              <w:left w:w="110" w:type="dxa"/>
              <w:bottom w:w="56" w:type="dxa"/>
              <w:right w:w="110" w:type="dxa"/>
              <w:start w:w="78" w:type="dxa"/>
              <w:end w:w="78" w:type="dxa"/>
            </w:tcMar>
            <w:vAlign w:val="center"/>
          </w:tcPr>
          <w:p w14:paraId="72DFE90F">
            <w:pPr>
              <w:keepLines/>
              <w:spacing w:after="0" w:line="240" w:lineRule="auto" w:before="0"/>
              <w:ind w:firstLine="0"/>
              <w:jc w:val="center"/>
              <w:rPr>
                <w:rFonts w:hint="eastAsia"/>
              </w:rPr>
            </w:pPr>
            <w:r>
              <w:rPr>
                <w:rFonts w:ascii="宋体" w:hAnsi="宋体" w:eastAsia="宋体"/>
                <w:color w:val="263442"/>
                <w:sz w:val="17"/>
              </w:rPr>
              <w:t>经营稳定性和下滑风险</w:t>
            </w:r>
          </w:p>
        </w:tc>
      </w:tr>
      <w:tr w14:paraId="7B64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Mar>
              <w:top w:w="56" w:type="dxa"/>
              <w:left w:w="110" w:type="dxa"/>
              <w:bottom w:w="56" w:type="dxa"/>
              <w:right w:w="110" w:type="dxa"/>
              <w:start w:w="78" w:type="dxa"/>
              <w:end w:w="78" w:type="dxa"/>
            </w:tcMar>
            <w:vAlign w:val="center"/>
            <w:shd w:val="clear" w:color="auto" w:fill="F7F9FB"/>
          </w:tcPr>
          <w:p w14:paraId="080E0CC0">
            <w:pPr>
              <w:keepLines/>
              <w:spacing w:after="0" w:line="240" w:lineRule="auto" w:before="0"/>
              <w:ind w:firstLine="0"/>
              <w:jc w:val="left"/>
              <w:rPr>
                <w:rFonts w:hint="eastAsia"/>
              </w:rPr>
            </w:pPr>
            <w:r>
              <w:rPr>
                <w:rFonts w:ascii="宋体" w:hAnsi="宋体" w:eastAsia="宋体"/>
                <w:color w:val="263442"/>
                <w:sz w:val="17"/>
              </w:rPr>
              <w:t>集中度</w:t>
            </w:r>
          </w:p>
        </w:tc>
        <w:tc>
          <w:tcPr>
            <w:tcW w:w="3400" w:type="dxa"/>
            <w:tcMar>
              <w:top w:w="56" w:type="dxa"/>
              <w:left w:w="110" w:type="dxa"/>
              <w:bottom w:w="56" w:type="dxa"/>
              <w:right w:w="110" w:type="dxa"/>
              <w:start w:w="78" w:type="dxa"/>
              <w:end w:w="78" w:type="dxa"/>
            </w:tcMar>
            <w:vAlign w:val="center"/>
            <w:shd w:val="clear" w:color="auto" w:fill="F7F9FB"/>
          </w:tcPr>
          <w:p w14:paraId="1E0BD634">
            <w:pPr>
              <w:keepLines/>
              <w:spacing w:after="0" w:line="240" w:lineRule="auto" w:before="0"/>
              <w:ind w:firstLine="0"/>
              <w:jc w:val="center"/>
              <w:rPr>
                <w:rFonts w:hint="eastAsia"/>
              </w:rPr>
            </w:pPr>
            <w:r>
              <w:rPr>
                <w:rFonts w:ascii="宋体" w:hAnsi="宋体" w:eastAsia="宋体"/>
                <w:color w:val="263442"/>
                <w:sz w:val="17"/>
              </w:rPr>
              <w:t>HHI、前五大交易对手占比</w:t>
            </w:r>
          </w:p>
        </w:tc>
        <w:tc>
          <w:tcPr>
            <w:tcW w:w="3980" w:type="dxa"/>
            <w:tcMar>
              <w:top w:w="56" w:type="dxa"/>
              <w:left w:w="110" w:type="dxa"/>
              <w:bottom w:w="56" w:type="dxa"/>
              <w:right w:w="110" w:type="dxa"/>
              <w:start w:w="78" w:type="dxa"/>
              <w:end w:w="78" w:type="dxa"/>
            </w:tcMar>
            <w:vAlign w:val="center"/>
            <w:shd w:val="clear" w:color="auto" w:fill="F7F9FB"/>
          </w:tcPr>
          <w:p w14:paraId="47254210">
            <w:pPr>
              <w:keepLines/>
              <w:spacing w:after="0" w:line="240" w:lineRule="auto" w:before="0"/>
              <w:ind w:firstLine="0"/>
              <w:jc w:val="center"/>
              <w:rPr>
                <w:rFonts w:hint="eastAsia"/>
              </w:rPr>
            </w:pPr>
            <w:r>
              <w:rPr>
                <w:rFonts w:ascii="宋体" w:hAnsi="宋体" w:eastAsia="宋体"/>
                <w:color w:val="263442"/>
                <w:sz w:val="17"/>
              </w:rPr>
              <w:t>上下游依赖与单点冲击</w:t>
            </w:r>
          </w:p>
        </w:tc>
      </w:tr>
      <w:tr w14:paraId="65B0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00" w:type="dxa"/>
            <w:tcMar>
              <w:top w:w="56" w:type="dxa"/>
              <w:left w:w="110" w:type="dxa"/>
              <w:bottom w:w="56" w:type="dxa"/>
              <w:right w:w="110" w:type="dxa"/>
              <w:start w:w="78" w:type="dxa"/>
              <w:end w:w="78" w:type="dxa"/>
            </w:tcMar>
            <w:vAlign w:val="center"/>
          </w:tcPr>
          <w:p w14:paraId="4CABC85E">
            <w:pPr>
              <w:keepLines/>
              <w:spacing w:after="0" w:line="240" w:lineRule="auto" w:before="0"/>
              <w:ind w:firstLine="0"/>
              <w:jc w:val="left"/>
              <w:rPr>
                <w:rFonts w:hint="eastAsia"/>
              </w:rPr>
            </w:pPr>
            <w:r>
              <w:rPr>
                <w:rFonts w:ascii="宋体" w:hAnsi="宋体" w:eastAsia="宋体"/>
                <w:color w:val="263442"/>
                <w:sz w:val="17"/>
              </w:rPr>
              <w:t>异常发票</w:t>
            </w:r>
          </w:p>
        </w:tc>
        <w:tc>
          <w:tcPr>
            <w:tcW w:w="3400" w:type="dxa"/>
            <w:tcMar>
              <w:top w:w="56" w:type="dxa"/>
              <w:left w:w="110" w:type="dxa"/>
              <w:bottom w:w="56" w:type="dxa"/>
              <w:right w:w="110" w:type="dxa"/>
              <w:start w:w="78" w:type="dxa"/>
              <w:end w:w="78" w:type="dxa"/>
            </w:tcMar>
            <w:vAlign w:val="center"/>
          </w:tcPr>
          <w:p w14:paraId="7532A8EB">
            <w:pPr>
              <w:keepLines/>
              <w:spacing w:after="0" w:line="240" w:lineRule="auto" w:before="0"/>
              <w:ind w:firstLine="0"/>
              <w:jc w:val="center"/>
              <w:rPr>
                <w:rFonts w:hint="eastAsia"/>
              </w:rPr>
            </w:pPr>
            <w:r>
              <w:rPr>
                <w:rFonts w:ascii="宋体" w:hAnsi="宋体" w:eastAsia="宋体"/>
                <w:color w:val="263442"/>
                <w:sz w:val="17"/>
              </w:rPr>
              <w:t>负数比例、作废率</w:t>
            </w:r>
          </w:p>
        </w:tc>
        <w:tc>
          <w:tcPr>
            <w:tcW w:w="3980" w:type="dxa"/>
            <w:tcMar>
              <w:top w:w="56" w:type="dxa"/>
              <w:left w:w="110" w:type="dxa"/>
              <w:bottom w:w="56" w:type="dxa"/>
              <w:right w:w="110" w:type="dxa"/>
              <w:start w:w="78" w:type="dxa"/>
              <w:end w:w="78" w:type="dxa"/>
            </w:tcMar>
            <w:vAlign w:val="center"/>
          </w:tcPr>
          <w:p w14:paraId="3387395B">
            <w:pPr>
              <w:keepLines/>
              <w:spacing w:after="0" w:line="240" w:lineRule="auto" w:before="0"/>
              <w:ind w:firstLine="0"/>
              <w:jc w:val="center"/>
              <w:rPr>
                <w:rFonts w:hint="eastAsia"/>
              </w:rPr>
            </w:pPr>
            <w:r>
              <w:rPr>
                <w:rFonts w:ascii="宋体" w:hAnsi="宋体" w:eastAsia="宋体"/>
                <w:color w:val="263442"/>
                <w:sz w:val="17"/>
              </w:rPr>
              <w:t>退款、冲销及交易异常信号</w:t>
            </w:r>
          </w:p>
        </w:tc>
      </w:tr>
    </w:tbl>
    <w:p w14:paraId="31CDA95E">
      <w:pPr>
        <w:keepNext/>
        <w:keepLines/>
        <w:spacing w:before="100" w:after="40"/>
        <w:ind w:firstLine="0"/>
        <w:jc w:val="center"/>
        <w:rPr>
          <w:rFonts w:hint="eastAsia"/>
        </w:rPr>
      </w:pPr>
      <w:r>
        <w:drawing>
          <wp:inline distT="0" distB="0" distL="0" distR="0">
            <wp:extent cx="5577840" cy="2627799"/>
            <wp:effectExtent l="0" t="0" r="0" b="0"/>
            <wp:docPr id="10" name="图2 信用风险评价与迁移流程" descr="图2 信用风险评价与迁移流程" title="图2 信用风险评价与迁移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rcRect b="16305"/>
                    <a:stretch>
                      <a:fillRect/>
                    </a:stretch>
                  </pic:blipFill>
                  <pic:spPr>
                    <a:xfrm>
                      <a:off x="0" y="0"/>
                      <a:ext cx="5577840" cy="2627799"/>
                    </a:xfrm>
                    <a:prstGeom prst="rect">
                      <a:avLst/>
                    </a:prstGeom>
                  </pic:spPr>
                </pic:pic>
              </a:graphicData>
            </a:graphic>
          </wp:inline>
        </w:drawing>
      </w:r>
    </w:p>
    <w:p w14:paraId="39E750A4">
      <w:pPr>
        <w:pStyle w:val="15"/>
        <w:keepNext w:val="0"/>
        <w:keepLines/>
        <w:spacing w:before="40" w:after="120"/>
        <w:ind w:firstLine="0"/>
        <w:jc w:val="center"/>
        <w:rPr>
          <w:rFonts w:hint="eastAsia"/>
        </w:rPr>
      </w:pPr>
      <w:r>
        <w:rPr>
          <w:rFonts w:ascii="宋体" w:hAnsi="宋体" w:eastAsia="宋体"/>
          <w:color w:val="536273"/>
          <w:sz w:val="18"/>
        </w:rPr>
        <w:t>图2 经营特征、概率融合与信用风险指数（CRI）的构建链。数据与逻辑来源：§3.1—§3.2、式（2）—（3）。</w:t>
      </w:r>
    </w:p>
    <w:p w14:paraId="7A0D8714">
      <w:pPr>
        <w:spacing w:after="20"/>
        <w:rPr>
          <w:rFonts w:hint="eastAsia"/>
        </w:rPr>
      </w:pPr>
    </w:p>
    <w:p w14:paraId="740412DB">
      <w:pPr>
        <w:pStyle w:val="4"/>
        <w:keepNext/>
        <w:keepLines/>
        <w:spacing w:before="200" w:after="80"/>
        <w:ind w:firstLine="0"/>
      </w:pPr>
      <w:r>
        <w:rPr>
          <w:rFonts w:ascii="微软雅黑" w:hAnsi="微软雅黑" w:eastAsia="微软雅黑"/>
          <w:b/>
          <w:color w:val="2878B5"/>
          <w:sz w:val="25"/>
        </w:rPr>
        <w:t>3.2  Logistic/XGBoost 概率融合</w:t>
      </w:r>
    </w:p>
    <w:p w14:paraId="5B5460DB">
      <w:pPr>
        <w:widowControl/>
        <w:spacing w:line="348" w:lineRule="auto" w:before="0" w:after="60"/>
        <w:ind w:firstLine="420"/>
        <w:jc w:val="both"/>
        <w:rPr>
          <w:rFonts w:hint="eastAsia"/>
        </w:rPr>
      </w:pPr>
      <w:r>
        <w:rPr>
          <w:rFonts w:ascii="宋体" w:hAnsi="宋体" w:eastAsia="宋体"/>
          <w:color w:val="263442"/>
          <w:sz w:val="21"/>
        </w:rPr>
        <w:t>多项 Logistic 提供平滑的线性基准，浅层 XGBoost 用于捕捉规模、波动和集中度之间的非线性交互。缺失值填补、标准化和单变量特征选择均封装在交叉验证管线内，测试折不参与任何预处理参数估计，从而避免将测试折信息泄露到训练过程。采用5折、重复5次分层交叉验证获得严格折外概率，再在0到1的既有离散网格上按多分类对数损失选择 XGBoost 融合权重。各模型交叉验证性能见表5，两类样本的 CRI 分布见图3。</w:t>
      </w:r>
    </w:p>
    <w:p w14:paraId="4F1490CB">
      <w:pPr>
        <w:widowControl/>
        <w:spacing w:before="0" w:line="348" w:lineRule="auto" w:after="60"/>
        <w:ind w:firstLine="420"/>
        <w:jc w:val="both"/>
        <w:rPr>
          <w:rFonts w:hint="eastAsia"/>
        </w:rPr>
      </w:pPr>
      <w:r>
        <w:rPr>
          <w:rFonts w:ascii="宋体" w:hAnsi="宋体" w:eastAsia="宋体"/>
          <w:color w:val="263442"/>
          <w:sz w:val="21"/>
        </w:rPr>
        <w:t>pᵢ = ω pᵢˣᵍᵇ + (1−ω) pᵢˡᵒᵍ,    ω=0.80    （2）</w:t>
      </w:r>
    </w:p>
    <w:p w14:paraId="6303906A">
      <w:pPr>
        <w:widowControl/>
        <w:spacing w:before="0" w:line="348" w:lineRule="auto" w:after="60"/>
        <w:ind w:firstLine="420"/>
        <w:jc w:val="both"/>
        <w:rPr>
          <w:rFonts w:hint="eastAsia"/>
        </w:rPr>
      </w:pPr>
      <w:r>
        <w:rPr>
          <w:rFonts w:ascii="宋体" w:hAnsi="宋体" w:eastAsia="宋体"/>
          <w:color w:val="263442"/>
          <w:sz w:val="21"/>
        </w:rPr>
        <w:t>CRIᵢ = 100·(0·pᵢA + ⅓pᵢB + ⅔pᵢC + pᵢD)    （3）</w:t>
      </w:r>
    </w:p>
    <w:p w14:paraId="1AC81617">
      <w:pPr>
        <w:widowControl/>
        <w:spacing w:line="348" w:lineRule="auto" w:before="0" w:after="60"/>
        <w:ind w:firstLine="420"/>
        <w:jc w:val="both"/>
        <w:rPr>
          <w:rFonts w:hint="eastAsia"/>
        </w:rPr>
      </w:pPr>
      <w:r>
        <w:rPr>
          <w:rFonts w:ascii="宋体" w:hAnsi="宋体" w:eastAsia="宋体"/>
          <w:color w:val="263442"/>
          <w:sz w:val="21"/>
        </w:rPr>
        <w:t>设 pᵢˣᵍᵇ 与 pᵢˡᵒᵍ 分别表示两类模型对企业 i 属于 A、B、C、D 四个评级的概率向量。按式（2）以既有权重 ω=0.80 融合后，pᵢ 保持同一评级顺序下的概率语义；式（3）再以0、1/3、2/3、1的有序严重度权重，将 pᵢA、pᵢB、pᵢC、pᵢD 映射为 CRIᵢ。因而，CRI 用于描述评级概率的有序风险方向，而不是未经校准的违约概率。</w:t>
      </w:r>
    </w:p>
    <w:p w14:paraId="09043332">
      <w:pPr>
        <w:pStyle w:val="15"/>
        <w:keepNext/>
        <w:keepLines/>
        <w:spacing w:before="40" w:after="120"/>
        <w:ind w:firstLine="0"/>
        <w:jc w:val="center"/>
        <w:rPr>
          <w:rFonts w:hint="eastAsia"/>
        </w:rPr>
      </w:pPr>
      <w:r>
        <w:rPr>
          <w:rFonts w:ascii="宋体" w:hAnsi="宋体" w:eastAsia="宋体"/>
          <w:color w:val="536273"/>
          <w:sz w:val="18"/>
        </w:rPr>
        <w:t>表5  融合模型与分量模型的交叉验证性能</w:t>
      </w:r>
    </w:p>
    <w:tbl>
      <w:tblPr>
        <w:tblStyle w:val="33"/>
        <w:tblW w:w="9180" w:type="dxa"/>
        <w:jc w:val="center"/>
        <w:tblBorders>
          <w:top w:val="single" w:color="AAB8C6" w:sz="4" w:space="0"/>
          <w:left w:val="single" w:color="AAB8C6" w:sz="4" w:space="0"/>
          <w:bottom w:val="single" w:color="AAB8C6" w:sz="4" w:space="0"/>
          <w:right w:val="single" w:color="AAB8C6" w:sz="4" w:space="0"/>
          <w:insideH w:val="single" w:color="AAB8C6" w:sz="4" w:space="0"/>
          <w:insideV w:val="single" w:color="AAB8C6" w:sz="4" w:space="0"/>
        </w:tblBorders>
        <w:tblLayout w:type="autofit"/>
        <w:tblCellMar>
          <w:top w:w="0" w:type="dxa"/>
          <w:left w:w="108" w:type="dxa"/>
          <w:bottom w:w="0" w:type="dxa"/>
          <w:right w:w="108" w:type="dxa"/>
        </w:tblCellMar>
      </w:tblPr>
      <w:tblGrid>
        <w:gridCol w:w="1500"/>
        <w:gridCol w:w="1300"/>
        <w:gridCol w:w="1400"/>
        <w:gridCol w:w="1400"/>
        <w:gridCol w:w="1680"/>
        <w:gridCol w:w="1900"/>
      </w:tblGrid>
      <w:tr w14:paraId="0482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1500" w:type="dxa"/>
            <w:tcMar>
              <w:top w:w="56" w:type="dxa"/>
              <w:left w:w="110" w:type="dxa"/>
              <w:bottom w:w="56" w:type="dxa"/>
              <w:right w:w="110" w:type="dxa"/>
              <w:start w:w="78" w:type="dxa"/>
              <w:end w:w="78" w:type="dxa"/>
            </w:tcMar>
            <w:vAlign w:val="center"/>
            <w:shd w:val="clear" w:color="auto" w:fill="EAF0F6"/>
          </w:tcPr>
          <w:p w14:paraId="012CB98B">
            <w:pPr>
              <w:keepNext/>
              <w:keepLines/>
              <w:spacing w:after="0" w:before="0" w:line="240" w:lineRule="auto"/>
              <w:jc w:val="center"/>
              <w:rPr>
                <w:rFonts w:hint="eastAsia"/>
              </w:rPr>
            </w:pPr>
            <w:r>
              <w:rPr>
                <w:rFonts w:ascii="宋体" w:hAnsi="宋体" w:eastAsia="宋体"/>
                <w:b/>
                <w:color w:val="263442"/>
                <w:sz w:val="17"/>
              </w:rPr>
              <w:t>模型</w:t>
            </w:r>
          </w:p>
        </w:tc>
        <w:tc>
          <w:tcPr>
            <w:tcW w:w="1300" w:type="dxa"/>
            <w:tcMar>
              <w:top w:w="56" w:type="dxa"/>
              <w:left w:w="110" w:type="dxa"/>
              <w:bottom w:w="56" w:type="dxa"/>
              <w:right w:w="110" w:type="dxa"/>
              <w:start w:w="78" w:type="dxa"/>
              <w:end w:w="78" w:type="dxa"/>
            </w:tcMar>
            <w:vAlign w:val="center"/>
            <w:shd w:val="clear" w:color="auto" w:fill="EAF0F6"/>
          </w:tcPr>
          <w:p w14:paraId="2BD6BBB3">
            <w:pPr>
              <w:keepNext/>
              <w:keepLines/>
              <w:spacing w:after="0" w:before="0" w:line="240" w:lineRule="auto"/>
              <w:jc w:val="center"/>
              <w:rPr>
                <w:rFonts w:hint="eastAsia"/>
              </w:rPr>
            </w:pPr>
            <w:r>
              <w:rPr>
                <w:rFonts w:ascii="宋体" w:hAnsi="宋体" w:eastAsia="宋体"/>
                <w:b/>
                <w:color w:val="263442"/>
                <w:sz w:val="17"/>
              </w:rPr>
              <w:t>准确率</w:t>
            </w:r>
          </w:p>
        </w:tc>
        <w:tc>
          <w:tcPr>
            <w:tcW w:w="1400" w:type="dxa"/>
            <w:tcMar>
              <w:top w:w="56" w:type="dxa"/>
              <w:left w:w="110" w:type="dxa"/>
              <w:bottom w:w="56" w:type="dxa"/>
              <w:right w:w="110" w:type="dxa"/>
              <w:start w:w="78" w:type="dxa"/>
              <w:end w:w="78" w:type="dxa"/>
            </w:tcMar>
            <w:vAlign w:val="center"/>
            <w:shd w:val="clear" w:color="auto" w:fill="EAF0F6"/>
          </w:tcPr>
          <w:p w14:paraId="67EB9054">
            <w:pPr>
              <w:keepNext/>
              <w:keepLines/>
              <w:spacing w:after="0" w:before="0" w:line="240" w:lineRule="auto"/>
              <w:jc w:val="center"/>
              <w:rPr>
                <w:rFonts w:hint="eastAsia"/>
              </w:rPr>
            </w:pPr>
            <w:r>
              <w:rPr>
                <w:rFonts w:ascii="宋体" w:hAnsi="宋体" w:eastAsia="宋体"/>
                <w:b/>
                <w:color w:val="263442"/>
                <w:sz w:val="17"/>
              </w:rPr>
              <w:t>宏平均F1</w:t>
            </w:r>
          </w:p>
        </w:tc>
        <w:tc>
          <w:tcPr>
            <w:tcW w:w="1400" w:type="dxa"/>
            <w:tcMar>
              <w:top w:w="56" w:type="dxa"/>
              <w:left w:w="110" w:type="dxa"/>
              <w:bottom w:w="56" w:type="dxa"/>
              <w:right w:w="110" w:type="dxa"/>
              <w:start w:w="78" w:type="dxa"/>
              <w:end w:w="78" w:type="dxa"/>
            </w:tcMar>
            <w:vAlign w:val="center"/>
            <w:shd w:val="clear" w:color="auto" w:fill="EAF0F6"/>
          </w:tcPr>
          <w:p w14:paraId="530CC4BD">
            <w:pPr>
              <w:keepNext/>
              <w:keepLines/>
              <w:spacing w:after="0" w:before="0" w:line="240" w:lineRule="auto"/>
              <w:jc w:val="center"/>
              <w:rPr>
                <w:rFonts w:hint="eastAsia"/>
              </w:rPr>
            </w:pPr>
            <w:r>
              <w:rPr>
                <w:rFonts w:ascii="宋体" w:hAnsi="宋体" w:eastAsia="宋体"/>
                <w:b/>
                <w:color w:val="263442"/>
                <w:sz w:val="17"/>
              </w:rPr>
              <w:t>序数MAE</w:t>
            </w:r>
          </w:p>
        </w:tc>
        <w:tc>
          <w:tcPr>
            <w:tcW w:w="1680" w:type="dxa"/>
            <w:tcMar>
              <w:top w:w="56" w:type="dxa"/>
              <w:left w:w="110" w:type="dxa"/>
              <w:bottom w:w="56" w:type="dxa"/>
              <w:right w:w="110" w:type="dxa"/>
              <w:start w:w="78" w:type="dxa"/>
              <w:end w:w="78" w:type="dxa"/>
            </w:tcMar>
            <w:vAlign w:val="center"/>
            <w:shd w:val="clear" w:color="auto" w:fill="EAF0F6"/>
          </w:tcPr>
          <w:p w14:paraId="2BE45D21">
            <w:pPr>
              <w:keepNext/>
              <w:keepLines/>
              <w:spacing w:after="0" w:before="0" w:line="240" w:lineRule="auto"/>
              <w:jc w:val="center"/>
              <w:rPr>
                <w:rFonts w:hint="eastAsia"/>
              </w:rPr>
            </w:pPr>
            <w:r>
              <w:rPr>
                <w:rFonts w:ascii="宋体" w:hAnsi="宋体" w:eastAsia="宋体"/>
                <w:b/>
                <w:color w:val="263442"/>
                <w:sz w:val="17"/>
              </w:rPr>
              <w:t>二次Kappa</w:t>
            </w:r>
          </w:p>
        </w:tc>
        <w:tc>
          <w:tcPr>
            <w:tcW w:w="1900" w:type="dxa"/>
            <w:tcMar>
              <w:top w:w="56" w:type="dxa"/>
              <w:left w:w="110" w:type="dxa"/>
              <w:bottom w:w="56" w:type="dxa"/>
              <w:right w:w="110" w:type="dxa"/>
              <w:start w:w="78" w:type="dxa"/>
              <w:end w:w="78" w:type="dxa"/>
            </w:tcMar>
            <w:vAlign w:val="center"/>
            <w:shd w:val="clear" w:color="auto" w:fill="EAF0F6"/>
          </w:tcPr>
          <w:p w14:paraId="72D585FD">
            <w:pPr>
              <w:keepNext/>
              <w:keepLines/>
              <w:spacing w:after="0" w:before="0" w:line="240" w:lineRule="auto"/>
              <w:jc w:val="center"/>
              <w:rPr>
                <w:rFonts w:hint="eastAsia"/>
              </w:rPr>
            </w:pPr>
            <w:r>
              <w:rPr>
                <w:rFonts w:ascii="宋体" w:hAnsi="宋体" w:eastAsia="宋体"/>
                <w:b/>
                <w:color w:val="263442"/>
                <w:sz w:val="17"/>
              </w:rPr>
              <w:t>对数损失</w:t>
            </w:r>
          </w:p>
        </w:tc>
      </w:tr>
      <w:tr w14:paraId="7116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Mar>
              <w:top w:w="56" w:type="dxa"/>
              <w:left w:w="110" w:type="dxa"/>
              <w:bottom w:w="56" w:type="dxa"/>
              <w:right w:w="110" w:type="dxa"/>
              <w:start w:w="78" w:type="dxa"/>
              <w:end w:w="78" w:type="dxa"/>
            </w:tcMar>
            <w:vAlign w:val="center"/>
          </w:tcPr>
          <w:p w14:paraId="121D04FB">
            <w:pPr>
              <w:keepLines/>
              <w:spacing w:after="0" w:line="240" w:lineRule="auto" w:before="0"/>
              <w:ind w:firstLine="0"/>
              <w:jc w:val="left"/>
              <w:rPr>
                <w:rFonts w:hint="eastAsia"/>
              </w:rPr>
            </w:pPr>
            <w:r>
              <w:rPr>
                <w:rFonts w:ascii="宋体" w:hAnsi="宋体" w:eastAsia="宋体"/>
                <w:color w:val="263442"/>
                <w:sz w:val="17"/>
              </w:rPr>
              <w:t>Logistic</w:t>
            </w:r>
          </w:p>
        </w:tc>
        <w:tc>
          <w:tcPr>
            <w:tcW w:w="1300" w:type="dxa"/>
            <w:tcMar>
              <w:top w:w="56" w:type="dxa"/>
              <w:left w:w="110" w:type="dxa"/>
              <w:bottom w:w="56" w:type="dxa"/>
              <w:right w:w="110" w:type="dxa"/>
              <w:start w:w="78" w:type="dxa"/>
              <w:end w:w="78" w:type="dxa"/>
            </w:tcMar>
            <w:vAlign w:val="center"/>
          </w:tcPr>
          <w:p w14:paraId="7E54BB97">
            <w:pPr>
              <w:keepLines/>
              <w:spacing w:after="0" w:line="240" w:lineRule="auto" w:before="0"/>
              <w:ind w:firstLine="0"/>
              <w:jc w:val="center"/>
              <w:rPr>
                <w:rFonts w:hint="eastAsia"/>
              </w:rPr>
            </w:pPr>
            <w:r>
              <w:rPr>
                <w:rFonts w:ascii="宋体" w:hAnsi="宋体" w:eastAsia="宋体"/>
                <w:color w:val="263442"/>
                <w:sz w:val="17"/>
              </w:rPr>
              <w:t>0.5122</w:t>
            </w:r>
          </w:p>
        </w:tc>
        <w:tc>
          <w:tcPr>
            <w:tcW w:w="1400" w:type="dxa"/>
            <w:tcMar>
              <w:top w:w="56" w:type="dxa"/>
              <w:left w:w="110" w:type="dxa"/>
              <w:bottom w:w="56" w:type="dxa"/>
              <w:right w:w="110" w:type="dxa"/>
              <w:start w:w="78" w:type="dxa"/>
              <w:end w:w="78" w:type="dxa"/>
            </w:tcMar>
            <w:vAlign w:val="center"/>
          </w:tcPr>
          <w:p w14:paraId="13AD88B8">
            <w:pPr>
              <w:keepLines/>
              <w:spacing w:after="0" w:line="240" w:lineRule="auto" w:before="0"/>
              <w:ind w:firstLine="0"/>
              <w:jc w:val="center"/>
              <w:rPr>
                <w:rFonts w:hint="eastAsia"/>
              </w:rPr>
            </w:pPr>
            <w:r>
              <w:rPr>
                <w:rFonts w:ascii="宋体" w:hAnsi="宋体" w:eastAsia="宋体"/>
                <w:color w:val="263442"/>
                <w:sz w:val="17"/>
              </w:rPr>
              <w:t>0.5253</w:t>
            </w:r>
          </w:p>
        </w:tc>
        <w:tc>
          <w:tcPr>
            <w:tcW w:w="1400" w:type="dxa"/>
            <w:tcMar>
              <w:top w:w="56" w:type="dxa"/>
              <w:left w:w="110" w:type="dxa"/>
              <w:bottom w:w="56" w:type="dxa"/>
              <w:right w:w="110" w:type="dxa"/>
              <w:start w:w="78" w:type="dxa"/>
              <w:end w:w="78" w:type="dxa"/>
            </w:tcMar>
            <w:vAlign w:val="center"/>
          </w:tcPr>
          <w:p w14:paraId="0362ADE0">
            <w:pPr>
              <w:keepLines/>
              <w:spacing w:after="0" w:line="240" w:lineRule="auto" w:before="0"/>
              <w:ind w:firstLine="0"/>
              <w:jc w:val="center"/>
              <w:rPr>
                <w:rFonts w:hint="eastAsia"/>
              </w:rPr>
            </w:pPr>
            <w:r>
              <w:rPr>
                <w:rFonts w:ascii="宋体" w:hAnsi="宋体" w:eastAsia="宋体"/>
                <w:color w:val="263442"/>
                <w:sz w:val="17"/>
              </w:rPr>
              <w:t>0.6099</w:t>
            </w:r>
          </w:p>
        </w:tc>
        <w:tc>
          <w:tcPr>
            <w:tcW w:w="1680" w:type="dxa"/>
            <w:tcMar>
              <w:top w:w="56" w:type="dxa"/>
              <w:left w:w="110" w:type="dxa"/>
              <w:bottom w:w="56" w:type="dxa"/>
              <w:right w:w="110" w:type="dxa"/>
              <w:start w:w="78" w:type="dxa"/>
              <w:end w:w="78" w:type="dxa"/>
            </w:tcMar>
            <w:vAlign w:val="center"/>
          </w:tcPr>
          <w:p w14:paraId="7BB5123C">
            <w:pPr>
              <w:keepLines/>
              <w:spacing w:after="0" w:line="240" w:lineRule="auto" w:before="0"/>
              <w:ind w:firstLine="0"/>
              <w:jc w:val="center"/>
              <w:rPr>
                <w:rFonts w:hint="eastAsia"/>
              </w:rPr>
            </w:pPr>
            <w:r>
              <w:rPr>
                <w:rFonts w:ascii="宋体" w:hAnsi="宋体" w:eastAsia="宋体"/>
                <w:color w:val="263442"/>
                <w:sz w:val="17"/>
              </w:rPr>
              <w:t>0.6183</w:t>
            </w:r>
          </w:p>
        </w:tc>
        <w:tc>
          <w:tcPr>
            <w:tcW w:w="1900" w:type="dxa"/>
            <w:tcMar>
              <w:top w:w="56" w:type="dxa"/>
              <w:left w:w="110" w:type="dxa"/>
              <w:bottom w:w="56" w:type="dxa"/>
              <w:right w:w="110" w:type="dxa"/>
              <w:start w:w="78" w:type="dxa"/>
              <w:end w:w="78" w:type="dxa"/>
            </w:tcMar>
            <w:vAlign w:val="center"/>
          </w:tcPr>
          <w:p w14:paraId="6C8979E9">
            <w:pPr>
              <w:keepLines/>
              <w:spacing w:after="0" w:line="240" w:lineRule="auto" w:before="0"/>
              <w:ind w:firstLine="0"/>
              <w:jc w:val="center"/>
              <w:rPr>
                <w:rFonts w:hint="eastAsia"/>
              </w:rPr>
            </w:pPr>
            <w:r>
              <w:rPr>
                <w:rFonts w:ascii="宋体" w:hAnsi="宋体" w:eastAsia="宋体"/>
                <w:color w:val="263442"/>
                <w:sz w:val="17"/>
              </w:rPr>
              <w:t>1.0801</w:t>
            </w:r>
          </w:p>
        </w:tc>
      </w:tr>
      <w:tr w14:paraId="4CD3B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Mar>
              <w:top w:w="56" w:type="dxa"/>
              <w:left w:w="110" w:type="dxa"/>
              <w:bottom w:w="56" w:type="dxa"/>
              <w:right w:w="110" w:type="dxa"/>
              <w:start w:w="78" w:type="dxa"/>
              <w:end w:w="78" w:type="dxa"/>
            </w:tcMar>
            <w:vAlign w:val="center"/>
            <w:shd w:val="clear" w:color="auto" w:fill="F7F9FB"/>
          </w:tcPr>
          <w:p w14:paraId="13857161">
            <w:pPr>
              <w:keepLines/>
              <w:spacing w:after="0" w:line="240" w:lineRule="auto" w:before="0"/>
              <w:ind w:firstLine="0"/>
              <w:jc w:val="left"/>
              <w:rPr>
                <w:rFonts w:hint="eastAsia"/>
              </w:rPr>
            </w:pPr>
            <w:r>
              <w:rPr>
                <w:rFonts w:ascii="宋体" w:hAnsi="宋体" w:eastAsia="宋体"/>
                <w:color w:val="263442"/>
                <w:sz w:val="17"/>
              </w:rPr>
              <w:t>XGBoost</w:t>
            </w:r>
          </w:p>
        </w:tc>
        <w:tc>
          <w:tcPr>
            <w:tcW w:w="1300" w:type="dxa"/>
            <w:tcMar>
              <w:top w:w="56" w:type="dxa"/>
              <w:left w:w="110" w:type="dxa"/>
              <w:bottom w:w="56" w:type="dxa"/>
              <w:right w:w="110" w:type="dxa"/>
              <w:start w:w="78" w:type="dxa"/>
              <w:end w:w="78" w:type="dxa"/>
            </w:tcMar>
            <w:vAlign w:val="center"/>
            <w:shd w:val="clear" w:color="auto" w:fill="F7F9FB"/>
          </w:tcPr>
          <w:p w14:paraId="015B4752">
            <w:pPr>
              <w:keepLines/>
              <w:spacing w:after="0" w:line="240" w:lineRule="auto" w:before="0"/>
              <w:ind w:firstLine="0"/>
              <w:jc w:val="center"/>
              <w:rPr>
                <w:rFonts w:hint="eastAsia"/>
              </w:rPr>
            </w:pPr>
            <w:r>
              <w:rPr>
                <w:rFonts w:ascii="宋体" w:hAnsi="宋体" w:eastAsia="宋体"/>
                <w:color w:val="263442"/>
                <w:sz w:val="17"/>
              </w:rPr>
              <w:t>0.5854</w:t>
            </w:r>
          </w:p>
        </w:tc>
        <w:tc>
          <w:tcPr>
            <w:tcW w:w="1400" w:type="dxa"/>
            <w:tcMar>
              <w:top w:w="56" w:type="dxa"/>
              <w:left w:w="110" w:type="dxa"/>
              <w:bottom w:w="56" w:type="dxa"/>
              <w:right w:w="110" w:type="dxa"/>
              <w:start w:w="78" w:type="dxa"/>
              <w:end w:w="78" w:type="dxa"/>
            </w:tcMar>
            <w:vAlign w:val="center"/>
            <w:shd w:val="clear" w:color="auto" w:fill="F7F9FB"/>
          </w:tcPr>
          <w:p w14:paraId="25CBC74B">
            <w:pPr>
              <w:keepLines/>
              <w:spacing w:after="0" w:line="240" w:lineRule="auto" w:before="0"/>
              <w:ind w:firstLine="0"/>
              <w:jc w:val="center"/>
              <w:rPr>
                <w:rFonts w:hint="eastAsia"/>
              </w:rPr>
            </w:pPr>
            <w:r>
              <w:rPr>
                <w:rFonts w:ascii="宋体" w:hAnsi="宋体" w:eastAsia="宋体"/>
                <w:color w:val="263442"/>
                <w:sz w:val="17"/>
              </w:rPr>
              <w:t>0.5939</w:t>
            </w:r>
          </w:p>
        </w:tc>
        <w:tc>
          <w:tcPr>
            <w:tcW w:w="1400" w:type="dxa"/>
            <w:tcMar>
              <w:top w:w="56" w:type="dxa"/>
              <w:left w:w="110" w:type="dxa"/>
              <w:bottom w:w="56" w:type="dxa"/>
              <w:right w:w="110" w:type="dxa"/>
              <w:start w:w="78" w:type="dxa"/>
              <w:end w:w="78" w:type="dxa"/>
            </w:tcMar>
            <w:vAlign w:val="center"/>
            <w:shd w:val="clear" w:color="auto" w:fill="F7F9FB"/>
          </w:tcPr>
          <w:p w14:paraId="15A94C0F">
            <w:pPr>
              <w:keepLines/>
              <w:spacing w:after="0" w:line="240" w:lineRule="auto" w:before="0"/>
              <w:ind w:firstLine="0"/>
              <w:jc w:val="center"/>
              <w:rPr>
                <w:rFonts w:hint="eastAsia"/>
              </w:rPr>
            </w:pPr>
            <w:r>
              <w:rPr>
                <w:rFonts w:ascii="宋体" w:hAnsi="宋体" w:eastAsia="宋体"/>
                <w:color w:val="263442"/>
                <w:sz w:val="17"/>
              </w:rPr>
              <w:t>0.6261</w:t>
            </w:r>
          </w:p>
        </w:tc>
        <w:tc>
          <w:tcPr>
            <w:tcW w:w="1680" w:type="dxa"/>
            <w:tcMar>
              <w:top w:w="56" w:type="dxa"/>
              <w:left w:w="110" w:type="dxa"/>
              <w:bottom w:w="56" w:type="dxa"/>
              <w:right w:w="110" w:type="dxa"/>
              <w:start w:w="78" w:type="dxa"/>
              <w:end w:w="78" w:type="dxa"/>
            </w:tcMar>
            <w:vAlign w:val="center"/>
            <w:shd w:val="clear" w:color="auto" w:fill="F7F9FB"/>
          </w:tcPr>
          <w:p w14:paraId="1AD7A931">
            <w:pPr>
              <w:keepLines/>
              <w:spacing w:after="0" w:line="240" w:lineRule="auto" w:before="0"/>
              <w:ind w:firstLine="0"/>
              <w:jc w:val="center"/>
              <w:rPr>
                <w:rFonts w:hint="eastAsia"/>
              </w:rPr>
            </w:pPr>
            <w:r>
              <w:rPr>
                <w:rFonts w:ascii="宋体" w:hAnsi="宋体" w:eastAsia="宋体"/>
                <w:color w:val="263442"/>
                <w:sz w:val="17"/>
              </w:rPr>
              <w:t>0.6592</w:t>
            </w:r>
          </w:p>
        </w:tc>
        <w:tc>
          <w:tcPr>
            <w:tcW w:w="1900" w:type="dxa"/>
            <w:tcMar>
              <w:top w:w="56" w:type="dxa"/>
              <w:left w:w="110" w:type="dxa"/>
              <w:bottom w:w="56" w:type="dxa"/>
              <w:right w:w="110" w:type="dxa"/>
              <w:start w:w="78" w:type="dxa"/>
              <w:end w:w="78" w:type="dxa"/>
            </w:tcMar>
            <w:vAlign w:val="center"/>
            <w:shd w:val="clear" w:color="auto" w:fill="F7F9FB"/>
          </w:tcPr>
          <w:p w14:paraId="5E826E70">
            <w:pPr>
              <w:keepLines/>
              <w:spacing w:after="0" w:line="240" w:lineRule="auto" w:before="0"/>
              <w:ind w:firstLine="0"/>
              <w:jc w:val="center"/>
              <w:rPr>
                <w:rFonts w:hint="eastAsia"/>
              </w:rPr>
            </w:pPr>
            <w:r>
              <w:rPr>
                <w:rFonts w:ascii="宋体" w:hAnsi="宋体" w:eastAsia="宋体"/>
                <w:color w:val="263442"/>
                <w:sz w:val="17"/>
              </w:rPr>
              <w:t>1.0026</w:t>
            </w:r>
          </w:p>
        </w:tc>
      </w:tr>
      <w:tr w14:paraId="02B0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Mar>
              <w:top w:w="56" w:type="dxa"/>
              <w:left w:w="110" w:type="dxa"/>
              <w:bottom w:w="56" w:type="dxa"/>
              <w:right w:w="110" w:type="dxa"/>
              <w:start w:w="78" w:type="dxa"/>
              <w:end w:w="78" w:type="dxa"/>
            </w:tcMar>
            <w:vAlign w:val="center"/>
          </w:tcPr>
          <w:p w14:paraId="715EFD42">
            <w:pPr>
              <w:keepLines/>
              <w:spacing w:after="0" w:line="240" w:lineRule="auto" w:before="0"/>
              <w:ind w:firstLine="0"/>
              <w:jc w:val="left"/>
              <w:rPr>
                <w:rFonts w:hint="eastAsia"/>
              </w:rPr>
            </w:pPr>
            <w:r>
              <w:rPr>
                <w:rFonts w:ascii="宋体" w:hAnsi="宋体" w:eastAsia="宋体"/>
                <w:color w:val="263442"/>
                <w:sz w:val="17"/>
              </w:rPr>
              <w:t>融合模型</w:t>
            </w:r>
          </w:p>
        </w:tc>
        <w:tc>
          <w:tcPr>
            <w:tcW w:w="1300" w:type="dxa"/>
            <w:tcMar>
              <w:top w:w="56" w:type="dxa"/>
              <w:left w:w="110" w:type="dxa"/>
              <w:bottom w:w="56" w:type="dxa"/>
              <w:right w:w="110" w:type="dxa"/>
              <w:start w:w="78" w:type="dxa"/>
              <w:end w:w="78" w:type="dxa"/>
            </w:tcMar>
            <w:vAlign w:val="center"/>
          </w:tcPr>
          <w:p w14:paraId="6426C815">
            <w:pPr>
              <w:keepLines/>
              <w:spacing w:after="0" w:line="240" w:lineRule="auto" w:before="0"/>
              <w:ind w:firstLine="0"/>
              <w:jc w:val="center"/>
              <w:rPr>
                <w:rFonts w:hint="eastAsia"/>
              </w:rPr>
            </w:pPr>
            <w:r>
              <w:rPr>
                <w:rFonts w:ascii="宋体" w:hAnsi="宋体" w:eastAsia="宋体"/>
                <w:color w:val="263442"/>
                <w:sz w:val="17"/>
              </w:rPr>
              <w:t>0.6016</w:t>
            </w:r>
          </w:p>
        </w:tc>
        <w:tc>
          <w:tcPr>
            <w:tcW w:w="1400" w:type="dxa"/>
            <w:tcMar>
              <w:top w:w="56" w:type="dxa"/>
              <w:left w:w="110" w:type="dxa"/>
              <w:bottom w:w="56" w:type="dxa"/>
              <w:right w:w="110" w:type="dxa"/>
              <w:start w:w="78" w:type="dxa"/>
              <w:end w:w="78" w:type="dxa"/>
            </w:tcMar>
            <w:vAlign w:val="center"/>
          </w:tcPr>
          <w:p w14:paraId="3ED6B841">
            <w:pPr>
              <w:keepLines/>
              <w:spacing w:after="0" w:line="240" w:lineRule="auto" w:before="0"/>
              <w:ind w:firstLine="0"/>
              <w:jc w:val="center"/>
              <w:rPr>
                <w:rFonts w:hint="eastAsia"/>
              </w:rPr>
            </w:pPr>
            <w:r>
              <w:rPr>
                <w:rFonts w:ascii="宋体" w:hAnsi="宋体" w:eastAsia="宋体"/>
                <w:color w:val="263442"/>
                <w:sz w:val="17"/>
              </w:rPr>
              <w:t>0.6086</w:t>
            </w:r>
          </w:p>
        </w:tc>
        <w:tc>
          <w:tcPr>
            <w:tcW w:w="1400" w:type="dxa"/>
            <w:tcMar>
              <w:top w:w="56" w:type="dxa"/>
              <w:left w:w="110" w:type="dxa"/>
              <w:bottom w:w="56" w:type="dxa"/>
              <w:right w:w="110" w:type="dxa"/>
              <w:start w:w="78" w:type="dxa"/>
              <w:end w:w="78" w:type="dxa"/>
            </w:tcMar>
            <w:vAlign w:val="center"/>
          </w:tcPr>
          <w:p w14:paraId="4E675B4C">
            <w:pPr>
              <w:keepLines/>
              <w:spacing w:after="0" w:line="240" w:lineRule="auto" w:before="0"/>
              <w:ind w:firstLine="0"/>
              <w:jc w:val="center"/>
              <w:rPr>
                <w:rFonts w:hint="eastAsia"/>
              </w:rPr>
            </w:pPr>
            <w:r>
              <w:rPr>
                <w:rFonts w:ascii="宋体" w:hAnsi="宋体" w:eastAsia="宋体"/>
                <w:color w:val="263442"/>
                <w:sz w:val="17"/>
              </w:rPr>
              <w:t>0.6178</w:t>
            </w:r>
          </w:p>
        </w:tc>
        <w:tc>
          <w:tcPr>
            <w:tcW w:w="1680" w:type="dxa"/>
            <w:tcMar>
              <w:top w:w="56" w:type="dxa"/>
              <w:left w:w="110" w:type="dxa"/>
              <w:bottom w:w="56" w:type="dxa"/>
              <w:right w:w="110" w:type="dxa"/>
              <w:start w:w="78" w:type="dxa"/>
              <w:end w:w="78" w:type="dxa"/>
            </w:tcMar>
            <w:vAlign w:val="center"/>
          </w:tcPr>
          <w:p w14:paraId="6E264999">
            <w:pPr>
              <w:keepLines/>
              <w:spacing w:after="0" w:line="240" w:lineRule="auto" w:before="0"/>
              <w:ind w:firstLine="0"/>
              <w:jc w:val="center"/>
              <w:rPr>
                <w:rFonts w:hint="eastAsia"/>
              </w:rPr>
            </w:pPr>
            <w:r>
              <w:rPr>
                <w:rFonts w:ascii="宋体" w:hAnsi="宋体" w:eastAsia="宋体"/>
                <w:color w:val="263442"/>
                <w:sz w:val="17"/>
              </w:rPr>
              <w:t>0.6666</w:t>
            </w:r>
          </w:p>
        </w:tc>
        <w:tc>
          <w:tcPr>
            <w:tcW w:w="1900" w:type="dxa"/>
            <w:tcMar>
              <w:top w:w="56" w:type="dxa"/>
              <w:left w:w="110" w:type="dxa"/>
              <w:bottom w:w="56" w:type="dxa"/>
              <w:right w:w="110" w:type="dxa"/>
              <w:start w:w="78" w:type="dxa"/>
              <w:end w:w="78" w:type="dxa"/>
            </w:tcMar>
            <w:vAlign w:val="center"/>
          </w:tcPr>
          <w:p w14:paraId="4DE26E5D">
            <w:pPr>
              <w:keepLines/>
              <w:spacing w:after="0" w:line="240" w:lineRule="auto" w:before="0"/>
              <w:ind w:firstLine="0"/>
              <w:jc w:val="center"/>
              <w:rPr>
                <w:rFonts w:hint="eastAsia"/>
              </w:rPr>
            </w:pPr>
            <w:r>
              <w:rPr>
                <w:rFonts w:ascii="宋体" w:hAnsi="宋体" w:eastAsia="宋体"/>
                <w:color w:val="263442"/>
                <w:sz w:val="17"/>
              </w:rPr>
              <w:t>0.9956</w:t>
            </w:r>
          </w:p>
        </w:tc>
      </w:tr>
    </w:tbl>
    <w:p w14:paraId="521BAA24">
      <w:pPr>
        <w:spacing w:after="20"/>
        <w:rPr>
          <w:rFonts w:hint="eastAsia"/>
        </w:rPr>
      </w:pPr>
    </w:p>
    <w:p w14:paraId="0A5B0592">
      <w:pPr>
        <w:widowControl/>
        <w:spacing w:line="348" w:lineRule="auto" w:before="0" w:after="60"/>
        <w:ind w:firstLine="420"/>
        <w:jc w:val="both"/>
        <w:rPr>
          <w:rFonts w:hint="eastAsia"/>
        </w:rPr>
      </w:pPr>
      <w:r>
        <w:rPr>
          <w:rFonts w:ascii="宋体" w:hAnsi="宋体" w:eastAsia="宋体"/>
          <w:color w:val="263442"/>
          <w:sz w:val="21"/>
        </w:rPr>
        <w:t>表5显示，融合模型在 Accuracy、Macro-F1、二次加权 Kappa 和对数损失上均优于两个分量；序数 MAE 略高于 Logistic，表明树模型改善了类别判别，而概率期望仍存在小幅序数偏差。折外 CRI 在历史违约样本中的均值为75.46，在未违约样本中为40.67，AUC 为0.9066，支持该指数的风险方向与历史违约现象一致。由于 D 级与违约高度相关，该 AUC 仅作为方向一致性证据，不用于宣称已获得校准的企业违约概率。</w:t>
      </w:r>
    </w:p>
    <w:p w14:paraId="60F15807">
      <w:pPr>
        <w:keepNext/>
        <w:keepLines/>
        <w:spacing w:before="100" w:after="40"/>
        <w:ind w:firstLine="0"/>
        <w:jc w:val="center"/>
        <w:rPr>
          <w:rFonts w:hint="eastAsia"/>
        </w:rPr>
      </w:pPr>
      <w:r>
        <w:drawing>
          <wp:inline distT="0" distB="0" distL="114300" distR="114300">
            <wp:extent cx="5303520" cy="3533406"/>
            <wp:effectExtent l="0" t="0" r="5080" b="2540"/>
            <wp:docPr id="1" name="图3 信用风险指数分布" descr="图3 信用风险指数分布" title="图3 信用风险指数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附件1折外 CRI 与附件2迁移 CRI 的分布" title="图1  附件1折外 CRI 与附件2迁移 CRI 的分布"/>
                    <pic:cNvPicPr>
                      <a:picLocks noChangeAspect="1"/>
                    </pic:cNvPicPr>
                  </pic:nvPicPr>
                  <pic:blipFill>
                    <a:blip r:embed="rId14"/>
                    <a:stretch>
                      <a:fillRect/>
                    </a:stretch>
                  </pic:blipFill>
                  <pic:spPr>
                    <a:xfrm>
                      <a:off x="0" y="0"/>
                      <a:ext cx="5303520" cy="3533406"/>
                    </a:xfrm>
                    <a:prstGeom prst="rect">
                      <a:avLst/>
                    </a:prstGeom>
                  </pic:spPr>
                </pic:pic>
              </a:graphicData>
            </a:graphic>
          </wp:inline>
        </w:drawing>
      </w:r>
      <w:bookmarkStart w:id="0" w:name="_GoBack"/>
      <w:bookmarkEnd w:id="0"/>
    </w:p>
    <w:p w14:paraId="25CAE1E8">
      <w:pPr>
        <w:pStyle w:val="15"/>
        <w:keepNext w:val="0"/>
        <w:keepLines/>
        <w:spacing w:before="40" w:after="120"/>
        <w:ind w:firstLine="0"/>
        <w:jc w:val="center"/>
        <w:rPr>
          <w:rFonts w:hint="eastAsia"/>
        </w:rPr>
      </w:pPr>
      <w:r>
        <w:rPr>
          <w:rFonts w:ascii="宋体" w:hAnsi="宋体" w:eastAsia="宋体"/>
          <w:color w:val="536273"/>
          <w:sz w:val="18"/>
        </w:rPr>
        <w:t>图3  附件1折外 CRI 与附件2迁移 CRI 的分布</w:t>
      </w:r>
    </w:p>
    <w:p w14:paraId="73494131">
      <w:pPr>
        <w:widowControl/>
        <w:spacing w:line="348" w:lineRule="auto" w:before="0" w:after="60"/>
        <w:ind w:firstLine="420"/>
        <w:jc w:val="both"/>
        <w:rPr>
          <w:rFonts w:hint="eastAsia"/>
        </w:rPr>
      </w:pPr>
      <w:r>
        <w:rPr>
          <w:rFonts w:ascii="宋体" w:hAnsi="宋体" w:eastAsia="宋体"/>
          <w:color w:val="263442"/>
          <w:sz w:val="21"/>
        </w:rPr>
        <w:t>原始点与保序拟合的对比见图4。</w:t>
      </w:r>
    </w:p>
    <w:p w14:paraId="5C56F2AE">
      <w:pPr>
        <w:pStyle w:val="3"/>
        <w:keepNext/>
        <w:keepLines/>
        <w:spacing w:before="280" w:after="140"/>
        <w:ind w:firstLine="0"/>
      </w:pPr>
      <w:r>
        <w:rPr>
          <w:rFonts w:ascii="微软雅黑" w:hAnsi="微软雅黑" w:eastAsia="微软雅黑"/>
          <w:b/>
          <w:color w:val="17324D"/>
          <w:sz w:val="31"/>
        </w:rPr>
        <w:t>4  问题一：有信贷记录企业的信贷策略</w:t>
      </w:r>
    </w:p>
    <w:p w14:paraId="0EA8DD0C">
      <w:pPr>
        <w:pStyle w:val="4"/>
        <w:keepNext/>
        <w:keepLines/>
        <w:spacing w:before="200" w:after="80"/>
        <w:ind w:firstLine="0"/>
      </w:pPr>
      <w:r>
        <w:rPr>
          <w:rFonts w:ascii="微软雅黑" w:hAnsi="微软雅黑" w:eastAsia="微软雅黑"/>
          <w:b/>
          <w:color w:val="2878B5"/>
          <w:sz w:val="25"/>
        </w:rPr>
        <w:t>4.1  风险损失尺度与利率响应</w:t>
      </w:r>
    </w:p>
    <w:p w14:paraId="7F34D50B">
      <w:pPr>
        <w:widowControl/>
        <w:spacing w:line="348" w:lineRule="auto" w:before="0" w:after="60"/>
        <w:ind w:firstLine="420"/>
        <w:jc w:val="both"/>
        <w:rPr>
          <w:rFonts w:hint="eastAsia"/>
        </w:rPr>
      </w:pPr>
      <w:r>
        <w:rPr>
          <w:rFonts w:ascii="宋体" w:hAnsi="宋体" w:eastAsia="宋体"/>
          <w:color w:val="263442"/>
          <w:sz w:val="21"/>
        </w:rPr>
        <w:t>各评级的历史违约样本数差异较大，直接按频率估计会使 A 级违约率为0，并放大小样本波动。本文采用 Jeffreys 平滑，将评级 k 的违约损失尺度写为下式，其中 dₖ、nₖ 分别为违约数与企业数。A/B/C/D 四档的既有尺度为0.0179、0.0385、0.0714和0.9800；它们用于组合风险损失度量，而不等同于外部校准的违约概率。</w:t>
      </w:r>
    </w:p>
    <w:p w14:paraId="28DE1656">
      <w:pPr>
        <w:widowControl/>
        <w:spacing w:before="0" w:line="348" w:lineRule="auto" w:after="60"/>
        <w:ind w:firstLine="420"/>
        <w:jc w:val="both"/>
        <w:rPr>
          <w:rFonts w:hint="eastAsia"/>
        </w:rPr>
      </w:pPr>
      <w:r>
        <w:rPr>
          <w:rFonts w:ascii="宋体" w:hAnsi="宋体" w:eastAsia="宋体"/>
          <w:color w:val="263442"/>
          <w:sz w:val="21"/>
        </w:rPr>
        <w:t>d̃ₖ = (dₖ + 0.5) / (nₖ + 1),    ρᵢ = Σₖ pᵢk d̃ₖ    （4）</w:t>
      </w:r>
    </w:p>
    <w:p w14:paraId="6B0BA726">
      <w:pPr>
        <w:widowControl/>
        <w:spacing w:line="348" w:lineRule="auto" w:before="0" w:after="60"/>
        <w:ind w:firstLine="420"/>
        <w:jc w:val="both"/>
        <w:rPr>
          <w:rFonts w:hint="eastAsia"/>
        </w:rPr>
      </w:pPr>
      <w:r>
        <w:rPr>
          <w:rFonts w:ascii="宋体" w:hAnsi="宋体" w:eastAsia="宋体"/>
          <w:color w:val="263442"/>
          <w:sz w:val="21"/>
        </w:rPr>
        <w:t>附件3的原始流失率存在少量局部下降，若直接插值将出现“利率上升而流失减少”的反常关系。故分别对 A、B、C 级应用保序回归，求与原始数据平方误差最小的非降序列；企业流失率再按其 A/B/C 评级概率加权。D 类未给流失曲线：在问题一中直接禁贷，在问题二中不补造流失率，而通过较高风险损失尺度进入组合约束。</w:t>
      </w:r>
    </w:p>
    <w:p w14:paraId="391848B4">
      <w:pPr>
        <w:keepNext/>
        <w:keepLines/>
        <w:spacing w:before="100" w:after="40"/>
        <w:ind w:firstLine="0"/>
        <w:jc w:val="center"/>
        <w:rPr>
          <w:rFonts w:hint="eastAsia"/>
        </w:rPr>
      </w:pPr>
      <w:r>
        <w:drawing>
          <wp:inline distT="0" distB="0" distL="114300" distR="114300">
            <wp:extent cx="5303520" cy="3532319"/>
            <wp:effectExtent l="0" t="0" r="0" b="0"/>
            <wp:docPr id="2" name="图4 贷款年利率与客户流失率关系" descr="图4 贷款年利率与客户流失率关系" title="图4 贷款年利率与客户流失率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年利率—客户流失率原始点与保序拟合" title="图2  年利率—客户流失率原始点与保序拟合"/>
                    <pic:cNvPicPr>
                      <a:picLocks noChangeAspect="1"/>
                    </pic:cNvPicPr>
                  </pic:nvPicPr>
                  <pic:blipFill>
                    <a:blip r:embed="rId15"/>
                    <a:stretch>
                      <a:fillRect/>
                    </a:stretch>
                  </pic:blipFill>
                  <pic:spPr>
                    <a:xfrm>
                      <a:off x="0" y="0"/>
                      <a:ext cx="5303520" cy="3532319"/>
                    </a:xfrm>
                    <a:prstGeom prst="rect">
                      <a:avLst/>
                    </a:prstGeom>
                  </pic:spPr>
                </pic:pic>
              </a:graphicData>
            </a:graphic>
          </wp:inline>
        </w:drawing>
      </w:r>
    </w:p>
    <w:p w14:paraId="73A9EA71">
      <w:pPr>
        <w:pStyle w:val="15"/>
        <w:keepNext w:val="0"/>
        <w:keepLines/>
        <w:spacing w:before="40" w:after="120"/>
        <w:ind w:firstLine="0"/>
        <w:jc w:val="center"/>
        <w:rPr>
          <w:rFonts w:hint="eastAsia"/>
        </w:rPr>
      </w:pPr>
      <w:r>
        <w:rPr>
          <w:rFonts w:ascii="宋体" w:hAnsi="宋体" w:eastAsia="宋体"/>
          <w:color w:val="536273"/>
          <w:sz w:val="18"/>
        </w:rPr>
        <w:t>图4  年利率—客户流失率原始点与保序拟合</w:t>
      </w:r>
    </w:p>
    <w:p w14:paraId="5893F513">
      <w:pPr>
        <w:widowControl/>
        <w:spacing w:line="348" w:lineRule="auto" w:before="0" w:after="60"/>
        <w:ind w:firstLine="420"/>
        <w:jc w:val="both"/>
        <w:rPr>
          <w:rFonts w:hint="eastAsia"/>
        </w:rPr>
      </w:pPr>
      <w:r>
        <w:rPr>
          <w:rFonts w:ascii="宋体" w:hAnsi="宋体" w:eastAsia="宋体"/>
          <w:color w:val="263442"/>
          <w:sz w:val="21"/>
        </w:rPr>
        <w:t>设 r 为年利率、LGD 为违约损失率，客户接受贷款的概率为1−ℓᵢ(r)。单位授信的期望效益由名义利息扣除客户流失造成的利息损失和风险损失：</w:t>
      </w:r>
    </w:p>
    <w:p w14:paraId="3F2DB5D7">
      <w:pPr>
        <w:widowControl/>
        <w:spacing w:before="0" w:line="348" w:lineRule="auto" w:after="60"/>
        <w:ind w:firstLine="420"/>
        <w:jc w:val="both"/>
        <w:rPr>
          <w:rFonts w:hint="eastAsia"/>
        </w:rPr>
      </w:pPr>
      <w:r>
        <w:rPr>
          <w:rFonts w:ascii="宋体" w:hAnsi="宋体" w:eastAsia="宋体"/>
          <w:color w:val="263442"/>
          <w:sz w:val="21"/>
        </w:rPr>
        <w:t>cᵢ(r) = [r − LGD·ρᵢ]·[1−ℓᵢ(r)]    （5）</w:t>
      </w:r>
    </w:p>
    <w:p w14:paraId="57A5CE13">
      <w:pPr>
        <w:pStyle w:val="4"/>
        <w:keepNext/>
        <w:keepLines/>
        <w:spacing w:before="200" w:after="80"/>
        <w:ind w:firstLine="0"/>
      </w:pPr>
      <w:r>
        <w:rPr>
          <w:rFonts w:ascii="微软雅黑" w:hAnsi="微软雅黑" w:eastAsia="微软雅黑"/>
          <w:b/>
          <w:color w:val="2878B5"/>
          <w:sz w:val="25"/>
        </w:rPr>
        <w:t>4.2  固定额度 MILP</w:t>
      </w:r>
    </w:p>
    <w:p w14:paraId="0EDF87FF">
      <w:pPr>
        <w:widowControl/>
        <w:spacing w:line="348" w:lineRule="auto" w:before="0" w:after="60"/>
        <w:ind w:firstLine="420"/>
        <w:jc w:val="both"/>
        <w:rPr>
          <w:rFonts w:hint="eastAsia"/>
        </w:rPr>
      </w:pPr>
      <w:r>
        <w:rPr>
          <w:rFonts w:ascii="宋体" w:hAnsi="宋体" w:eastAsia="宋体"/>
          <w:color w:val="263442"/>
          <w:sz w:val="21"/>
        </w:rPr>
        <w:t>对每家企业，先在附件3给出的29个既有利率点中选择使 cᵢ(r) 最大的利率，再在固定预算 B 下配置额度。利率确定后，式（6）—（7）中的 cᵢ 与 ℓᵢ 分别表示该企业在已选利率处的单位授信期望效益和客户流失率；xᵢ 为授信额度，yᵢ 表示是否授信。式（6）将已选利率下的单位效益与授信额度相乘，式（7）依次施加年度预算、单户额度、风险敞口和二元授信约束，D 级企业的 yᵢ 固定为0。该两阶段写法保持利率选择与组合配置的既有求解口径一致。</w:t>
      </w:r>
    </w:p>
    <w:p w14:paraId="3070F3FD">
      <w:pPr>
        <w:widowControl/>
        <w:spacing w:before="0" w:line="348" w:lineRule="auto" w:after="60"/>
        <w:ind w:firstLine="420"/>
        <w:jc w:val="both"/>
        <w:rPr>
          <w:rFonts w:hint="eastAsia"/>
        </w:rPr>
      </w:pPr>
      <w:r>
        <w:rPr>
          <w:rFonts w:ascii="宋体" w:hAnsi="宋体" w:eastAsia="宋体"/>
          <w:color w:val="263442"/>
          <w:sz w:val="21"/>
        </w:rPr>
        <w:t>max Σᵢ cᵢ xᵢ    （6）</w:t>
      </w:r>
    </w:p>
    <w:p w14:paraId="784D0D25">
      <w:pPr>
        <w:widowControl/>
        <w:spacing w:before="0" w:line="348" w:lineRule="auto" w:after="60"/>
        <w:ind w:firstLine="420"/>
        <w:jc w:val="both"/>
        <w:rPr>
          <w:rFonts w:hint="eastAsia"/>
        </w:rPr>
      </w:pPr>
      <w:r>
        <w:rPr>
          <w:rFonts w:ascii="宋体" w:hAnsi="宋体" w:eastAsia="宋体"/>
          <w:color w:val="263442"/>
          <w:sz w:val="21"/>
        </w:rPr>
        <w:t>s.t. Σᵢxᵢ=B;  10⁵yᵢ≤xᵢ≤10⁶yᵢ;  Σᵢρᵢ(1−ℓᵢ)xᵢ≤R;  yᵢ∈{0,1}    （7）</w:t>
      </w:r>
    </w:p>
    <w:p w14:paraId="3EFE3549">
      <w:pPr>
        <w:widowControl/>
        <w:spacing w:line="348" w:lineRule="auto" w:before="0" w:after="60"/>
        <w:ind w:firstLine="420"/>
        <w:jc w:val="both"/>
        <w:rPr>
          <w:rFonts w:hint="eastAsia"/>
        </w:rPr>
      </w:pPr>
      <w:r>
        <w:rPr>
          <w:rFonts w:ascii="宋体" w:hAnsi="宋体" w:eastAsia="宋体"/>
          <w:color w:val="263442"/>
          <w:sz w:val="21"/>
        </w:rPr>
        <w:t>按评级的授信结构见表6。</w:t>
      </w:r>
    </w:p>
    <w:p w14:paraId="394EFA47">
      <w:pPr>
        <w:pStyle w:val="15"/>
        <w:keepNext/>
        <w:keepLines/>
        <w:spacing w:before="40" w:after="120"/>
        <w:ind w:firstLine="0"/>
        <w:jc w:val="center"/>
        <w:rPr>
          <w:rFonts w:hint="eastAsia"/>
        </w:rPr>
      </w:pPr>
      <w:r>
        <w:rPr>
          <w:rFonts w:ascii="宋体" w:hAnsi="宋体" w:eastAsia="宋体"/>
          <w:color w:val="536273"/>
          <w:sz w:val="18"/>
        </w:rPr>
        <w:t>表6  问题一主情景下按评级的授信结构</w:t>
      </w:r>
    </w:p>
    <w:tbl>
      <w:tblPr>
        <w:tblStyle w:val="33"/>
        <w:tblW w:w="9180" w:type="dxa"/>
        <w:jc w:val="center"/>
        <w:tblBorders>
          <w:top w:val="single" w:color="AAB8C6" w:sz="4" w:space="0"/>
          <w:left w:val="single" w:color="AAB8C6" w:sz="4" w:space="0"/>
          <w:bottom w:val="single" w:color="AAB8C6" w:sz="4" w:space="0"/>
          <w:right w:val="single" w:color="AAB8C6" w:sz="4" w:space="0"/>
          <w:insideH w:val="single" w:color="AAB8C6" w:sz="4" w:space="0"/>
          <w:insideV w:val="single" w:color="AAB8C6" w:sz="4" w:space="0"/>
        </w:tblBorders>
        <w:tblLayout w:type="autofit"/>
        <w:tblCellMar>
          <w:top w:w="0" w:type="dxa"/>
          <w:left w:w="108" w:type="dxa"/>
          <w:bottom w:w="0" w:type="dxa"/>
          <w:right w:w="108" w:type="dxa"/>
        </w:tblCellMar>
      </w:tblPr>
      <w:tblGrid>
        <w:gridCol w:w="1300"/>
        <w:gridCol w:w="1500"/>
        <w:gridCol w:w="1800"/>
        <w:gridCol w:w="1500"/>
        <w:gridCol w:w="3080"/>
      </w:tblGrid>
      <w:tr w14:paraId="1619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1300" w:type="dxa"/>
            <w:tcMar>
              <w:top w:w="56" w:type="dxa"/>
              <w:left w:w="110" w:type="dxa"/>
              <w:bottom w:w="56" w:type="dxa"/>
              <w:right w:w="110" w:type="dxa"/>
              <w:start w:w="78" w:type="dxa"/>
              <w:end w:w="78" w:type="dxa"/>
            </w:tcMar>
            <w:vAlign w:val="center"/>
            <w:shd w:val="clear" w:color="auto" w:fill="EAF0F6"/>
          </w:tcPr>
          <w:p w14:paraId="25E43795">
            <w:pPr>
              <w:keepNext/>
              <w:keepLines/>
              <w:spacing w:after="0" w:before="0" w:line="240" w:lineRule="auto"/>
              <w:jc w:val="center"/>
              <w:rPr>
                <w:rFonts w:hint="eastAsia"/>
              </w:rPr>
            </w:pPr>
            <w:r>
              <w:rPr>
                <w:rFonts w:ascii="宋体" w:hAnsi="宋体" w:eastAsia="宋体"/>
                <w:b/>
                <w:color w:val="263442"/>
                <w:sz w:val="17"/>
              </w:rPr>
              <w:t>评级</w:t>
            </w:r>
          </w:p>
        </w:tc>
        <w:tc>
          <w:tcPr>
            <w:tcW w:w="1500" w:type="dxa"/>
            <w:tcMar>
              <w:top w:w="56" w:type="dxa"/>
              <w:left w:w="110" w:type="dxa"/>
              <w:bottom w:w="56" w:type="dxa"/>
              <w:right w:w="110" w:type="dxa"/>
              <w:start w:w="78" w:type="dxa"/>
              <w:end w:w="78" w:type="dxa"/>
            </w:tcMar>
            <w:vAlign w:val="center"/>
            <w:shd w:val="clear" w:color="auto" w:fill="EAF0F6"/>
          </w:tcPr>
          <w:p w14:paraId="3F35150A">
            <w:pPr>
              <w:keepNext/>
              <w:keepLines/>
              <w:spacing w:after="0" w:before="0" w:line="240" w:lineRule="auto"/>
              <w:jc w:val="center"/>
              <w:rPr>
                <w:rFonts w:hint="eastAsia"/>
              </w:rPr>
            </w:pPr>
            <w:r>
              <w:rPr>
                <w:rFonts w:ascii="宋体" w:hAnsi="宋体" w:eastAsia="宋体"/>
                <w:b/>
                <w:color w:val="263442"/>
                <w:sz w:val="17"/>
              </w:rPr>
              <w:t>企业数</w:t>
            </w:r>
          </w:p>
        </w:tc>
        <w:tc>
          <w:tcPr>
            <w:tcW w:w="1800" w:type="dxa"/>
            <w:tcMar>
              <w:top w:w="56" w:type="dxa"/>
              <w:left w:w="110" w:type="dxa"/>
              <w:bottom w:w="56" w:type="dxa"/>
              <w:right w:w="110" w:type="dxa"/>
              <w:start w:w="78" w:type="dxa"/>
              <w:end w:w="78" w:type="dxa"/>
            </w:tcMar>
            <w:vAlign w:val="center"/>
            <w:shd w:val="clear" w:color="auto" w:fill="EAF0F6"/>
          </w:tcPr>
          <w:p w14:paraId="7274E62A">
            <w:pPr>
              <w:keepNext/>
              <w:keepLines/>
              <w:spacing w:after="0" w:before="0" w:line="240" w:lineRule="auto"/>
              <w:jc w:val="center"/>
              <w:rPr>
                <w:rFonts w:hint="eastAsia"/>
              </w:rPr>
            </w:pPr>
            <w:r>
              <w:rPr>
                <w:rFonts w:ascii="宋体" w:hAnsi="宋体" w:eastAsia="宋体"/>
                <w:b/>
                <w:color w:val="263442"/>
                <w:sz w:val="17"/>
              </w:rPr>
              <w:t>平均CRI</w:t>
            </w:r>
          </w:p>
        </w:tc>
        <w:tc>
          <w:tcPr>
            <w:tcW w:w="1500" w:type="dxa"/>
            <w:tcMar>
              <w:top w:w="56" w:type="dxa"/>
              <w:left w:w="110" w:type="dxa"/>
              <w:bottom w:w="56" w:type="dxa"/>
              <w:right w:w="110" w:type="dxa"/>
              <w:start w:w="78" w:type="dxa"/>
              <w:end w:w="78" w:type="dxa"/>
            </w:tcMar>
            <w:vAlign w:val="center"/>
            <w:shd w:val="clear" w:color="auto" w:fill="EAF0F6"/>
          </w:tcPr>
          <w:p w14:paraId="09AEC8AE">
            <w:pPr>
              <w:keepNext/>
              <w:keepLines/>
              <w:spacing w:after="0" w:before="0" w:line="240" w:lineRule="auto"/>
              <w:jc w:val="center"/>
              <w:rPr>
                <w:rFonts w:hint="eastAsia"/>
              </w:rPr>
            </w:pPr>
            <w:r>
              <w:rPr>
                <w:rFonts w:ascii="宋体" w:hAnsi="宋体" w:eastAsia="宋体"/>
                <w:b/>
                <w:color w:val="263442"/>
                <w:sz w:val="17"/>
              </w:rPr>
              <w:t>入选数</w:t>
            </w:r>
          </w:p>
        </w:tc>
        <w:tc>
          <w:tcPr>
            <w:tcW w:w="3080" w:type="dxa"/>
            <w:tcMar>
              <w:top w:w="56" w:type="dxa"/>
              <w:left w:w="110" w:type="dxa"/>
              <w:bottom w:w="56" w:type="dxa"/>
              <w:right w:w="110" w:type="dxa"/>
              <w:start w:w="78" w:type="dxa"/>
              <w:end w:w="78" w:type="dxa"/>
            </w:tcMar>
            <w:vAlign w:val="center"/>
            <w:shd w:val="clear" w:color="auto" w:fill="EAF0F6"/>
          </w:tcPr>
          <w:p w14:paraId="11557296">
            <w:pPr>
              <w:keepNext/>
              <w:keepLines/>
              <w:spacing w:after="0" w:before="0" w:line="240" w:lineRule="auto"/>
              <w:jc w:val="center"/>
              <w:rPr>
                <w:rFonts w:hint="eastAsia"/>
              </w:rPr>
            </w:pPr>
            <w:r>
              <w:rPr>
                <w:rFonts w:ascii="宋体" w:hAnsi="宋体" w:eastAsia="宋体"/>
                <w:b/>
                <w:color w:val="263442"/>
                <w:sz w:val="17"/>
              </w:rPr>
              <w:t>授信额/万元</w:t>
            </w:r>
          </w:p>
        </w:tc>
      </w:tr>
      <w:tr w14:paraId="6A49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300" w:type="dxa"/>
            <w:tcMar>
              <w:top w:w="56" w:type="dxa"/>
              <w:left w:w="110" w:type="dxa"/>
              <w:bottom w:w="56" w:type="dxa"/>
              <w:right w:w="110" w:type="dxa"/>
              <w:start w:w="78" w:type="dxa"/>
              <w:end w:w="78" w:type="dxa"/>
            </w:tcMar>
            <w:vAlign w:val="center"/>
          </w:tcPr>
          <w:p w14:paraId="703DE760">
            <w:pPr>
              <w:keepLines/>
              <w:spacing w:after="0" w:line="240" w:lineRule="auto" w:before="0"/>
              <w:ind w:firstLine="0"/>
              <w:jc w:val="left"/>
              <w:rPr>
                <w:rFonts w:hint="eastAsia"/>
              </w:rPr>
            </w:pPr>
            <w:r>
              <w:rPr>
                <w:rFonts w:ascii="宋体" w:hAnsi="宋体" w:eastAsia="宋体"/>
                <w:color w:val="263442"/>
                <w:sz w:val="17"/>
              </w:rPr>
              <w:t>A</w:t>
            </w:r>
          </w:p>
        </w:tc>
        <w:tc>
          <w:tcPr>
            <w:tcW w:w="1500" w:type="dxa"/>
            <w:tcMar>
              <w:top w:w="56" w:type="dxa"/>
              <w:left w:w="110" w:type="dxa"/>
              <w:bottom w:w="56" w:type="dxa"/>
              <w:right w:w="110" w:type="dxa"/>
              <w:start w:w="78" w:type="dxa"/>
              <w:end w:w="78" w:type="dxa"/>
            </w:tcMar>
            <w:vAlign w:val="center"/>
          </w:tcPr>
          <w:p w14:paraId="11E22F96">
            <w:pPr>
              <w:keepLines/>
              <w:spacing w:after="0" w:line="240" w:lineRule="auto" w:before="0"/>
              <w:ind w:firstLine="0"/>
              <w:jc w:val="center"/>
              <w:rPr>
                <w:rFonts w:hint="eastAsia"/>
              </w:rPr>
            </w:pPr>
            <w:r>
              <w:rPr>
                <w:rFonts w:ascii="宋体" w:hAnsi="宋体" w:eastAsia="宋体"/>
                <w:color w:val="263442"/>
                <w:sz w:val="17"/>
              </w:rPr>
              <w:t>27</w:t>
            </w:r>
          </w:p>
        </w:tc>
        <w:tc>
          <w:tcPr>
            <w:tcW w:w="1800" w:type="dxa"/>
            <w:tcMar>
              <w:top w:w="56" w:type="dxa"/>
              <w:left w:w="110" w:type="dxa"/>
              <w:bottom w:w="56" w:type="dxa"/>
              <w:right w:w="110" w:type="dxa"/>
              <w:start w:w="78" w:type="dxa"/>
              <w:end w:w="78" w:type="dxa"/>
            </w:tcMar>
            <w:vAlign w:val="center"/>
          </w:tcPr>
          <w:p w14:paraId="2D483B93">
            <w:pPr>
              <w:keepLines/>
              <w:spacing w:after="0" w:line="240" w:lineRule="auto" w:before="0"/>
              <w:ind w:firstLine="0"/>
              <w:jc w:val="center"/>
              <w:rPr>
                <w:rFonts w:hint="eastAsia"/>
              </w:rPr>
            </w:pPr>
            <w:r>
              <w:rPr>
                <w:rFonts w:ascii="宋体" w:hAnsi="宋体" w:eastAsia="宋体"/>
                <w:color w:val="263442"/>
                <w:sz w:val="17"/>
              </w:rPr>
              <w:t>28.76</w:t>
            </w:r>
          </w:p>
        </w:tc>
        <w:tc>
          <w:tcPr>
            <w:tcW w:w="1500" w:type="dxa"/>
            <w:tcMar>
              <w:top w:w="56" w:type="dxa"/>
              <w:left w:w="110" w:type="dxa"/>
              <w:bottom w:w="56" w:type="dxa"/>
              <w:right w:w="110" w:type="dxa"/>
              <w:start w:w="78" w:type="dxa"/>
              <w:end w:w="78" w:type="dxa"/>
            </w:tcMar>
            <w:vAlign w:val="center"/>
          </w:tcPr>
          <w:p w14:paraId="47224514">
            <w:pPr>
              <w:keepLines/>
              <w:spacing w:after="0" w:line="240" w:lineRule="auto" w:before="0"/>
              <w:ind w:firstLine="0"/>
              <w:jc w:val="center"/>
              <w:rPr>
                <w:rFonts w:hint="eastAsia"/>
              </w:rPr>
            </w:pPr>
            <w:r>
              <w:rPr>
                <w:rFonts w:ascii="宋体" w:hAnsi="宋体" w:eastAsia="宋体"/>
                <w:color w:val="263442"/>
                <w:sz w:val="17"/>
              </w:rPr>
              <w:t>21</w:t>
            </w:r>
          </w:p>
        </w:tc>
        <w:tc>
          <w:tcPr>
            <w:tcW w:w="3080" w:type="dxa"/>
            <w:tcMar>
              <w:top w:w="56" w:type="dxa"/>
              <w:left w:w="110" w:type="dxa"/>
              <w:bottom w:w="56" w:type="dxa"/>
              <w:right w:w="110" w:type="dxa"/>
              <w:start w:w="78" w:type="dxa"/>
              <w:end w:w="78" w:type="dxa"/>
            </w:tcMar>
            <w:vAlign w:val="center"/>
          </w:tcPr>
          <w:p w14:paraId="08C0DF78">
            <w:pPr>
              <w:keepLines/>
              <w:spacing w:after="0" w:line="240" w:lineRule="auto" w:before="0"/>
              <w:ind w:firstLine="0"/>
              <w:jc w:val="center"/>
              <w:rPr>
                <w:rFonts w:hint="eastAsia"/>
              </w:rPr>
            </w:pPr>
            <w:r>
              <w:rPr>
                <w:rFonts w:ascii="宋体" w:hAnsi="宋体" w:eastAsia="宋体"/>
                <w:color w:val="263442"/>
                <w:sz w:val="17"/>
              </w:rPr>
              <w:t>2100</w:t>
            </w:r>
          </w:p>
        </w:tc>
      </w:tr>
      <w:tr w14:paraId="57CF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300" w:type="dxa"/>
            <w:tcMar>
              <w:top w:w="56" w:type="dxa"/>
              <w:left w:w="110" w:type="dxa"/>
              <w:bottom w:w="56" w:type="dxa"/>
              <w:right w:w="110" w:type="dxa"/>
              <w:start w:w="78" w:type="dxa"/>
              <w:end w:w="78" w:type="dxa"/>
            </w:tcMar>
            <w:vAlign w:val="center"/>
            <w:shd w:val="clear" w:color="auto" w:fill="F7F9FB"/>
          </w:tcPr>
          <w:p w14:paraId="28388E9A">
            <w:pPr>
              <w:keepLines/>
              <w:spacing w:after="0" w:line="240" w:lineRule="auto" w:before="0"/>
              <w:ind w:firstLine="0"/>
              <w:jc w:val="left"/>
              <w:rPr>
                <w:rFonts w:hint="eastAsia"/>
              </w:rPr>
            </w:pPr>
            <w:r>
              <w:rPr>
                <w:rFonts w:ascii="宋体" w:hAnsi="宋体" w:eastAsia="宋体"/>
                <w:color w:val="263442"/>
                <w:sz w:val="17"/>
              </w:rPr>
              <w:t>B</w:t>
            </w:r>
          </w:p>
        </w:tc>
        <w:tc>
          <w:tcPr>
            <w:tcW w:w="1500" w:type="dxa"/>
            <w:tcMar>
              <w:top w:w="56" w:type="dxa"/>
              <w:left w:w="110" w:type="dxa"/>
              <w:bottom w:w="56" w:type="dxa"/>
              <w:right w:w="110" w:type="dxa"/>
              <w:start w:w="78" w:type="dxa"/>
              <w:end w:w="78" w:type="dxa"/>
            </w:tcMar>
            <w:vAlign w:val="center"/>
            <w:shd w:val="clear" w:color="auto" w:fill="F7F9FB"/>
          </w:tcPr>
          <w:p w14:paraId="1CC36956">
            <w:pPr>
              <w:keepLines/>
              <w:spacing w:after="0" w:line="240" w:lineRule="auto" w:before="0"/>
              <w:ind w:firstLine="0"/>
              <w:jc w:val="center"/>
              <w:rPr>
                <w:rFonts w:hint="eastAsia"/>
              </w:rPr>
            </w:pPr>
            <w:r>
              <w:rPr>
                <w:rFonts w:ascii="宋体" w:hAnsi="宋体" w:eastAsia="宋体"/>
                <w:color w:val="263442"/>
                <w:sz w:val="17"/>
              </w:rPr>
              <w:t>38</w:t>
            </w:r>
          </w:p>
        </w:tc>
        <w:tc>
          <w:tcPr>
            <w:tcW w:w="1800" w:type="dxa"/>
            <w:tcMar>
              <w:top w:w="56" w:type="dxa"/>
              <w:left w:w="110" w:type="dxa"/>
              <w:bottom w:w="56" w:type="dxa"/>
              <w:right w:w="110" w:type="dxa"/>
              <w:start w:w="78" w:type="dxa"/>
              <w:end w:w="78" w:type="dxa"/>
            </w:tcMar>
            <w:vAlign w:val="center"/>
            <w:shd w:val="clear" w:color="auto" w:fill="F7F9FB"/>
          </w:tcPr>
          <w:p w14:paraId="0FACD559">
            <w:pPr>
              <w:keepLines/>
              <w:spacing w:after="0" w:line="240" w:lineRule="auto" w:before="0"/>
              <w:ind w:firstLine="0"/>
              <w:jc w:val="center"/>
              <w:rPr>
                <w:rFonts w:hint="eastAsia"/>
              </w:rPr>
            </w:pPr>
            <w:r>
              <w:rPr>
                <w:rFonts w:ascii="宋体" w:hAnsi="宋体" w:eastAsia="宋体"/>
                <w:color w:val="263442"/>
                <w:sz w:val="17"/>
              </w:rPr>
              <w:t>43.52</w:t>
            </w:r>
          </w:p>
        </w:tc>
        <w:tc>
          <w:tcPr>
            <w:tcW w:w="1500" w:type="dxa"/>
            <w:tcMar>
              <w:top w:w="56" w:type="dxa"/>
              <w:left w:w="110" w:type="dxa"/>
              <w:bottom w:w="56" w:type="dxa"/>
              <w:right w:w="110" w:type="dxa"/>
              <w:start w:w="78" w:type="dxa"/>
              <w:end w:w="78" w:type="dxa"/>
            </w:tcMar>
            <w:vAlign w:val="center"/>
            <w:shd w:val="clear" w:color="auto" w:fill="F7F9FB"/>
          </w:tcPr>
          <w:p w14:paraId="74816749">
            <w:pPr>
              <w:keepLines/>
              <w:spacing w:after="0" w:line="240" w:lineRule="auto" w:before="0"/>
              <w:ind w:firstLine="0"/>
              <w:jc w:val="center"/>
              <w:rPr>
                <w:rFonts w:hint="eastAsia"/>
              </w:rPr>
            </w:pPr>
            <w:r>
              <w:rPr>
                <w:rFonts w:ascii="宋体" w:hAnsi="宋体" w:eastAsia="宋体"/>
                <w:color w:val="263442"/>
                <w:sz w:val="17"/>
              </w:rPr>
              <w:t>16</w:t>
            </w:r>
          </w:p>
        </w:tc>
        <w:tc>
          <w:tcPr>
            <w:tcW w:w="3080" w:type="dxa"/>
            <w:tcMar>
              <w:top w:w="56" w:type="dxa"/>
              <w:left w:w="110" w:type="dxa"/>
              <w:bottom w:w="56" w:type="dxa"/>
              <w:right w:w="110" w:type="dxa"/>
              <w:start w:w="78" w:type="dxa"/>
              <w:end w:w="78" w:type="dxa"/>
            </w:tcMar>
            <w:vAlign w:val="center"/>
            <w:shd w:val="clear" w:color="auto" w:fill="F7F9FB"/>
          </w:tcPr>
          <w:p w14:paraId="23643EF4">
            <w:pPr>
              <w:keepLines/>
              <w:spacing w:after="0" w:line="240" w:lineRule="auto" w:before="0"/>
              <w:ind w:firstLine="0"/>
              <w:jc w:val="center"/>
              <w:rPr>
                <w:rFonts w:hint="eastAsia"/>
              </w:rPr>
            </w:pPr>
            <w:r>
              <w:rPr>
                <w:rFonts w:ascii="宋体" w:hAnsi="宋体" w:eastAsia="宋体"/>
                <w:color w:val="263442"/>
                <w:sz w:val="17"/>
              </w:rPr>
              <w:t>1600</w:t>
            </w:r>
          </w:p>
        </w:tc>
      </w:tr>
      <w:tr w14:paraId="1A8B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300" w:type="dxa"/>
            <w:tcMar>
              <w:top w:w="56" w:type="dxa"/>
              <w:left w:w="110" w:type="dxa"/>
              <w:bottom w:w="56" w:type="dxa"/>
              <w:right w:w="110" w:type="dxa"/>
              <w:start w:w="78" w:type="dxa"/>
              <w:end w:w="78" w:type="dxa"/>
            </w:tcMar>
            <w:vAlign w:val="center"/>
          </w:tcPr>
          <w:p w14:paraId="59C32FFC">
            <w:pPr>
              <w:keepLines/>
              <w:spacing w:after="0" w:line="240" w:lineRule="auto" w:before="0"/>
              <w:ind w:firstLine="0"/>
              <w:jc w:val="left"/>
              <w:rPr>
                <w:rFonts w:hint="eastAsia"/>
              </w:rPr>
            </w:pPr>
            <w:r>
              <w:rPr>
                <w:rFonts w:ascii="宋体" w:hAnsi="宋体" w:eastAsia="宋体"/>
                <w:color w:val="263442"/>
                <w:sz w:val="17"/>
              </w:rPr>
              <w:t>C</w:t>
            </w:r>
          </w:p>
        </w:tc>
        <w:tc>
          <w:tcPr>
            <w:tcW w:w="1500" w:type="dxa"/>
            <w:tcMar>
              <w:top w:w="56" w:type="dxa"/>
              <w:left w:w="110" w:type="dxa"/>
              <w:bottom w:w="56" w:type="dxa"/>
              <w:right w:w="110" w:type="dxa"/>
              <w:start w:w="78" w:type="dxa"/>
              <w:end w:w="78" w:type="dxa"/>
            </w:tcMar>
            <w:vAlign w:val="center"/>
          </w:tcPr>
          <w:p w14:paraId="3014AA3E">
            <w:pPr>
              <w:keepLines/>
              <w:spacing w:after="0" w:line="240" w:lineRule="auto" w:before="0"/>
              <w:ind w:firstLine="0"/>
              <w:jc w:val="center"/>
              <w:rPr>
                <w:rFonts w:hint="eastAsia"/>
              </w:rPr>
            </w:pPr>
            <w:r>
              <w:rPr>
                <w:rFonts w:ascii="宋体" w:hAnsi="宋体" w:eastAsia="宋体"/>
                <w:color w:val="263442"/>
                <w:sz w:val="17"/>
              </w:rPr>
              <w:t>34</w:t>
            </w:r>
          </w:p>
        </w:tc>
        <w:tc>
          <w:tcPr>
            <w:tcW w:w="1800" w:type="dxa"/>
            <w:tcMar>
              <w:top w:w="56" w:type="dxa"/>
              <w:left w:w="110" w:type="dxa"/>
              <w:bottom w:w="56" w:type="dxa"/>
              <w:right w:w="110" w:type="dxa"/>
              <w:start w:w="78" w:type="dxa"/>
              <w:end w:w="78" w:type="dxa"/>
            </w:tcMar>
            <w:vAlign w:val="center"/>
          </w:tcPr>
          <w:p w14:paraId="23D3E23E">
            <w:pPr>
              <w:keepLines/>
              <w:spacing w:after="0" w:line="240" w:lineRule="auto" w:before="0"/>
              <w:ind w:firstLine="0"/>
              <w:jc w:val="center"/>
              <w:rPr>
                <w:rFonts w:hint="eastAsia"/>
              </w:rPr>
            </w:pPr>
            <w:r>
              <w:rPr>
                <w:rFonts w:ascii="宋体" w:hAnsi="宋体" w:eastAsia="宋体"/>
                <w:color w:val="263442"/>
                <w:sz w:val="17"/>
              </w:rPr>
              <w:t>47.89</w:t>
            </w:r>
          </w:p>
        </w:tc>
        <w:tc>
          <w:tcPr>
            <w:tcW w:w="1500" w:type="dxa"/>
            <w:tcMar>
              <w:top w:w="56" w:type="dxa"/>
              <w:left w:w="110" w:type="dxa"/>
              <w:bottom w:w="56" w:type="dxa"/>
              <w:right w:w="110" w:type="dxa"/>
              <w:start w:w="78" w:type="dxa"/>
              <w:end w:w="78" w:type="dxa"/>
            </w:tcMar>
            <w:vAlign w:val="center"/>
          </w:tcPr>
          <w:p w14:paraId="129B3693">
            <w:pPr>
              <w:keepLines/>
              <w:spacing w:after="0" w:line="240" w:lineRule="auto" w:before="0"/>
              <w:ind w:firstLine="0"/>
              <w:jc w:val="center"/>
              <w:rPr>
                <w:rFonts w:hint="eastAsia"/>
              </w:rPr>
            </w:pPr>
            <w:r>
              <w:rPr>
                <w:rFonts w:ascii="宋体" w:hAnsi="宋体" w:eastAsia="宋体"/>
                <w:color w:val="263442"/>
                <w:sz w:val="17"/>
              </w:rPr>
              <w:t>13</w:t>
            </w:r>
          </w:p>
        </w:tc>
        <w:tc>
          <w:tcPr>
            <w:tcW w:w="3080" w:type="dxa"/>
            <w:tcMar>
              <w:top w:w="56" w:type="dxa"/>
              <w:left w:w="110" w:type="dxa"/>
              <w:bottom w:w="56" w:type="dxa"/>
              <w:right w:w="110" w:type="dxa"/>
              <w:start w:w="78" w:type="dxa"/>
              <w:end w:w="78" w:type="dxa"/>
            </w:tcMar>
            <w:vAlign w:val="center"/>
          </w:tcPr>
          <w:p w14:paraId="678954E8">
            <w:pPr>
              <w:keepLines/>
              <w:spacing w:after="0" w:line="240" w:lineRule="auto" w:before="0"/>
              <w:ind w:firstLine="0"/>
              <w:jc w:val="center"/>
              <w:rPr>
                <w:rFonts w:hint="eastAsia"/>
              </w:rPr>
            </w:pPr>
            <w:r>
              <w:rPr>
                <w:rFonts w:ascii="宋体" w:hAnsi="宋体" w:eastAsia="宋体"/>
                <w:color w:val="263442"/>
                <w:sz w:val="17"/>
              </w:rPr>
              <w:t>1300</w:t>
            </w:r>
          </w:p>
        </w:tc>
      </w:tr>
      <w:tr w14:paraId="29E31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300" w:type="dxa"/>
            <w:tcMar>
              <w:top w:w="56" w:type="dxa"/>
              <w:left w:w="110" w:type="dxa"/>
              <w:bottom w:w="56" w:type="dxa"/>
              <w:right w:w="110" w:type="dxa"/>
              <w:start w:w="78" w:type="dxa"/>
              <w:end w:w="78" w:type="dxa"/>
            </w:tcMar>
            <w:vAlign w:val="center"/>
            <w:shd w:val="clear" w:color="auto" w:fill="F7F9FB"/>
          </w:tcPr>
          <w:p w14:paraId="67948654">
            <w:pPr>
              <w:keepLines/>
              <w:spacing w:after="0" w:line="240" w:lineRule="auto" w:before="0"/>
              <w:ind w:firstLine="0"/>
              <w:jc w:val="left"/>
              <w:rPr>
                <w:rFonts w:hint="eastAsia"/>
              </w:rPr>
            </w:pPr>
            <w:r>
              <w:rPr>
                <w:rFonts w:ascii="宋体" w:hAnsi="宋体" w:eastAsia="宋体"/>
                <w:color w:val="263442"/>
                <w:sz w:val="17"/>
              </w:rPr>
              <w:t>D</w:t>
            </w:r>
          </w:p>
        </w:tc>
        <w:tc>
          <w:tcPr>
            <w:tcW w:w="1500" w:type="dxa"/>
            <w:tcMar>
              <w:top w:w="56" w:type="dxa"/>
              <w:left w:w="110" w:type="dxa"/>
              <w:bottom w:w="56" w:type="dxa"/>
              <w:right w:w="110" w:type="dxa"/>
              <w:start w:w="78" w:type="dxa"/>
              <w:end w:w="78" w:type="dxa"/>
            </w:tcMar>
            <w:vAlign w:val="center"/>
            <w:shd w:val="clear" w:color="auto" w:fill="F7F9FB"/>
          </w:tcPr>
          <w:p w14:paraId="47F2253F">
            <w:pPr>
              <w:keepLines/>
              <w:spacing w:after="0" w:line="240" w:lineRule="auto" w:before="0"/>
              <w:ind w:firstLine="0"/>
              <w:jc w:val="center"/>
              <w:rPr>
                <w:rFonts w:hint="eastAsia"/>
              </w:rPr>
            </w:pPr>
            <w:r>
              <w:rPr>
                <w:rFonts w:ascii="宋体" w:hAnsi="宋体" w:eastAsia="宋体"/>
                <w:color w:val="263442"/>
                <w:sz w:val="17"/>
              </w:rPr>
              <w:t>24</w:t>
            </w:r>
          </w:p>
        </w:tc>
        <w:tc>
          <w:tcPr>
            <w:tcW w:w="1800" w:type="dxa"/>
            <w:tcMar>
              <w:top w:w="56" w:type="dxa"/>
              <w:left w:w="110" w:type="dxa"/>
              <w:bottom w:w="56" w:type="dxa"/>
              <w:right w:w="110" w:type="dxa"/>
              <w:start w:w="78" w:type="dxa"/>
              <w:end w:w="78" w:type="dxa"/>
            </w:tcMar>
            <w:vAlign w:val="center"/>
            <w:shd w:val="clear" w:color="auto" w:fill="F7F9FB"/>
          </w:tcPr>
          <w:p w14:paraId="2F8BCED5">
            <w:pPr>
              <w:keepLines/>
              <w:spacing w:after="0" w:line="240" w:lineRule="auto" w:before="0"/>
              <w:ind w:firstLine="0"/>
              <w:jc w:val="center"/>
              <w:rPr>
                <w:rFonts w:hint="eastAsia"/>
              </w:rPr>
            </w:pPr>
            <w:r>
              <w:rPr>
                <w:rFonts w:ascii="宋体" w:hAnsi="宋体" w:eastAsia="宋体"/>
                <w:color w:val="263442"/>
                <w:sz w:val="17"/>
              </w:rPr>
              <w:t>78.48</w:t>
            </w:r>
          </w:p>
        </w:tc>
        <w:tc>
          <w:tcPr>
            <w:tcW w:w="1500" w:type="dxa"/>
            <w:tcMar>
              <w:top w:w="56" w:type="dxa"/>
              <w:left w:w="110" w:type="dxa"/>
              <w:bottom w:w="56" w:type="dxa"/>
              <w:right w:w="110" w:type="dxa"/>
              <w:start w:w="78" w:type="dxa"/>
              <w:end w:w="78" w:type="dxa"/>
            </w:tcMar>
            <w:vAlign w:val="center"/>
            <w:shd w:val="clear" w:color="auto" w:fill="F7F9FB"/>
          </w:tcPr>
          <w:p w14:paraId="218A9F44">
            <w:pPr>
              <w:keepLines/>
              <w:spacing w:after="0" w:line="240" w:lineRule="auto" w:before="0"/>
              <w:ind w:firstLine="0"/>
              <w:jc w:val="center"/>
              <w:rPr>
                <w:rFonts w:hint="eastAsia"/>
              </w:rPr>
            </w:pPr>
            <w:r>
              <w:rPr>
                <w:rFonts w:ascii="宋体" w:hAnsi="宋体" w:eastAsia="宋体"/>
                <w:color w:val="263442"/>
                <w:sz w:val="17"/>
              </w:rPr>
              <w:t>0</w:t>
            </w:r>
          </w:p>
        </w:tc>
        <w:tc>
          <w:tcPr>
            <w:tcW w:w="3080" w:type="dxa"/>
            <w:tcMar>
              <w:top w:w="56" w:type="dxa"/>
              <w:left w:w="110" w:type="dxa"/>
              <w:bottom w:w="56" w:type="dxa"/>
              <w:right w:w="110" w:type="dxa"/>
              <w:start w:w="78" w:type="dxa"/>
              <w:end w:w="78" w:type="dxa"/>
            </w:tcMar>
            <w:vAlign w:val="center"/>
            <w:shd w:val="clear" w:color="auto" w:fill="F7F9FB"/>
          </w:tcPr>
          <w:p w14:paraId="5E0CBE08">
            <w:pPr>
              <w:keepLines/>
              <w:spacing w:after="0" w:line="240" w:lineRule="auto" w:before="0"/>
              <w:ind w:firstLine="0"/>
              <w:jc w:val="center"/>
              <w:rPr>
                <w:rFonts w:hint="eastAsia"/>
              </w:rPr>
            </w:pPr>
            <w:r>
              <w:rPr>
                <w:rFonts w:ascii="宋体" w:hAnsi="宋体" w:eastAsia="宋体"/>
                <w:color w:val="263442"/>
                <w:sz w:val="17"/>
              </w:rPr>
              <w:t>0</w:t>
            </w:r>
          </w:p>
        </w:tc>
      </w:tr>
    </w:tbl>
    <w:p w14:paraId="0866EEA6">
      <w:pPr>
        <w:spacing w:after="20"/>
        <w:rPr>
          <w:rFonts w:hint="eastAsia"/>
        </w:rPr>
      </w:pPr>
    </w:p>
    <w:p w14:paraId="6FDDFD57">
      <w:pPr>
        <w:widowControl/>
        <w:spacing w:line="348" w:lineRule="auto" w:before="0" w:after="60"/>
        <w:ind w:firstLine="420"/>
        <w:jc w:val="both"/>
        <w:rPr>
          <w:rFonts w:hint="eastAsia"/>
        </w:rPr>
      </w:pPr>
      <w:r>
        <w:rPr>
          <w:rFonts w:ascii="宋体" w:hAnsi="宋体" w:eastAsia="宋体"/>
          <w:color w:val="263442"/>
          <w:sz w:val="21"/>
        </w:rPr>
        <w:t>题面只说明问题一年度总额度固定，未给出具体数值，故本文将5000万元设为展示主情景，并以2000万元和8000万元检查预算变化下的策略响应。主情景选择50家企业，其中 A/B/C 级分别为21、16和13家，D 级为0；若干优先企业达到100万元上限，是单位效益对额度线性且受单户上限约束时的角点结果，而非额外的经验性结论。</w:t>
      </w:r>
    </w:p>
    <w:p w14:paraId="324CE4CC">
      <w:pPr>
        <w:keepNext/>
        <w:widowControl/>
        <w:spacing w:line="348" w:lineRule="auto" w:before="0" w:after="60"/>
        <w:ind w:firstLine="420"/>
        <w:jc w:val="both"/>
        <w:rPr>
          <w:rFonts w:hint="eastAsia"/>
        </w:rPr>
      </w:pPr>
      <w:r>
        <w:rPr>
          <w:rFonts w:ascii="宋体" w:hAnsi="宋体" w:eastAsia="宋体"/>
          <w:color w:val="263442"/>
          <w:sz w:val="21"/>
        </w:rPr>
        <w:t>不同展示预算下的组合期望效益见图5。</w:t>
      </w:r>
    </w:p>
    <w:p w14:paraId="4AF2390E">
      <w:pPr>
        <w:keepNext/>
        <w:keepLines/>
        <w:spacing w:before="100" w:after="40"/>
        <w:ind w:firstLine="0"/>
        <w:jc w:val="center"/>
        <w:rPr>
          <w:rFonts w:hint="eastAsia"/>
        </w:rPr>
      </w:pPr>
      <w:r>
        <w:drawing>
          <wp:inline distT="0" distB="0" distL="114300" distR="114300">
            <wp:extent cx="5303520" cy="3588796"/>
            <wp:effectExtent l="0" t="0" r="0" b="0"/>
            <wp:docPr id="3" name="图5 授信预算与组合效益关系" descr="图5 授信预算与组合效益关系" title="图5 授信预算与组合效益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问题一不同展示预算下的组合期望效益" title="图3  问题一不同展示预算下的组合期望效益"/>
                    <pic:cNvPicPr>
                      <a:picLocks noChangeAspect="1"/>
                    </pic:cNvPicPr>
                  </pic:nvPicPr>
                  <pic:blipFill>
                    <a:blip r:embed="rId16"/>
                    <a:stretch>
                      <a:fillRect/>
                    </a:stretch>
                  </pic:blipFill>
                  <pic:spPr>
                    <a:xfrm>
                      <a:off x="0" y="0"/>
                      <a:ext cx="5303520" cy="3588796"/>
                    </a:xfrm>
                    <a:prstGeom prst="rect">
                      <a:avLst/>
                    </a:prstGeom>
                  </pic:spPr>
                </pic:pic>
              </a:graphicData>
            </a:graphic>
          </wp:inline>
        </w:drawing>
      </w:r>
    </w:p>
    <w:p w14:paraId="4983AAD9">
      <w:pPr>
        <w:pStyle w:val="15"/>
        <w:keepNext w:val="0"/>
        <w:keepLines/>
        <w:spacing w:before="40" w:after="120"/>
        <w:ind w:firstLine="0"/>
        <w:jc w:val="center"/>
        <w:rPr>
          <w:rFonts w:hint="eastAsia"/>
        </w:rPr>
      </w:pPr>
      <w:r>
        <w:rPr>
          <w:rFonts w:ascii="宋体" w:hAnsi="宋体" w:eastAsia="宋体"/>
          <w:color w:val="536273"/>
          <w:sz w:val="18"/>
        </w:rPr>
        <w:t>图5  问题一不同展示预算下的组合期望效益</w:t>
      </w:r>
    </w:p>
    <w:p w14:paraId="5B3E1BB9">
      <w:pPr>
        <w:pStyle w:val="3"/>
        <w:keepNext/>
        <w:keepLines/>
        <w:spacing w:before="280" w:after="140"/>
        <w:ind w:firstLine="0"/>
      </w:pPr>
      <w:r>
        <w:rPr>
          <w:rFonts w:ascii="微软雅黑" w:hAnsi="微软雅黑" w:eastAsia="微软雅黑"/>
          <w:b/>
          <w:color w:val="17324D"/>
          <w:sz w:val="31"/>
        </w:rPr>
        <w:t>5  问题二：风险迁移与一亿元信贷组合</w:t>
      </w:r>
    </w:p>
    <w:p w14:paraId="78BA80B0">
      <w:pPr>
        <w:pStyle w:val="4"/>
        <w:keepNext/>
        <w:keepLines/>
        <w:spacing w:before="200" w:after="80"/>
        <w:ind w:firstLine="0"/>
      </w:pPr>
      <w:r>
        <w:rPr>
          <w:rFonts w:ascii="微软雅黑" w:hAnsi="微软雅黑" w:eastAsia="微软雅黑"/>
          <w:b/>
          <w:color w:val="2878B5"/>
          <w:sz w:val="25"/>
        </w:rPr>
        <w:t>5.1  冻结模型迁移与漂移检查</w:t>
      </w:r>
    </w:p>
    <w:p w14:paraId="25E7E324">
      <w:pPr>
        <w:widowControl/>
        <w:spacing w:line="348" w:lineRule="auto" w:before="0" w:after="60"/>
        <w:ind w:firstLine="420"/>
        <w:jc w:val="both"/>
        <w:rPr>
          <w:rFonts w:hint="eastAsia"/>
        </w:rPr>
      </w:pPr>
      <w:r>
        <w:rPr>
          <w:rFonts w:ascii="宋体" w:hAnsi="宋体" w:eastAsia="宋体"/>
          <w:color w:val="263442"/>
          <w:sz w:val="21"/>
        </w:rPr>
        <w:t>问题二不重新拟合分类器，而是冻结问题一的全样本模型、14个经训练管线选择的变量、融合权重和评级顺序，再对附件2的32维同构特征输出评级概率与 CRI。这一过程是既有有监督关系向目标域的直接迁移，而不是将302家企业重新聚类后人为命名等级。各风险上限下的组合结果见表8。</w:t>
      </w:r>
    </w:p>
    <w:p w14:paraId="4C0191A7">
      <w:pPr>
        <w:keepNext/>
        <w:pageBreakBefore/>
        <w:widowControl/>
        <w:spacing w:line="348" w:lineRule="auto" w:before="0" w:after="60"/>
        <w:ind w:firstLine="420"/>
        <w:jc w:val="both"/>
        <w:rPr>
          <w:rFonts w:hint="eastAsia"/>
        </w:rPr>
      </w:pPr>
      <w:r>
        <w:rPr>
          <w:rFonts w:ascii="宋体" w:hAnsi="宋体" w:eastAsia="宋体"/>
          <w:color w:val="263442"/>
          <w:sz w:val="21"/>
        </w:rPr>
        <w:t>主要变量的源域—目标域漂移见表7。</w:t>
      </w:r>
    </w:p>
    <w:p w14:paraId="733D88A2">
      <w:pPr>
        <w:pStyle w:val="15"/>
        <w:keepNext/>
        <w:keepLines/>
        <w:spacing w:before="40" w:after="120"/>
        <w:ind w:firstLine="0"/>
        <w:jc w:val="center"/>
        <w:rPr>
          <w:rFonts w:hint="eastAsia"/>
        </w:rPr>
      </w:pPr>
      <w:r>
        <w:rPr>
          <w:rFonts w:ascii="宋体" w:hAnsi="宋体" w:eastAsia="宋体"/>
          <w:color w:val="536273"/>
          <w:sz w:val="18"/>
        </w:rPr>
        <w:t>表7  源域与目标域的主要变量漂移</w:t>
      </w:r>
    </w:p>
    <w:tbl>
      <w:tblPr>
        <w:tblStyle w:val="33"/>
        <w:tblW w:w="9180" w:type="dxa"/>
        <w:jc w:val="center"/>
        <w:tblBorders>
          <w:top w:val="single" w:color="AAB8C6" w:sz="4" w:space="0"/>
          <w:left w:val="single" w:color="AAB8C6" w:sz="4" w:space="0"/>
          <w:bottom w:val="single" w:color="AAB8C6" w:sz="4" w:space="0"/>
          <w:right w:val="single" w:color="AAB8C6" w:sz="4" w:space="0"/>
          <w:insideH w:val="single" w:color="AAB8C6" w:sz="4" w:space="0"/>
          <w:insideV w:val="single" w:color="AAB8C6" w:sz="4" w:space="0"/>
        </w:tblBorders>
        <w:tblLayout w:type="autofit"/>
        <w:tblCellMar>
          <w:top w:w="0" w:type="dxa"/>
          <w:left w:w="108" w:type="dxa"/>
          <w:bottom w:w="0" w:type="dxa"/>
          <w:right w:w="108" w:type="dxa"/>
        </w:tblCellMar>
      </w:tblPr>
      <w:tblGrid>
        <w:gridCol w:w="2800"/>
        <w:gridCol w:w="1800"/>
        <w:gridCol w:w="1800"/>
        <w:gridCol w:w="2780"/>
      </w:tblGrid>
      <w:tr w14:paraId="12F4C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2800" w:type="dxa"/>
            <w:tcMar>
              <w:top w:w="56" w:type="dxa"/>
              <w:left w:w="110" w:type="dxa"/>
              <w:bottom w:w="56" w:type="dxa"/>
              <w:right w:w="110" w:type="dxa"/>
              <w:start w:w="78" w:type="dxa"/>
              <w:end w:w="78" w:type="dxa"/>
            </w:tcMar>
            <w:vAlign w:val="center"/>
            <w:shd w:val="clear" w:color="auto" w:fill="EAF0F6"/>
          </w:tcPr>
          <w:p w14:paraId="1AAFAE4F">
            <w:pPr>
              <w:keepNext/>
              <w:keepLines/>
              <w:spacing w:after="0" w:before="0" w:line="240" w:lineRule="auto"/>
              <w:jc w:val="center"/>
              <w:rPr>
                <w:rFonts w:hint="eastAsia"/>
              </w:rPr>
            </w:pPr>
            <w:r>
              <w:rPr>
                <w:rFonts w:ascii="宋体" w:hAnsi="宋体" w:eastAsia="宋体"/>
                <w:b/>
                <w:color w:val="263442"/>
                <w:sz w:val="17"/>
              </w:rPr>
              <w:t>特征</w:t>
            </w:r>
          </w:p>
        </w:tc>
        <w:tc>
          <w:tcPr>
            <w:tcW w:w="1800" w:type="dxa"/>
            <w:tcMar>
              <w:top w:w="56" w:type="dxa"/>
              <w:left w:w="110" w:type="dxa"/>
              <w:bottom w:w="56" w:type="dxa"/>
              <w:right w:w="110" w:type="dxa"/>
              <w:start w:w="78" w:type="dxa"/>
              <w:end w:w="78" w:type="dxa"/>
            </w:tcMar>
            <w:vAlign w:val="center"/>
            <w:shd w:val="clear" w:color="auto" w:fill="EAF0F6"/>
          </w:tcPr>
          <w:p w14:paraId="60BEBF20">
            <w:pPr>
              <w:keepNext/>
              <w:keepLines/>
              <w:spacing w:after="0" w:before="0" w:line="240" w:lineRule="auto"/>
              <w:jc w:val="center"/>
              <w:rPr>
                <w:rFonts w:hint="eastAsia"/>
              </w:rPr>
            </w:pPr>
            <w:r>
              <w:rPr>
                <w:rFonts w:ascii="宋体" w:hAnsi="宋体" w:eastAsia="宋体"/>
                <w:b/>
                <w:color w:val="263442"/>
                <w:sz w:val="17"/>
              </w:rPr>
              <w:t>源域均值</w:t>
            </w:r>
          </w:p>
        </w:tc>
        <w:tc>
          <w:tcPr>
            <w:tcW w:w="1800" w:type="dxa"/>
            <w:tcMar>
              <w:top w:w="56" w:type="dxa"/>
              <w:left w:w="110" w:type="dxa"/>
              <w:bottom w:w="56" w:type="dxa"/>
              <w:right w:w="110" w:type="dxa"/>
              <w:start w:w="78" w:type="dxa"/>
              <w:end w:w="78" w:type="dxa"/>
            </w:tcMar>
            <w:vAlign w:val="center"/>
            <w:shd w:val="clear" w:color="auto" w:fill="EAF0F6"/>
          </w:tcPr>
          <w:p w14:paraId="10B711D5">
            <w:pPr>
              <w:keepNext/>
              <w:keepLines/>
              <w:spacing w:after="0" w:before="0" w:line="240" w:lineRule="auto"/>
              <w:jc w:val="center"/>
              <w:rPr>
                <w:rFonts w:hint="eastAsia"/>
              </w:rPr>
            </w:pPr>
            <w:r>
              <w:rPr>
                <w:rFonts w:ascii="宋体" w:hAnsi="宋体" w:eastAsia="宋体"/>
                <w:b/>
                <w:color w:val="263442"/>
                <w:sz w:val="17"/>
              </w:rPr>
              <w:t>目标域均值</w:t>
            </w:r>
          </w:p>
        </w:tc>
        <w:tc>
          <w:tcPr>
            <w:tcW w:w="2780" w:type="dxa"/>
            <w:tcMar>
              <w:top w:w="56" w:type="dxa"/>
              <w:left w:w="110" w:type="dxa"/>
              <w:bottom w:w="56" w:type="dxa"/>
              <w:right w:w="110" w:type="dxa"/>
              <w:start w:w="78" w:type="dxa"/>
              <w:end w:w="78" w:type="dxa"/>
            </w:tcMar>
            <w:vAlign w:val="center"/>
            <w:shd w:val="clear" w:color="auto" w:fill="EAF0F6"/>
          </w:tcPr>
          <w:p w14:paraId="5A33DEBC">
            <w:pPr>
              <w:keepNext/>
              <w:keepLines/>
              <w:spacing w:after="0" w:before="0" w:line="240" w:lineRule="auto"/>
              <w:jc w:val="center"/>
              <w:rPr>
                <w:rFonts w:hint="eastAsia"/>
              </w:rPr>
            </w:pPr>
            <w:r>
              <w:rPr>
                <w:rFonts w:ascii="宋体" w:hAnsi="宋体" w:eastAsia="宋体"/>
                <w:b/>
                <w:color w:val="263442"/>
                <w:sz w:val="17"/>
              </w:rPr>
              <w:t>标准化均值漂移</w:t>
            </w:r>
          </w:p>
        </w:tc>
      </w:tr>
      <w:tr w14:paraId="25B8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00" w:type="dxa"/>
            <w:tcMar>
              <w:top w:w="56" w:type="dxa"/>
              <w:left w:w="110" w:type="dxa"/>
              <w:bottom w:w="56" w:type="dxa"/>
              <w:right w:w="110" w:type="dxa"/>
              <w:start w:w="78" w:type="dxa"/>
              <w:end w:w="78" w:type="dxa"/>
            </w:tcMar>
            <w:vAlign w:val="center"/>
          </w:tcPr>
          <w:p w14:paraId="52B58745">
            <w:pPr>
              <w:keepLines/>
              <w:spacing w:after="0" w:line="240" w:lineRule="auto" w:before="0"/>
              <w:ind w:firstLine="0"/>
              <w:jc w:val="left"/>
              <w:rPr>
                <w:rFonts w:hint="eastAsia"/>
              </w:rPr>
            </w:pPr>
            <w:r>
              <w:rPr>
                <w:rFonts w:ascii="宋体" w:hAnsi="宋体" w:eastAsia="宋体"/>
                <w:color w:val="263442"/>
                <w:sz w:val="17"/>
              </w:rPr>
              <w:t>供应商集中度 HHI</w:t>
            </w:r>
          </w:p>
        </w:tc>
        <w:tc>
          <w:tcPr>
            <w:tcW w:w="1800" w:type="dxa"/>
            <w:tcMar>
              <w:top w:w="56" w:type="dxa"/>
              <w:left w:w="110" w:type="dxa"/>
              <w:bottom w:w="56" w:type="dxa"/>
              <w:right w:w="110" w:type="dxa"/>
              <w:start w:w="78" w:type="dxa"/>
              <w:end w:w="78" w:type="dxa"/>
            </w:tcMar>
            <w:vAlign w:val="center"/>
          </w:tcPr>
          <w:p w14:paraId="191341FA">
            <w:pPr>
              <w:keepLines/>
              <w:spacing w:after="0" w:line="240" w:lineRule="auto" w:before="0"/>
              <w:ind w:firstLine="0"/>
              <w:jc w:val="center"/>
              <w:rPr>
                <w:rFonts w:hint="eastAsia"/>
              </w:rPr>
            </w:pPr>
            <w:r>
              <w:rPr>
                <w:rFonts w:ascii="宋体" w:hAnsi="宋体" w:eastAsia="宋体"/>
                <w:color w:val="263442"/>
                <w:sz w:val="17"/>
              </w:rPr>
              <w:t>0.321</w:t>
            </w:r>
          </w:p>
        </w:tc>
        <w:tc>
          <w:tcPr>
            <w:tcW w:w="1800" w:type="dxa"/>
            <w:tcMar>
              <w:top w:w="56" w:type="dxa"/>
              <w:left w:w="110" w:type="dxa"/>
              <w:bottom w:w="56" w:type="dxa"/>
              <w:right w:w="110" w:type="dxa"/>
              <w:start w:w="78" w:type="dxa"/>
              <w:end w:w="78" w:type="dxa"/>
            </w:tcMar>
            <w:vAlign w:val="center"/>
          </w:tcPr>
          <w:p w14:paraId="12D6DA7B">
            <w:pPr>
              <w:keepLines/>
              <w:spacing w:after="0" w:line="240" w:lineRule="auto" w:before="0"/>
              <w:ind w:firstLine="0"/>
              <w:jc w:val="center"/>
              <w:rPr>
                <w:rFonts w:hint="eastAsia"/>
              </w:rPr>
            </w:pPr>
            <w:r>
              <w:rPr>
                <w:rFonts w:ascii="宋体" w:hAnsi="宋体" w:eastAsia="宋体"/>
                <w:color w:val="263442"/>
                <w:sz w:val="17"/>
              </w:rPr>
              <w:t>0.255</w:t>
            </w:r>
          </w:p>
        </w:tc>
        <w:tc>
          <w:tcPr>
            <w:tcW w:w="2780" w:type="dxa"/>
            <w:tcMar>
              <w:top w:w="56" w:type="dxa"/>
              <w:left w:w="110" w:type="dxa"/>
              <w:bottom w:w="56" w:type="dxa"/>
              <w:right w:w="110" w:type="dxa"/>
              <w:start w:w="78" w:type="dxa"/>
              <w:end w:w="78" w:type="dxa"/>
            </w:tcMar>
            <w:vAlign w:val="center"/>
          </w:tcPr>
          <w:p w14:paraId="57885F2C">
            <w:pPr>
              <w:keepLines/>
              <w:spacing w:after="0" w:line="240" w:lineRule="auto" w:before="0"/>
              <w:ind w:firstLine="0"/>
              <w:jc w:val="center"/>
              <w:rPr>
                <w:rFonts w:hint="eastAsia"/>
              </w:rPr>
            </w:pPr>
            <w:r>
              <w:rPr>
                <w:rFonts w:ascii="宋体" w:hAnsi="宋体" w:eastAsia="宋体"/>
                <w:color w:val="263442"/>
                <w:sz w:val="17"/>
              </w:rPr>
              <w:t>-0.219</w:t>
            </w:r>
          </w:p>
        </w:tc>
      </w:tr>
      <w:tr w14:paraId="0EBBE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00" w:type="dxa"/>
            <w:tcMar>
              <w:top w:w="56" w:type="dxa"/>
              <w:left w:w="110" w:type="dxa"/>
              <w:bottom w:w="56" w:type="dxa"/>
              <w:right w:w="110" w:type="dxa"/>
              <w:start w:w="78" w:type="dxa"/>
              <w:end w:w="78" w:type="dxa"/>
            </w:tcMar>
            <w:vAlign w:val="center"/>
            <w:shd w:val="clear" w:color="auto" w:fill="F7F9FB"/>
          </w:tcPr>
          <w:p w14:paraId="2006B3FF">
            <w:pPr>
              <w:keepLines/>
              <w:spacing w:after="0" w:line="240" w:lineRule="auto" w:before="0"/>
              <w:ind w:firstLine="0"/>
              <w:jc w:val="left"/>
              <w:rPr>
                <w:rFonts w:hint="eastAsia"/>
              </w:rPr>
            </w:pPr>
            <w:r>
              <w:rPr>
                <w:rFonts w:ascii="宋体" w:hAnsi="宋体" w:eastAsia="宋体"/>
                <w:color w:val="263442"/>
                <w:sz w:val="17"/>
              </w:rPr>
              <w:t>前5大供应商占比</w:t>
            </w:r>
          </w:p>
        </w:tc>
        <w:tc>
          <w:tcPr>
            <w:tcW w:w="1800" w:type="dxa"/>
            <w:tcMar>
              <w:top w:w="56" w:type="dxa"/>
              <w:left w:w="110" w:type="dxa"/>
              <w:bottom w:w="56" w:type="dxa"/>
              <w:right w:w="110" w:type="dxa"/>
              <w:start w:w="78" w:type="dxa"/>
              <w:end w:w="78" w:type="dxa"/>
            </w:tcMar>
            <w:vAlign w:val="center"/>
            <w:shd w:val="clear" w:color="auto" w:fill="F7F9FB"/>
          </w:tcPr>
          <w:p w14:paraId="3C33F635">
            <w:pPr>
              <w:keepLines/>
              <w:spacing w:after="0" w:line="240" w:lineRule="auto" w:before="0"/>
              <w:ind w:firstLine="0"/>
              <w:jc w:val="center"/>
              <w:rPr>
                <w:rFonts w:hint="eastAsia"/>
              </w:rPr>
            </w:pPr>
            <w:r>
              <w:rPr>
                <w:rFonts w:ascii="宋体" w:hAnsi="宋体" w:eastAsia="宋体"/>
                <w:color w:val="263442"/>
                <w:sz w:val="17"/>
              </w:rPr>
              <w:t>0.729</w:t>
            </w:r>
          </w:p>
        </w:tc>
        <w:tc>
          <w:tcPr>
            <w:tcW w:w="1800" w:type="dxa"/>
            <w:tcMar>
              <w:top w:w="56" w:type="dxa"/>
              <w:left w:w="110" w:type="dxa"/>
              <w:bottom w:w="56" w:type="dxa"/>
              <w:right w:w="110" w:type="dxa"/>
              <w:start w:w="78" w:type="dxa"/>
              <w:end w:w="78" w:type="dxa"/>
            </w:tcMar>
            <w:vAlign w:val="center"/>
            <w:shd w:val="clear" w:color="auto" w:fill="F7F9FB"/>
          </w:tcPr>
          <w:p w14:paraId="30792E6A">
            <w:pPr>
              <w:keepLines/>
              <w:spacing w:after="0" w:line="240" w:lineRule="auto" w:before="0"/>
              <w:ind w:firstLine="0"/>
              <w:jc w:val="center"/>
              <w:rPr>
                <w:rFonts w:hint="eastAsia"/>
              </w:rPr>
            </w:pPr>
            <w:r>
              <w:rPr>
                <w:rFonts w:ascii="宋体" w:hAnsi="宋体" w:eastAsia="宋体"/>
                <w:color w:val="263442"/>
                <w:sz w:val="17"/>
              </w:rPr>
              <w:t>0.688</w:t>
            </w:r>
          </w:p>
        </w:tc>
        <w:tc>
          <w:tcPr>
            <w:tcW w:w="2780" w:type="dxa"/>
            <w:tcMar>
              <w:top w:w="56" w:type="dxa"/>
              <w:left w:w="110" w:type="dxa"/>
              <w:bottom w:w="56" w:type="dxa"/>
              <w:right w:w="110" w:type="dxa"/>
              <w:start w:w="78" w:type="dxa"/>
              <w:end w:w="78" w:type="dxa"/>
            </w:tcMar>
            <w:vAlign w:val="center"/>
            <w:shd w:val="clear" w:color="auto" w:fill="F7F9FB"/>
          </w:tcPr>
          <w:p w14:paraId="33F66636">
            <w:pPr>
              <w:keepLines/>
              <w:spacing w:after="0" w:line="240" w:lineRule="auto" w:before="0"/>
              <w:ind w:firstLine="0"/>
              <w:jc w:val="center"/>
              <w:rPr>
                <w:rFonts w:hint="eastAsia"/>
              </w:rPr>
            </w:pPr>
            <w:r>
              <w:rPr>
                <w:rFonts w:ascii="宋体" w:hAnsi="宋体" w:eastAsia="宋体"/>
                <w:color w:val="263442"/>
                <w:sz w:val="17"/>
              </w:rPr>
              <w:t>-0.178</w:t>
            </w:r>
          </w:p>
        </w:tc>
      </w:tr>
      <w:tr w14:paraId="6CE7E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00" w:type="dxa"/>
            <w:tcMar>
              <w:top w:w="56" w:type="dxa"/>
              <w:left w:w="110" w:type="dxa"/>
              <w:bottom w:w="56" w:type="dxa"/>
              <w:right w:w="110" w:type="dxa"/>
              <w:start w:w="78" w:type="dxa"/>
              <w:end w:w="78" w:type="dxa"/>
            </w:tcMar>
            <w:vAlign w:val="center"/>
          </w:tcPr>
          <w:p w14:paraId="59980777">
            <w:pPr>
              <w:keepLines/>
              <w:spacing w:after="0" w:line="240" w:lineRule="auto" w:before="0"/>
              <w:ind w:firstLine="0"/>
              <w:jc w:val="left"/>
              <w:rPr>
                <w:rFonts w:hint="eastAsia"/>
              </w:rPr>
            </w:pPr>
            <w:r>
              <w:rPr>
                <w:rFonts w:ascii="宋体" w:hAnsi="宋体" w:eastAsia="宋体"/>
                <w:color w:val="263442"/>
                <w:sz w:val="17"/>
              </w:rPr>
              <w:t>近12月进项规模</w:t>
            </w:r>
          </w:p>
        </w:tc>
        <w:tc>
          <w:tcPr>
            <w:tcW w:w="1800" w:type="dxa"/>
            <w:tcMar>
              <w:top w:w="56" w:type="dxa"/>
              <w:left w:w="110" w:type="dxa"/>
              <w:bottom w:w="56" w:type="dxa"/>
              <w:right w:w="110" w:type="dxa"/>
              <w:start w:w="78" w:type="dxa"/>
              <w:end w:w="78" w:type="dxa"/>
            </w:tcMar>
            <w:vAlign w:val="center"/>
          </w:tcPr>
          <w:p w14:paraId="38633E7E">
            <w:pPr>
              <w:keepLines/>
              <w:spacing w:after="0" w:line="240" w:lineRule="auto" w:before="0"/>
              <w:ind w:firstLine="0"/>
              <w:jc w:val="center"/>
              <w:rPr>
                <w:rFonts w:hint="eastAsia"/>
              </w:rPr>
            </w:pPr>
            <w:r>
              <w:rPr>
                <w:rFonts w:ascii="宋体" w:hAnsi="宋体" w:eastAsia="宋体"/>
                <w:color w:val="263442"/>
                <w:sz w:val="17"/>
              </w:rPr>
              <w:t>3.105</w:t>
            </w:r>
          </w:p>
        </w:tc>
        <w:tc>
          <w:tcPr>
            <w:tcW w:w="1800" w:type="dxa"/>
            <w:tcMar>
              <w:top w:w="56" w:type="dxa"/>
              <w:left w:w="110" w:type="dxa"/>
              <w:bottom w:w="56" w:type="dxa"/>
              <w:right w:w="110" w:type="dxa"/>
              <w:start w:w="78" w:type="dxa"/>
              <w:end w:w="78" w:type="dxa"/>
            </w:tcMar>
            <w:vAlign w:val="center"/>
          </w:tcPr>
          <w:p w14:paraId="52612E94">
            <w:pPr>
              <w:keepLines/>
              <w:spacing w:after="0" w:line="240" w:lineRule="auto" w:before="0"/>
              <w:ind w:firstLine="0"/>
              <w:jc w:val="center"/>
              <w:rPr>
                <w:rFonts w:hint="eastAsia"/>
              </w:rPr>
            </w:pPr>
            <w:r>
              <w:rPr>
                <w:rFonts w:ascii="宋体" w:hAnsi="宋体" w:eastAsia="宋体"/>
                <w:color w:val="263442"/>
                <w:sz w:val="17"/>
              </w:rPr>
              <w:t>3.520</w:t>
            </w:r>
          </w:p>
        </w:tc>
        <w:tc>
          <w:tcPr>
            <w:tcW w:w="2780" w:type="dxa"/>
            <w:tcMar>
              <w:top w:w="56" w:type="dxa"/>
              <w:left w:w="110" w:type="dxa"/>
              <w:bottom w:w="56" w:type="dxa"/>
              <w:right w:w="110" w:type="dxa"/>
              <w:start w:w="78" w:type="dxa"/>
              <w:end w:w="78" w:type="dxa"/>
            </w:tcMar>
            <w:vAlign w:val="center"/>
          </w:tcPr>
          <w:p w14:paraId="7544D68E">
            <w:pPr>
              <w:keepLines/>
              <w:spacing w:after="0" w:line="240" w:lineRule="auto" w:before="0"/>
              <w:ind w:firstLine="0"/>
              <w:jc w:val="center"/>
              <w:rPr>
                <w:rFonts w:hint="eastAsia"/>
              </w:rPr>
            </w:pPr>
            <w:r>
              <w:rPr>
                <w:rFonts w:ascii="宋体" w:hAnsi="宋体" w:eastAsia="宋体"/>
                <w:color w:val="263442"/>
                <w:sz w:val="17"/>
              </w:rPr>
              <w:t>+0.161</w:t>
            </w:r>
          </w:p>
        </w:tc>
      </w:tr>
      <w:tr w14:paraId="2309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00" w:type="dxa"/>
            <w:tcMar>
              <w:top w:w="56" w:type="dxa"/>
              <w:left w:w="110" w:type="dxa"/>
              <w:bottom w:w="56" w:type="dxa"/>
              <w:right w:w="110" w:type="dxa"/>
              <w:start w:w="78" w:type="dxa"/>
              <w:end w:w="78" w:type="dxa"/>
            </w:tcMar>
            <w:vAlign w:val="center"/>
            <w:shd w:val="clear" w:color="auto" w:fill="F7F9FB"/>
          </w:tcPr>
          <w:p w14:paraId="1805983E">
            <w:pPr>
              <w:keepLines/>
              <w:spacing w:after="0" w:line="240" w:lineRule="auto" w:before="0"/>
              <w:ind w:firstLine="0"/>
              <w:jc w:val="left"/>
              <w:rPr>
                <w:rFonts w:hint="eastAsia"/>
              </w:rPr>
            </w:pPr>
            <w:r>
              <w:rPr>
                <w:rFonts w:ascii="宋体" w:hAnsi="宋体" w:eastAsia="宋体"/>
                <w:color w:val="263442"/>
                <w:sz w:val="17"/>
              </w:rPr>
              <w:t>销项平均绝对金额</w:t>
            </w:r>
          </w:p>
        </w:tc>
        <w:tc>
          <w:tcPr>
            <w:tcW w:w="1800" w:type="dxa"/>
            <w:tcMar>
              <w:top w:w="56" w:type="dxa"/>
              <w:left w:w="110" w:type="dxa"/>
              <w:bottom w:w="56" w:type="dxa"/>
              <w:right w:w="110" w:type="dxa"/>
              <w:start w:w="78" w:type="dxa"/>
              <w:end w:w="78" w:type="dxa"/>
            </w:tcMar>
            <w:vAlign w:val="center"/>
            <w:shd w:val="clear" w:color="auto" w:fill="F7F9FB"/>
          </w:tcPr>
          <w:p w14:paraId="29AE3B19">
            <w:pPr>
              <w:keepLines/>
              <w:spacing w:after="0" w:line="240" w:lineRule="auto" w:before="0"/>
              <w:ind w:firstLine="0"/>
              <w:jc w:val="center"/>
              <w:rPr>
                <w:rFonts w:hint="eastAsia"/>
              </w:rPr>
            </w:pPr>
            <w:r>
              <w:rPr>
                <w:rFonts w:ascii="宋体" w:hAnsi="宋体" w:eastAsia="宋体"/>
                <w:color w:val="263442"/>
                <w:sz w:val="17"/>
              </w:rPr>
              <w:t>10.372</w:t>
            </w:r>
          </w:p>
        </w:tc>
        <w:tc>
          <w:tcPr>
            <w:tcW w:w="1800" w:type="dxa"/>
            <w:tcMar>
              <w:top w:w="56" w:type="dxa"/>
              <w:left w:w="110" w:type="dxa"/>
              <w:bottom w:w="56" w:type="dxa"/>
              <w:right w:w="110" w:type="dxa"/>
              <w:start w:w="78" w:type="dxa"/>
              <w:end w:w="78" w:type="dxa"/>
            </w:tcMar>
            <w:vAlign w:val="center"/>
            <w:shd w:val="clear" w:color="auto" w:fill="F7F9FB"/>
          </w:tcPr>
          <w:p w14:paraId="1C1DE6E1">
            <w:pPr>
              <w:keepLines/>
              <w:spacing w:after="0" w:line="240" w:lineRule="auto" w:before="0"/>
              <w:ind w:firstLine="0"/>
              <w:jc w:val="center"/>
              <w:rPr>
                <w:rFonts w:hint="eastAsia"/>
              </w:rPr>
            </w:pPr>
            <w:r>
              <w:rPr>
                <w:rFonts w:ascii="宋体" w:hAnsi="宋体" w:eastAsia="宋体"/>
                <w:color w:val="263442"/>
                <w:sz w:val="17"/>
              </w:rPr>
              <w:t>10.597</w:t>
            </w:r>
          </w:p>
        </w:tc>
        <w:tc>
          <w:tcPr>
            <w:tcW w:w="2780" w:type="dxa"/>
            <w:tcMar>
              <w:top w:w="56" w:type="dxa"/>
              <w:left w:w="110" w:type="dxa"/>
              <w:bottom w:w="56" w:type="dxa"/>
              <w:right w:w="110" w:type="dxa"/>
              <w:start w:w="78" w:type="dxa"/>
              <w:end w:w="78" w:type="dxa"/>
            </w:tcMar>
            <w:vAlign w:val="center"/>
            <w:shd w:val="clear" w:color="auto" w:fill="F7F9FB"/>
          </w:tcPr>
          <w:p w14:paraId="422F1370">
            <w:pPr>
              <w:keepLines/>
              <w:spacing w:after="0" w:line="240" w:lineRule="auto" w:before="0"/>
              <w:ind w:firstLine="0"/>
              <w:jc w:val="center"/>
              <w:rPr>
                <w:rFonts w:hint="eastAsia"/>
              </w:rPr>
            </w:pPr>
            <w:r>
              <w:rPr>
                <w:rFonts w:ascii="宋体" w:hAnsi="宋体" w:eastAsia="宋体"/>
                <w:color w:val="263442"/>
                <w:sz w:val="17"/>
              </w:rPr>
              <w:t>+0.153</w:t>
            </w:r>
          </w:p>
        </w:tc>
      </w:tr>
      <w:tr w14:paraId="60D7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00" w:type="dxa"/>
            <w:tcMar>
              <w:top w:w="56" w:type="dxa"/>
              <w:left w:w="110" w:type="dxa"/>
              <w:bottom w:w="56" w:type="dxa"/>
              <w:right w:w="110" w:type="dxa"/>
              <w:start w:w="78" w:type="dxa"/>
              <w:end w:w="78" w:type="dxa"/>
            </w:tcMar>
            <w:vAlign w:val="center"/>
          </w:tcPr>
          <w:p w14:paraId="420199CA">
            <w:pPr>
              <w:keepLines/>
              <w:spacing w:after="0" w:line="240" w:lineRule="auto" w:before="0"/>
              <w:ind w:firstLine="0"/>
              <w:jc w:val="left"/>
              <w:rPr>
                <w:rFonts w:hint="eastAsia"/>
              </w:rPr>
            </w:pPr>
            <w:r>
              <w:rPr>
                <w:rFonts w:ascii="宋体" w:hAnsi="宋体" w:eastAsia="宋体"/>
                <w:color w:val="263442"/>
                <w:sz w:val="17"/>
              </w:rPr>
              <w:t>进项作废率</w:t>
            </w:r>
          </w:p>
        </w:tc>
        <w:tc>
          <w:tcPr>
            <w:tcW w:w="1800" w:type="dxa"/>
            <w:tcMar>
              <w:top w:w="56" w:type="dxa"/>
              <w:left w:w="110" w:type="dxa"/>
              <w:bottom w:w="56" w:type="dxa"/>
              <w:right w:w="110" w:type="dxa"/>
              <w:start w:w="78" w:type="dxa"/>
              <w:end w:w="78" w:type="dxa"/>
            </w:tcMar>
            <w:vAlign w:val="center"/>
          </w:tcPr>
          <w:p w14:paraId="5275B8A4">
            <w:pPr>
              <w:keepLines/>
              <w:spacing w:after="0" w:line="240" w:lineRule="auto" w:before="0"/>
              <w:ind w:firstLine="0"/>
              <w:jc w:val="center"/>
              <w:rPr>
                <w:rFonts w:hint="eastAsia"/>
              </w:rPr>
            </w:pPr>
            <w:r>
              <w:rPr>
                <w:rFonts w:ascii="宋体" w:hAnsi="宋体" w:eastAsia="宋体"/>
                <w:color w:val="263442"/>
                <w:sz w:val="17"/>
              </w:rPr>
              <w:t>0.028</w:t>
            </w:r>
          </w:p>
        </w:tc>
        <w:tc>
          <w:tcPr>
            <w:tcW w:w="1800" w:type="dxa"/>
            <w:tcMar>
              <w:top w:w="56" w:type="dxa"/>
              <w:left w:w="110" w:type="dxa"/>
              <w:bottom w:w="56" w:type="dxa"/>
              <w:right w:w="110" w:type="dxa"/>
              <w:start w:w="78" w:type="dxa"/>
              <w:end w:w="78" w:type="dxa"/>
            </w:tcMar>
            <w:vAlign w:val="center"/>
          </w:tcPr>
          <w:p w14:paraId="093958C1">
            <w:pPr>
              <w:keepLines/>
              <w:spacing w:after="0" w:line="240" w:lineRule="auto" w:before="0"/>
              <w:ind w:firstLine="0"/>
              <w:jc w:val="center"/>
              <w:rPr>
                <w:rFonts w:hint="eastAsia"/>
              </w:rPr>
            </w:pPr>
            <w:r>
              <w:rPr>
                <w:rFonts w:ascii="宋体" w:hAnsi="宋体" w:eastAsia="宋体"/>
                <w:color w:val="263442"/>
                <w:sz w:val="17"/>
              </w:rPr>
              <w:t>0.032</w:t>
            </w:r>
          </w:p>
        </w:tc>
        <w:tc>
          <w:tcPr>
            <w:tcW w:w="2780" w:type="dxa"/>
            <w:tcMar>
              <w:top w:w="56" w:type="dxa"/>
              <w:left w:w="110" w:type="dxa"/>
              <w:bottom w:w="56" w:type="dxa"/>
              <w:right w:w="110" w:type="dxa"/>
              <w:start w:w="78" w:type="dxa"/>
              <w:end w:w="78" w:type="dxa"/>
            </w:tcMar>
            <w:vAlign w:val="center"/>
          </w:tcPr>
          <w:p w14:paraId="780E8A2C">
            <w:pPr>
              <w:keepLines/>
              <w:spacing w:after="0" w:line="240" w:lineRule="auto" w:before="0"/>
              <w:ind w:firstLine="0"/>
              <w:jc w:val="center"/>
              <w:rPr>
                <w:rFonts w:hint="eastAsia"/>
              </w:rPr>
            </w:pPr>
            <w:r>
              <w:rPr>
                <w:rFonts w:ascii="宋体" w:hAnsi="宋体" w:eastAsia="宋体"/>
                <w:color w:val="263442"/>
                <w:sz w:val="17"/>
              </w:rPr>
              <w:t>+0.148</w:t>
            </w:r>
          </w:p>
        </w:tc>
      </w:tr>
      <w:tr w14:paraId="4CFC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00" w:type="dxa"/>
            <w:tcMar>
              <w:top w:w="56" w:type="dxa"/>
              <w:left w:w="110" w:type="dxa"/>
              <w:bottom w:w="56" w:type="dxa"/>
              <w:right w:w="110" w:type="dxa"/>
              <w:start w:w="78" w:type="dxa"/>
              <w:end w:w="78" w:type="dxa"/>
            </w:tcMar>
            <w:vAlign w:val="center"/>
            <w:shd w:val="clear" w:color="auto" w:fill="F7F9FB"/>
          </w:tcPr>
          <w:p w14:paraId="50A10314">
            <w:pPr>
              <w:keepLines/>
              <w:spacing w:after="0" w:line="240" w:lineRule="auto" w:before="0"/>
              <w:ind w:firstLine="0"/>
              <w:jc w:val="left"/>
              <w:rPr>
                <w:rFonts w:hint="eastAsia"/>
              </w:rPr>
            </w:pPr>
            <w:r>
              <w:rPr>
                <w:rFonts w:ascii="宋体" w:hAnsi="宋体" w:eastAsia="宋体"/>
                <w:color w:val="263442"/>
                <w:sz w:val="17"/>
              </w:rPr>
              <w:t>进项趋势</w:t>
            </w:r>
          </w:p>
        </w:tc>
        <w:tc>
          <w:tcPr>
            <w:tcW w:w="1800" w:type="dxa"/>
            <w:tcMar>
              <w:top w:w="56" w:type="dxa"/>
              <w:left w:w="110" w:type="dxa"/>
              <w:bottom w:w="56" w:type="dxa"/>
              <w:right w:w="110" w:type="dxa"/>
              <w:start w:w="78" w:type="dxa"/>
              <w:end w:w="78" w:type="dxa"/>
            </w:tcMar>
            <w:vAlign w:val="center"/>
            <w:shd w:val="clear" w:color="auto" w:fill="F7F9FB"/>
          </w:tcPr>
          <w:p w14:paraId="4BFFF520">
            <w:pPr>
              <w:keepLines/>
              <w:spacing w:after="0" w:line="240" w:lineRule="auto" w:before="0"/>
              <w:ind w:firstLine="0"/>
              <w:jc w:val="center"/>
              <w:rPr>
                <w:rFonts w:hint="eastAsia"/>
              </w:rPr>
            </w:pPr>
            <w:r>
              <w:rPr>
                <w:rFonts w:ascii="宋体" w:hAnsi="宋体" w:eastAsia="宋体"/>
                <w:color w:val="263442"/>
                <w:sz w:val="17"/>
              </w:rPr>
              <w:t>0.026</w:t>
            </w:r>
          </w:p>
        </w:tc>
        <w:tc>
          <w:tcPr>
            <w:tcW w:w="1800" w:type="dxa"/>
            <w:tcMar>
              <w:top w:w="56" w:type="dxa"/>
              <w:left w:w="110" w:type="dxa"/>
              <w:bottom w:w="56" w:type="dxa"/>
              <w:right w:w="110" w:type="dxa"/>
              <w:start w:w="78" w:type="dxa"/>
              <w:end w:w="78" w:type="dxa"/>
            </w:tcMar>
            <w:vAlign w:val="center"/>
            <w:shd w:val="clear" w:color="auto" w:fill="F7F9FB"/>
          </w:tcPr>
          <w:p w14:paraId="356BA4D1">
            <w:pPr>
              <w:keepLines/>
              <w:spacing w:after="0" w:line="240" w:lineRule="auto" w:before="0"/>
              <w:ind w:firstLine="0"/>
              <w:jc w:val="center"/>
              <w:rPr>
                <w:rFonts w:hint="eastAsia"/>
              </w:rPr>
            </w:pPr>
            <w:r>
              <w:rPr>
                <w:rFonts w:ascii="宋体" w:hAnsi="宋体" w:eastAsia="宋体"/>
                <w:color w:val="263442"/>
                <w:sz w:val="17"/>
              </w:rPr>
              <w:t>0.032</w:t>
            </w:r>
          </w:p>
        </w:tc>
        <w:tc>
          <w:tcPr>
            <w:tcW w:w="2780" w:type="dxa"/>
            <w:tcMar>
              <w:top w:w="56" w:type="dxa"/>
              <w:left w:w="110" w:type="dxa"/>
              <w:bottom w:w="56" w:type="dxa"/>
              <w:right w:w="110" w:type="dxa"/>
              <w:start w:w="78" w:type="dxa"/>
              <w:end w:w="78" w:type="dxa"/>
            </w:tcMar>
            <w:vAlign w:val="center"/>
            <w:shd w:val="clear" w:color="auto" w:fill="F7F9FB"/>
          </w:tcPr>
          <w:p w14:paraId="7D9EB7BE">
            <w:pPr>
              <w:keepLines/>
              <w:spacing w:after="0" w:line="240" w:lineRule="auto" w:before="0"/>
              <w:ind w:firstLine="0"/>
              <w:jc w:val="center"/>
              <w:rPr>
                <w:rFonts w:hint="eastAsia"/>
              </w:rPr>
            </w:pPr>
            <w:r>
              <w:rPr>
                <w:rFonts w:ascii="宋体" w:hAnsi="宋体" w:eastAsia="宋体"/>
                <w:color w:val="263442"/>
                <w:sz w:val="17"/>
              </w:rPr>
              <w:t>+0.138</w:t>
            </w:r>
          </w:p>
        </w:tc>
      </w:tr>
    </w:tbl>
    <w:p w14:paraId="7ADA8F89">
      <w:pPr>
        <w:keepNext/>
        <w:keepLines/>
        <w:spacing w:before="100" w:after="40"/>
        <w:ind w:firstLine="0"/>
        <w:jc w:val="center"/>
        <w:rPr>
          <w:rFonts w:hint="eastAsia"/>
        </w:rPr>
      </w:pPr>
      <w:r>
        <w:drawing>
          <wp:inline distT="0" distB="0" distL="0" distR="0">
            <wp:extent cx="5577840" cy="2893251"/>
            <wp:effectExtent l="0" t="0" r="0" b="0"/>
            <wp:docPr id="9" name="图6 有信贷记录与无信贷记录企业的风险分布迁移" descr="图6 有信贷记录与无信贷记录企业的风险分布迁移" title="图6 有信贷记录与无信贷记录企业的风险分布迁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577840" cy="2893251"/>
                    </a:xfrm>
                    <a:prstGeom prst="rect">
                      <a:avLst/>
                    </a:prstGeom>
                  </pic:spPr>
                </pic:pic>
              </a:graphicData>
            </a:graphic>
          </wp:inline>
        </w:drawing>
      </w:r>
    </w:p>
    <w:p w14:paraId="2DC1749B">
      <w:pPr>
        <w:pStyle w:val="15"/>
        <w:keepNext w:val="0"/>
        <w:keepLines/>
        <w:spacing w:before="40" w:after="120"/>
        <w:ind w:firstLine="0"/>
        <w:jc w:val="center"/>
        <w:rPr>
          <w:rFonts w:hint="eastAsia"/>
        </w:rPr>
      </w:pPr>
      <w:r>
        <w:rPr>
          <w:rFonts w:ascii="宋体" w:hAnsi="宋体" w:eastAsia="宋体"/>
          <w:color w:val="536273"/>
          <w:sz w:val="18"/>
        </w:rPr>
        <w:t>图6 源域与目标域主要变量的标准化均值漂移（表7所列变量）。数据来源：表7。</w:t>
      </w:r>
    </w:p>
    <w:p w14:paraId="71A31F45">
      <w:pPr>
        <w:spacing w:after="20"/>
        <w:rPr>
          <w:rFonts w:hint="eastAsia"/>
        </w:rPr>
      </w:pPr>
    </w:p>
    <w:p w14:paraId="19F3866A">
      <w:pPr>
        <w:widowControl/>
        <w:spacing w:line="348" w:lineRule="auto" w:before="0" w:after="60"/>
        <w:ind w:firstLine="420"/>
        <w:jc w:val="both"/>
        <w:rPr>
          <w:rFonts w:hint="eastAsia"/>
        </w:rPr>
      </w:pPr>
      <w:r>
        <w:rPr>
          <w:rFonts w:ascii="宋体" w:hAnsi="宋体" w:eastAsia="宋体"/>
          <w:color w:val="263442"/>
          <w:sz w:val="21"/>
        </w:rPr>
        <w:t>绝对漂移最大的变量为进项 HHI，标准化均值差为0.219，其余前列变量均小于0.18。以企业32维标准化偏差的平均绝对值计算迁移置信度，302家企业均未超过1.5的人工复核阈值。该检查只表明未观察到明显的均值层面迁移反证；由于目标域缺少真实评级，不能据此宣称迁移准确率已经验证。表7所列主要变量的标准化均值漂移如图6所示，风险—效益前沿见图7。</w:t>
      </w:r>
    </w:p>
    <w:p w14:paraId="2E785D29">
      <w:pPr>
        <w:pStyle w:val="4"/>
        <w:keepNext/>
        <w:keepLines/>
        <w:spacing w:before="200" w:after="80"/>
        <w:ind w:firstLine="0"/>
      </w:pPr>
      <w:r>
        <w:rPr>
          <w:rFonts w:ascii="微软雅黑" w:hAnsi="微软雅黑" w:eastAsia="微软雅黑"/>
          <w:b/>
          <w:color w:val="2878B5"/>
          <w:sz w:val="25"/>
        </w:rPr>
        <w:t>5.2  一亿元主组合与风险前沿</w:t>
      </w:r>
    </w:p>
    <w:p w14:paraId="5A9AC0C4">
      <w:pPr>
        <w:widowControl/>
        <w:spacing w:line="348" w:lineRule="auto" w:before="0" w:after="60"/>
        <w:ind w:firstLine="420"/>
        <w:jc w:val="both"/>
        <w:rPr>
          <w:rFonts w:hint="eastAsia"/>
        </w:rPr>
      </w:pPr>
      <w:r>
        <w:rPr>
          <w:rFonts w:ascii="宋体" w:hAnsi="宋体" w:eastAsia="宋体"/>
          <w:color w:val="263442"/>
          <w:sz w:val="21"/>
        </w:rPr>
        <w:t>将迁移评级概率映射为风险损失尺度，并按照式（5）选择利率。问题二允许所有企业进入候选集，但预测为 D 型的企业会因较高 ρᵢ 受到目标函数和1.30%组合风险上限的连续惩罚。额度仍限制在10万至100万元，总额为1亿元。</w:t>
      </w:r>
    </w:p>
    <w:p w14:paraId="7DE1F4FE">
      <w:pPr>
        <w:pStyle w:val="15"/>
        <w:keepNext/>
        <w:keepLines/>
        <w:pageBreakBefore/>
        <w:spacing w:before="40" w:after="120"/>
        <w:ind w:firstLine="0"/>
        <w:jc w:val="center"/>
        <w:rPr>
          <w:rFonts w:hint="eastAsia"/>
        </w:rPr>
      </w:pPr>
      <w:r>
        <w:rPr>
          <w:rFonts w:ascii="宋体" w:hAnsi="宋体" w:eastAsia="宋体"/>
          <w:color w:val="536273"/>
          <w:sz w:val="18"/>
        </w:rPr>
        <w:t>表8  不同风险上限下的问题二组合结果</w:t>
      </w:r>
    </w:p>
    <w:tbl>
      <w:tblPr>
        <w:tblStyle w:val="33"/>
        <w:tblW w:w="9180" w:type="dxa"/>
        <w:jc w:val="center"/>
        <w:tblBorders>
          <w:top w:val="single" w:color="AAB8C6" w:sz="4" w:space="0"/>
          <w:left w:val="single" w:color="AAB8C6" w:sz="4" w:space="0"/>
          <w:bottom w:val="single" w:color="AAB8C6" w:sz="4" w:space="0"/>
          <w:right w:val="single" w:color="AAB8C6" w:sz="4" w:space="0"/>
          <w:insideH w:val="single" w:color="AAB8C6" w:sz="4" w:space="0"/>
          <w:insideV w:val="single" w:color="AAB8C6" w:sz="4" w:space="0"/>
        </w:tblBorders>
        <w:tblLayout w:type="autofit"/>
        <w:tblCellMar>
          <w:top w:w="0" w:type="dxa"/>
          <w:left w:w="108" w:type="dxa"/>
          <w:bottom w:w="0" w:type="dxa"/>
          <w:right w:w="108" w:type="dxa"/>
        </w:tblCellMar>
      </w:tblPr>
      <w:tblGrid>
        <w:gridCol w:w="1500"/>
        <w:gridCol w:w="2100"/>
        <w:gridCol w:w="2100"/>
        <w:gridCol w:w="1500"/>
        <w:gridCol w:w="1980"/>
      </w:tblGrid>
      <w:tr w14:paraId="4196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1500" w:type="dxa"/>
            <w:tcMar>
              <w:top w:w="56" w:type="dxa"/>
              <w:left w:w="110" w:type="dxa"/>
              <w:bottom w:w="56" w:type="dxa"/>
              <w:right w:w="110" w:type="dxa"/>
              <w:start w:w="78" w:type="dxa"/>
              <w:end w:w="78" w:type="dxa"/>
            </w:tcMar>
            <w:vAlign w:val="center"/>
            <w:shd w:val="clear" w:color="auto" w:fill="EAF0F6"/>
          </w:tcPr>
          <w:p w14:paraId="6080B3A6">
            <w:pPr>
              <w:keepNext/>
              <w:keepLines/>
              <w:spacing w:after="0" w:before="0" w:line="240" w:lineRule="auto"/>
              <w:jc w:val="center"/>
              <w:rPr>
                <w:rFonts w:hint="eastAsia"/>
              </w:rPr>
            </w:pPr>
            <w:r>
              <w:rPr>
                <w:rFonts w:ascii="宋体" w:hAnsi="宋体" w:eastAsia="宋体"/>
                <w:b/>
                <w:color w:val="263442"/>
                <w:sz w:val="17"/>
              </w:rPr>
              <w:t>风险上限</w:t>
            </w:r>
          </w:p>
        </w:tc>
        <w:tc>
          <w:tcPr>
            <w:tcW w:w="2100" w:type="dxa"/>
            <w:tcMar>
              <w:top w:w="56" w:type="dxa"/>
              <w:left w:w="110" w:type="dxa"/>
              <w:bottom w:w="56" w:type="dxa"/>
              <w:right w:w="110" w:type="dxa"/>
              <w:start w:w="78" w:type="dxa"/>
              <w:end w:w="78" w:type="dxa"/>
            </w:tcMar>
            <w:vAlign w:val="center"/>
            <w:shd w:val="clear" w:color="auto" w:fill="EAF0F6"/>
          </w:tcPr>
          <w:p w14:paraId="4478DF6A">
            <w:pPr>
              <w:keepNext/>
              <w:keepLines/>
              <w:spacing w:after="0" w:before="0" w:line="240" w:lineRule="auto"/>
              <w:jc w:val="center"/>
              <w:rPr>
                <w:rFonts w:hint="eastAsia"/>
              </w:rPr>
            </w:pPr>
            <w:r>
              <w:rPr>
                <w:rFonts w:ascii="宋体" w:hAnsi="宋体" w:eastAsia="宋体"/>
                <w:b/>
                <w:color w:val="263442"/>
                <w:sz w:val="17"/>
              </w:rPr>
              <w:t>期望效益/万元</w:t>
            </w:r>
          </w:p>
        </w:tc>
        <w:tc>
          <w:tcPr>
            <w:tcW w:w="2100" w:type="dxa"/>
            <w:tcMar>
              <w:top w:w="56" w:type="dxa"/>
              <w:left w:w="110" w:type="dxa"/>
              <w:bottom w:w="56" w:type="dxa"/>
              <w:right w:w="110" w:type="dxa"/>
              <w:start w:w="78" w:type="dxa"/>
              <w:end w:w="78" w:type="dxa"/>
            </w:tcMar>
            <w:vAlign w:val="center"/>
            <w:shd w:val="clear" w:color="auto" w:fill="EAF0F6"/>
          </w:tcPr>
          <w:p w14:paraId="6C1FC5DD">
            <w:pPr>
              <w:keepNext/>
              <w:keepLines/>
              <w:spacing w:after="0" w:before="0" w:line="240" w:lineRule="auto"/>
              <w:jc w:val="center"/>
              <w:rPr>
                <w:rFonts w:hint="eastAsia"/>
              </w:rPr>
            </w:pPr>
            <w:r>
              <w:rPr>
                <w:rFonts w:ascii="宋体" w:hAnsi="宋体" w:eastAsia="宋体"/>
                <w:b/>
                <w:color w:val="263442"/>
                <w:sz w:val="17"/>
              </w:rPr>
              <w:t>风险尺度/万元</w:t>
            </w:r>
          </w:p>
        </w:tc>
        <w:tc>
          <w:tcPr>
            <w:tcW w:w="1500" w:type="dxa"/>
            <w:tcMar>
              <w:top w:w="56" w:type="dxa"/>
              <w:left w:w="110" w:type="dxa"/>
              <w:bottom w:w="56" w:type="dxa"/>
              <w:right w:w="110" w:type="dxa"/>
              <w:start w:w="78" w:type="dxa"/>
              <w:end w:w="78" w:type="dxa"/>
            </w:tcMar>
            <w:vAlign w:val="center"/>
            <w:shd w:val="clear" w:color="auto" w:fill="EAF0F6"/>
          </w:tcPr>
          <w:p w14:paraId="19F69FC1">
            <w:pPr>
              <w:keepNext/>
              <w:keepLines/>
              <w:spacing w:after="0" w:before="0" w:line="240" w:lineRule="auto"/>
              <w:jc w:val="center"/>
              <w:rPr>
                <w:rFonts w:hint="eastAsia"/>
              </w:rPr>
            </w:pPr>
            <w:r>
              <w:rPr>
                <w:rFonts w:ascii="宋体" w:hAnsi="宋体" w:eastAsia="宋体"/>
                <w:b/>
                <w:color w:val="263442"/>
                <w:sz w:val="17"/>
              </w:rPr>
              <w:t>入选数</w:t>
            </w:r>
          </w:p>
        </w:tc>
        <w:tc>
          <w:tcPr>
            <w:tcW w:w="1980" w:type="dxa"/>
            <w:tcMar>
              <w:top w:w="56" w:type="dxa"/>
              <w:left w:w="110" w:type="dxa"/>
              <w:bottom w:w="56" w:type="dxa"/>
              <w:right w:w="110" w:type="dxa"/>
              <w:start w:w="78" w:type="dxa"/>
              <w:end w:w="78" w:type="dxa"/>
            </w:tcMar>
            <w:vAlign w:val="center"/>
            <w:shd w:val="clear" w:color="auto" w:fill="EAF0F6"/>
          </w:tcPr>
          <w:p w14:paraId="255B7B51">
            <w:pPr>
              <w:keepNext/>
              <w:keepLines/>
              <w:spacing w:after="0" w:before="0" w:line="240" w:lineRule="auto"/>
              <w:jc w:val="center"/>
              <w:rPr>
                <w:rFonts w:hint="eastAsia"/>
              </w:rPr>
            </w:pPr>
            <w:r>
              <w:rPr>
                <w:rFonts w:ascii="宋体" w:hAnsi="宋体" w:eastAsia="宋体"/>
                <w:b/>
                <w:color w:val="263442"/>
                <w:sz w:val="17"/>
              </w:rPr>
              <w:t>最小额度/万元</w:t>
            </w:r>
          </w:p>
        </w:tc>
      </w:tr>
      <w:tr w14:paraId="5A90C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Mar>
              <w:top w:w="56" w:type="dxa"/>
              <w:left w:w="110" w:type="dxa"/>
              <w:bottom w:w="56" w:type="dxa"/>
              <w:right w:w="110" w:type="dxa"/>
              <w:start w:w="78" w:type="dxa"/>
              <w:end w:w="78" w:type="dxa"/>
            </w:tcMar>
            <w:vAlign w:val="center"/>
          </w:tcPr>
          <w:p w14:paraId="4ACBF05A">
            <w:pPr>
              <w:keepLines/>
              <w:spacing w:after="0" w:line="240" w:lineRule="auto" w:before="0"/>
              <w:ind w:firstLine="0"/>
              <w:jc w:val="left"/>
              <w:rPr>
                <w:rFonts w:hint="eastAsia"/>
              </w:rPr>
            </w:pPr>
            <w:r>
              <w:rPr>
                <w:rFonts w:ascii="宋体" w:hAnsi="宋体" w:eastAsia="宋体"/>
                <w:color w:val="263442"/>
                <w:sz w:val="17"/>
              </w:rPr>
              <w:t>1.28%</w:t>
            </w:r>
          </w:p>
        </w:tc>
        <w:tc>
          <w:tcPr>
            <w:tcW w:w="2100" w:type="dxa"/>
            <w:tcMar>
              <w:top w:w="56" w:type="dxa"/>
              <w:left w:w="110" w:type="dxa"/>
              <w:bottom w:w="56" w:type="dxa"/>
              <w:right w:w="110" w:type="dxa"/>
              <w:start w:w="78" w:type="dxa"/>
              <w:end w:w="78" w:type="dxa"/>
            </w:tcMar>
            <w:vAlign w:val="center"/>
          </w:tcPr>
          <w:p w14:paraId="0CD08377">
            <w:pPr>
              <w:keepLines/>
              <w:spacing w:after="0" w:line="240" w:lineRule="auto" w:before="0"/>
              <w:ind w:firstLine="0"/>
              <w:jc w:val="center"/>
              <w:rPr>
                <w:rFonts w:hint="eastAsia"/>
              </w:rPr>
            </w:pPr>
            <w:r>
              <w:rPr>
                <w:rFonts w:ascii="宋体" w:hAnsi="宋体" w:eastAsia="宋体"/>
                <w:color w:val="263442"/>
                <w:sz w:val="17"/>
              </w:rPr>
              <w:t>140.02</w:t>
            </w:r>
          </w:p>
        </w:tc>
        <w:tc>
          <w:tcPr>
            <w:tcW w:w="2100" w:type="dxa"/>
            <w:tcMar>
              <w:top w:w="56" w:type="dxa"/>
              <w:left w:w="110" w:type="dxa"/>
              <w:bottom w:w="56" w:type="dxa"/>
              <w:right w:w="110" w:type="dxa"/>
              <w:start w:w="78" w:type="dxa"/>
              <w:end w:w="78" w:type="dxa"/>
            </w:tcMar>
            <w:vAlign w:val="center"/>
          </w:tcPr>
          <w:p w14:paraId="36502CBF">
            <w:pPr>
              <w:keepLines/>
              <w:spacing w:after="0" w:line="240" w:lineRule="auto" w:before="0"/>
              <w:ind w:firstLine="0"/>
              <w:jc w:val="center"/>
              <w:rPr>
                <w:rFonts w:hint="eastAsia"/>
              </w:rPr>
            </w:pPr>
            <w:r>
              <w:rPr>
                <w:rFonts w:ascii="宋体" w:hAnsi="宋体" w:eastAsia="宋体"/>
                <w:color w:val="263442"/>
                <w:sz w:val="17"/>
              </w:rPr>
              <w:t>128.00</w:t>
            </w:r>
          </w:p>
        </w:tc>
        <w:tc>
          <w:tcPr>
            <w:tcW w:w="1500" w:type="dxa"/>
            <w:tcMar>
              <w:top w:w="56" w:type="dxa"/>
              <w:left w:w="110" w:type="dxa"/>
              <w:bottom w:w="56" w:type="dxa"/>
              <w:right w:w="110" w:type="dxa"/>
              <w:start w:w="78" w:type="dxa"/>
              <w:end w:w="78" w:type="dxa"/>
            </w:tcMar>
            <w:vAlign w:val="center"/>
          </w:tcPr>
          <w:p w14:paraId="3CD15DEC">
            <w:pPr>
              <w:keepLines/>
              <w:spacing w:after="0" w:line="240" w:lineRule="auto" w:before="0"/>
              <w:ind w:firstLine="0"/>
              <w:jc w:val="center"/>
              <w:rPr>
                <w:rFonts w:hint="eastAsia"/>
              </w:rPr>
            </w:pPr>
            <w:r>
              <w:rPr>
                <w:rFonts w:ascii="宋体" w:hAnsi="宋体" w:eastAsia="宋体"/>
                <w:color w:val="263442"/>
                <w:sz w:val="17"/>
              </w:rPr>
              <w:t>101</w:t>
            </w:r>
          </w:p>
        </w:tc>
        <w:tc>
          <w:tcPr>
            <w:tcW w:w="1980" w:type="dxa"/>
            <w:tcMar>
              <w:top w:w="56" w:type="dxa"/>
              <w:left w:w="110" w:type="dxa"/>
              <w:bottom w:w="56" w:type="dxa"/>
              <w:right w:w="110" w:type="dxa"/>
              <w:start w:w="78" w:type="dxa"/>
              <w:end w:w="78" w:type="dxa"/>
            </w:tcMar>
            <w:vAlign w:val="center"/>
          </w:tcPr>
          <w:p w14:paraId="470D0BF6">
            <w:pPr>
              <w:keepLines/>
              <w:spacing w:after="0" w:line="240" w:lineRule="auto" w:before="0"/>
              <w:ind w:firstLine="0"/>
              <w:jc w:val="center"/>
              <w:rPr>
                <w:rFonts w:hint="eastAsia"/>
              </w:rPr>
            </w:pPr>
            <w:r>
              <w:rPr>
                <w:rFonts w:ascii="宋体" w:hAnsi="宋体" w:eastAsia="宋体"/>
                <w:color w:val="263442"/>
                <w:sz w:val="17"/>
              </w:rPr>
              <w:t>31.79</w:t>
            </w:r>
          </w:p>
        </w:tc>
      </w:tr>
      <w:tr w14:paraId="1703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Mar>
              <w:top w:w="56" w:type="dxa"/>
              <w:left w:w="110" w:type="dxa"/>
              <w:bottom w:w="56" w:type="dxa"/>
              <w:right w:w="110" w:type="dxa"/>
              <w:start w:w="78" w:type="dxa"/>
              <w:end w:w="78" w:type="dxa"/>
            </w:tcMar>
            <w:vAlign w:val="center"/>
            <w:shd w:val="clear" w:color="auto" w:fill="F7F9FB"/>
          </w:tcPr>
          <w:p w14:paraId="7EF266AB">
            <w:pPr>
              <w:keepLines/>
              <w:spacing w:after="0" w:line="240" w:lineRule="auto" w:before="0"/>
              <w:ind w:firstLine="0"/>
              <w:jc w:val="left"/>
              <w:rPr>
                <w:rFonts w:hint="eastAsia"/>
              </w:rPr>
            </w:pPr>
            <w:r>
              <w:rPr>
                <w:rFonts w:ascii="宋体" w:hAnsi="宋体" w:eastAsia="宋体"/>
                <w:color w:val="263442"/>
                <w:sz w:val="17"/>
              </w:rPr>
              <w:t>1.30%</w:t>
            </w:r>
          </w:p>
        </w:tc>
        <w:tc>
          <w:tcPr>
            <w:tcW w:w="2100" w:type="dxa"/>
            <w:tcMar>
              <w:top w:w="56" w:type="dxa"/>
              <w:left w:w="110" w:type="dxa"/>
              <w:bottom w:w="56" w:type="dxa"/>
              <w:right w:w="110" w:type="dxa"/>
              <w:start w:w="78" w:type="dxa"/>
              <w:end w:w="78" w:type="dxa"/>
            </w:tcMar>
            <w:vAlign w:val="center"/>
            <w:shd w:val="clear" w:color="auto" w:fill="F7F9FB"/>
          </w:tcPr>
          <w:p w14:paraId="3459B54B">
            <w:pPr>
              <w:keepLines/>
              <w:spacing w:after="0" w:line="240" w:lineRule="auto" w:before="0"/>
              <w:ind w:firstLine="0"/>
              <w:jc w:val="center"/>
              <w:rPr>
                <w:rFonts w:hint="eastAsia"/>
              </w:rPr>
            </w:pPr>
            <w:r>
              <w:rPr>
                <w:rFonts w:ascii="宋体" w:hAnsi="宋体" w:eastAsia="宋体"/>
                <w:color w:val="263442"/>
                <w:sz w:val="17"/>
              </w:rPr>
              <w:t>142.90</w:t>
            </w:r>
          </w:p>
        </w:tc>
        <w:tc>
          <w:tcPr>
            <w:tcW w:w="2100" w:type="dxa"/>
            <w:tcMar>
              <w:top w:w="56" w:type="dxa"/>
              <w:left w:w="110" w:type="dxa"/>
              <w:bottom w:w="56" w:type="dxa"/>
              <w:right w:w="110" w:type="dxa"/>
              <w:start w:w="78" w:type="dxa"/>
              <w:end w:w="78" w:type="dxa"/>
            </w:tcMar>
            <w:vAlign w:val="center"/>
            <w:shd w:val="clear" w:color="auto" w:fill="F7F9FB"/>
          </w:tcPr>
          <w:p w14:paraId="708CCBCB">
            <w:pPr>
              <w:keepLines/>
              <w:spacing w:after="0" w:line="240" w:lineRule="auto" w:before="0"/>
              <w:ind w:firstLine="0"/>
              <w:jc w:val="center"/>
              <w:rPr>
                <w:rFonts w:hint="eastAsia"/>
              </w:rPr>
            </w:pPr>
            <w:r>
              <w:rPr>
                <w:rFonts w:ascii="宋体" w:hAnsi="宋体" w:eastAsia="宋体"/>
                <w:color w:val="263442"/>
                <w:sz w:val="17"/>
              </w:rPr>
              <w:t>130.00</w:t>
            </w:r>
          </w:p>
        </w:tc>
        <w:tc>
          <w:tcPr>
            <w:tcW w:w="1500" w:type="dxa"/>
            <w:tcMar>
              <w:top w:w="56" w:type="dxa"/>
              <w:left w:w="110" w:type="dxa"/>
              <w:bottom w:w="56" w:type="dxa"/>
              <w:right w:w="110" w:type="dxa"/>
              <w:start w:w="78" w:type="dxa"/>
              <w:end w:w="78" w:type="dxa"/>
            </w:tcMar>
            <w:vAlign w:val="center"/>
            <w:shd w:val="clear" w:color="auto" w:fill="F7F9FB"/>
          </w:tcPr>
          <w:p w14:paraId="64732ADF">
            <w:pPr>
              <w:keepLines/>
              <w:spacing w:after="0" w:line="240" w:lineRule="auto" w:before="0"/>
              <w:ind w:firstLine="0"/>
              <w:jc w:val="center"/>
              <w:rPr>
                <w:rFonts w:hint="eastAsia"/>
              </w:rPr>
            </w:pPr>
            <w:r>
              <w:rPr>
                <w:rFonts w:ascii="宋体" w:hAnsi="宋体" w:eastAsia="宋体"/>
                <w:color w:val="263442"/>
                <w:sz w:val="17"/>
              </w:rPr>
              <w:t>101</w:t>
            </w:r>
          </w:p>
        </w:tc>
        <w:tc>
          <w:tcPr>
            <w:tcW w:w="1980" w:type="dxa"/>
            <w:tcMar>
              <w:top w:w="56" w:type="dxa"/>
              <w:left w:w="110" w:type="dxa"/>
              <w:bottom w:w="56" w:type="dxa"/>
              <w:right w:w="110" w:type="dxa"/>
              <w:start w:w="78" w:type="dxa"/>
              <w:end w:w="78" w:type="dxa"/>
            </w:tcMar>
            <w:vAlign w:val="center"/>
            <w:shd w:val="clear" w:color="auto" w:fill="F7F9FB"/>
          </w:tcPr>
          <w:p w14:paraId="31409E3B">
            <w:pPr>
              <w:keepLines/>
              <w:spacing w:after="0" w:line="240" w:lineRule="auto" w:before="0"/>
              <w:ind w:firstLine="0"/>
              <w:jc w:val="center"/>
              <w:rPr>
                <w:rFonts w:hint="eastAsia"/>
              </w:rPr>
            </w:pPr>
            <w:r>
              <w:rPr>
                <w:rFonts w:ascii="宋体" w:hAnsi="宋体" w:eastAsia="宋体"/>
                <w:color w:val="263442"/>
                <w:sz w:val="17"/>
              </w:rPr>
              <w:t>23.19</w:t>
            </w:r>
          </w:p>
        </w:tc>
      </w:tr>
      <w:tr w14:paraId="1FF3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Mar>
              <w:top w:w="56" w:type="dxa"/>
              <w:left w:w="110" w:type="dxa"/>
              <w:bottom w:w="56" w:type="dxa"/>
              <w:right w:w="110" w:type="dxa"/>
              <w:start w:w="78" w:type="dxa"/>
              <w:end w:w="78" w:type="dxa"/>
            </w:tcMar>
            <w:vAlign w:val="center"/>
          </w:tcPr>
          <w:p w14:paraId="69846DEC">
            <w:pPr>
              <w:keepLines/>
              <w:spacing w:after="0" w:line="240" w:lineRule="auto" w:before="0"/>
              <w:ind w:firstLine="0"/>
              <w:jc w:val="left"/>
              <w:rPr>
                <w:rFonts w:hint="eastAsia"/>
              </w:rPr>
            </w:pPr>
            <w:r>
              <w:rPr>
                <w:rFonts w:ascii="宋体" w:hAnsi="宋体" w:eastAsia="宋体"/>
                <w:color w:val="263442"/>
                <w:sz w:val="17"/>
              </w:rPr>
              <w:t>1.32%</w:t>
            </w:r>
          </w:p>
        </w:tc>
        <w:tc>
          <w:tcPr>
            <w:tcW w:w="2100" w:type="dxa"/>
            <w:tcMar>
              <w:top w:w="56" w:type="dxa"/>
              <w:left w:w="110" w:type="dxa"/>
              <w:bottom w:w="56" w:type="dxa"/>
              <w:right w:w="110" w:type="dxa"/>
              <w:start w:w="78" w:type="dxa"/>
              <w:end w:w="78" w:type="dxa"/>
            </w:tcMar>
            <w:vAlign w:val="center"/>
          </w:tcPr>
          <w:p w14:paraId="1879ED20">
            <w:pPr>
              <w:keepLines/>
              <w:spacing w:after="0" w:line="240" w:lineRule="auto" w:before="0"/>
              <w:ind w:firstLine="0"/>
              <w:jc w:val="center"/>
              <w:rPr>
                <w:rFonts w:hint="eastAsia"/>
              </w:rPr>
            </w:pPr>
            <w:r>
              <w:rPr>
                <w:rFonts w:ascii="宋体" w:hAnsi="宋体" w:eastAsia="宋体"/>
                <w:color w:val="263442"/>
                <w:sz w:val="17"/>
              </w:rPr>
              <w:t>144.62</w:t>
            </w:r>
          </w:p>
        </w:tc>
        <w:tc>
          <w:tcPr>
            <w:tcW w:w="2100" w:type="dxa"/>
            <w:tcMar>
              <w:top w:w="56" w:type="dxa"/>
              <w:left w:w="110" w:type="dxa"/>
              <w:bottom w:w="56" w:type="dxa"/>
              <w:right w:w="110" w:type="dxa"/>
              <w:start w:w="78" w:type="dxa"/>
              <w:end w:w="78" w:type="dxa"/>
            </w:tcMar>
            <w:vAlign w:val="center"/>
          </w:tcPr>
          <w:p w14:paraId="188A97CE">
            <w:pPr>
              <w:keepLines/>
              <w:spacing w:after="0" w:line="240" w:lineRule="auto" w:before="0"/>
              <w:ind w:firstLine="0"/>
              <w:jc w:val="center"/>
              <w:rPr>
                <w:rFonts w:hint="eastAsia"/>
              </w:rPr>
            </w:pPr>
            <w:r>
              <w:rPr>
                <w:rFonts w:ascii="宋体" w:hAnsi="宋体" w:eastAsia="宋体"/>
                <w:color w:val="263442"/>
                <w:sz w:val="17"/>
              </w:rPr>
              <w:t>132.00</w:t>
            </w:r>
          </w:p>
        </w:tc>
        <w:tc>
          <w:tcPr>
            <w:tcW w:w="1500" w:type="dxa"/>
            <w:tcMar>
              <w:top w:w="56" w:type="dxa"/>
              <w:left w:w="110" w:type="dxa"/>
              <w:bottom w:w="56" w:type="dxa"/>
              <w:right w:w="110" w:type="dxa"/>
              <w:start w:w="78" w:type="dxa"/>
              <w:end w:w="78" w:type="dxa"/>
            </w:tcMar>
            <w:vAlign w:val="center"/>
          </w:tcPr>
          <w:p w14:paraId="17EE6FA3">
            <w:pPr>
              <w:keepLines/>
              <w:spacing w:after="0" w:line="240" w:lineRule="auto" w:before="0"/>
              <w:ind w:firstLine="0"/>
              <w:jc w:val="center"/>
              <w:rPr>
                <w:rFonts w:hint="eastAsia"/>
              </w:rPr>
            </w:pPr>
            <w:r>
              <w:rPr>
                <w:rFonts w:ascii="宋体" w:hAnsi="宋体" w:eastAsia="宋体"/>
                <w:color w:val="263442"/>
                <w:sz w:val="17"/>
              </w:rPr>
              <w:t>101</w:t>
            </w:r>
          </w:p>
        </w:tc>
        <w:tc>
          <w:tcPr>
            <w:tcW w:w="1980" w:type="dxa"/>
            <w:tcMar>
              <w:top w:w="56" w:type="dxa"/>
              <w:left w:w="110" w:type="dxa"/>
              <w:bottom w:w="56" w:type="dxa"/>
              <w:right w:w="110" w:type="dxa"/>
              <w:start w:w="78" w:type="dxa"/>
              <w:end w:w="78" w:type="dxa"/>
            </w:tcMar>
            <w:vAlign w:val="center"/>
          </w:tcPr>
          <w:p w14:paraId="313D83BA">
            <w:pPr>
              <w:keepLines/>
              <w:spacing w:after="0" w:line="240" w:lineRule="auto" w:before="0"/>
              <w:ind w:firstLine="0"/>
              <w:jc w:val="center"/>
              <w:rPr>
                <w:rFonts w:hint="eastAsia"/>
              </w:rPr>
            </w:pPr>
            <w:r>
              <w:rPr>
                <w:rFonts w:ascii="宋体" w:hAnsi="宋体" w:eastAsia="宋体"/>
                <w:color w:val="263442"/>
                <w:sz w:val="17"/>
              </w:rPr>
              <w:t>47.74</w:t>
            </w:r>
          </w:p>
        </w:tc>
      </w:tr>
      <w:tr w14:paraId="4B48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Mar>
              <w:top w:w="56" w:type="dxa"/>
              <w:left w:w="110" w:type="dxa"/>
              <w:bottom w:w="56" w:type="dxa"/>
              <w:right w:w="110" w:type="dxa"/>
              <w:start w:w="78" w:type="dxa"/>
              <w:end w:w="78" w:type="dxa"/>
            </w:tcMar>
            <w:vAlign w:val="center"/>
            <w:shd w:val="clear" w:color="auto" w:fill="F7F9FB"/>
          </w:tcPr>
          <w:p w14:paraId="52699473">
            <w:pPr>
              <w:keepLines/>
              <w:spacing w:after="0" w:line="240" w:lineRule="auto" w:before="0"/>
              <w:ind w:firstLine="0"/>
              <w:jc w:val="left"/>
              <w:rPr>
                <w:rFonts w:hint="eastAsia"/>
              </w:rPr>
            </w:pPr>
            <w:r>
              <w:rPr>
                <w:rFonts w:ascii="宋体" w:hAnsi="宋体" w:eastAsia="宋体"/>
                <w:color w:val="263442"/>
                <w:sz w:val="17"/>
              </w:rPr>
              <w:t>1.34%</w:t>
            </w:r>
          </w:p>
        </w:tc>
        <w:tc>
          <w:tcPr>
            <w:tcW w:w="2100" w:type="dxa"/>
            <w:tcMar>
              <w:top w:w="56" w:type="dxa"/>
              <w:left w:w="110" w:type="dxa"/>
              <w:bottom w:w="56" w:type="dxa"/>
              <w:right w:w="110" w:type="dxa"/>
              <w:start w:w="78" w:type="dxa"/>
              <w:end w:w="78" w:type="dxa"/>
            </w:tcMar>
            <w:vAlign w:val="center"/>
            <w:shd w:val="clear" w:color="auto" w:fill="F7F9FB"/>
          </w:tcPr>
          <w:p w14:paraId="3770D173">
            <w:pPr>
              <w:keepLines/>
              <w:spacing w:after="0" w:line="240" w:lineRule="auto" w:before="0"/>
              <w:ind w:firstLine="0"/>
              <w:jc w:val="center"/>
              <w:rPr>
                <w:rFonts w:hint="eastAsia"/>
              </w:rPr>
            </w:pPr>
            <w:r>
              <w:rPr>
                <w:rFonts w:ascii="宋体" w:hAnsi="宋体" w:eastAsia="宋体"/>
                <w:color w:val="263442"/>
                <w:sz w:val="17"/>
              </w:rPr>
              <w:t>144.91</w:t>
            </w:r>
          </w:p>
        </w:tc>
        <w:tc>
          <w:tcPr>
            <w:tcW w:w="2100" w:type="dxa"/>
            <w:tcMar>
              <w:top w:w="56" w:type="dxa"/>
              <w:left w:w="110" w:type="dxa"/>
              <w:bottom w:w="56" w:type="dxa"/>
              <w:right w:w="110" w:type="dxa"/>
              <w:start w:w="78" w:type="dxa"/>
              <w:end w:w="78" w:type="dxa"/>
            </w:tcMar>
            <w:vAlign w:val="center"/>
            <w:shd w:val="clear" w:color="auto" w:fill="F7F9FB"/>
          </w:tcPr>
          <w:p w14:paraId="7E20022A">
            <w:pPr>
              <w:keepLines/>
              <w:spacing w:after="0" w:line="240" w:lineRule="auto" w:before="0"/>
              <w:ind w:firstLine="0"/>
              <w:jc w:val="center"/>
              <w:rPr>
                <w:rFonts w:hint="eastAsia"/>
              </w:rPr>
            </w:pPr>
            <w:r>
              <w:rPr>
                <w:rFonts w:ascii="宋体" w:hAnsi="宋体" w:eastAsia="宋体"/>
                <w:color w:val="263442"/>
                <w:sz w:val="17"/>
              </w:rPr>
              <w:t>133.37</w:t>
            </w:r>
          </w:p>
        </w:tc>
        <w:tc>
          <w:tcPr>
            <w:tcW w:w="1500" w:type="dxa"/>
            <w:tcMar>
              <w:top w:w="56" w:type="dxa"/>
              <w:left w:w="110" w:type="dxa"/>
              <w:bottom w:w="56" w:type="dxa"/>
              <w:right w:w="110" w:type="dxa"/>
              <w:start w:w="78" w:type="dxa"/>
              <w:end w:w="78" w:type="dxa"/>
            </w:tcMar>
            <w:vAlign w:val="center"/>
            <w:shd w:val="clear" w:color="auto" w:fill="F7F9FB"/>
          </w:tcPr>
          <w:p w14:paraId="2CFFF9D9">
            <w:pPr>
              <w:keepLines/>
              <w:spacing w:after="0" w:line="240" w:lineRule="auto" w:before="0"/>
              <w:ind w:firstLine="0"/>
              <w:jc w:val="center"/>
              <w:rPr>
                <w:rFonts w:hint="eastAsia"/>
              </w:rPr>
            </w:pPr>
            <w:r>
              <w:rPr>
                <w:rFonts w:ascii="宋体" w:hAnsi="宋体" w:eastAsia="宋体"/>
                <w:color w:val="263442"/>
                <w:sz w:val="17"/>
              </w:rPr>
              <w:t>100</w:t>
            </w:r>
          </w:p>
        </w:tc>
        <w:tc>
          <w:tcPr>
            <w:tcW w:w="1980" w:type="dxa"/>
            <w:tcMar>
              <w:top w:w="56" w:type="dxa"/>
              <w:left w:w="110" w:type="dxa"/>
              <w:bottom w:w="56" w:type="dxa"/>
              <w:right w:w="110" w:type="dxa"/>
              <w:start w:w="78" w:type="dxa"/>
              <w:end w:w="78" w:type="dxa"/>
            </w:tcMar>
            <w:vAlign w:val="center"/>
            <w:shd w:val="clear" w:color="auto" w:fill="F7F9FB"/>
          </w:tcPr>
          <w:p w14:paraId="7320C595">
            <w:pPr>
              <w:keepLines/>
              <w:spacing w:after="0" w:line="240" w:lineRule="auto" w:before="0"/>
              <w:ind w:firstLine="0"/>
              <w:jc w:val="center"/>
              <w:rPr>
                <w:rFonts w:hint="eastAsia"/>
              </w:rPr>
            </w:pPr>
            <w:r>
              <w:rPr>
                <w:rFonts w:ascii="宋体" w:hAnsi="宋体" w:eastAsia="宋体"/>
                <w:color w:val="263442"/>
                <w:sz w:val="17"/>
              </w:rPr>
              <w:t>100.00</w:t>
            </w:r>
          </w:p>
        </w:tc>
      </w:tr>
      <w:tr w14:paraId="403D2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Mar>
              <w:top w:w="56" w:type="dxa"/>
              <w:left w:w="110" w:type="dxa"/>
              <w:bottom w:w="56" w:type="dxa"/>
              <w:right w:w="110" w:type="dxa"/>
              <w:start w:w="78" w:type="dxa"/>
              <w:end w:w="78" w:type="dxa"/>
            </w:tcMar>
            <w:vAlign w:val="center"/>
          </w:tcPr>
          <w:p w14:paraId="447EF7A0">
            <w:pPr>
              <w:keepLines/>
              <w:spacing w:after="0" w:line="240" w:lineRule="auto" w:before="0"/>
              <w:ind w:firstLine="0"/>
              <w:jc w:val="left"/>
              <w:rPr>
                <w:rFonts w:hint="eastAsia"/>
              </w:rPr>
            </w:pPr>
            <w:r>
              <w:rPr>
                <w:rFonts w:ascii="宋体" w:hAnsi="宋体" w:eastAsia="宋体"/>
                <w:color w:val="263442"/>
                <w:sz w:val="17"/>
              </w:rPr>
              <w:t>1.40%</w:t>
            </w:r>
          </w:p>
        </w:tc>
        <w:tc>
          <w:tcPr>
            <w:tcW w:w="2100" w:type="dxa"/>
            <w:tcMar>
              <w:top w:w="56" w:type="dxa"/>
              <w:left w:w="110" w:type="dxa"/>
              <w:bottom w:w="56" w:type="dxa"/>
              <w:right w:w="110" w:type="dxa"/>
              <w:start w:w="78" w:type="dxa"/>
              <w:end w:w="78" w:type="dxa"/>
            </w:tcMar>
            <w:vAlign w:val="center"/>
          </w:tcPr>
          <w:p w14:paraId="55EE9794">
            <w:pPr>
              <w:keepLines/>
              <w:spacing w:after="0" w:line="240" w:lineRule="auto" w:before="0"/>
              <w:ind w:firstLine="0"/>
              <w:jc w:val="center"/>
              <w:rPr>
                <w:rFonts w:hint="eastAsia"/>
              </w:rPr>
            </w:pPr>
            <w:r>
              <w:rPr>
                <w:rFonts w:ascii="宋体" w:hAnsi="宋体" w:eastAsia="宋体"/>
                <w:color w:val="263442"/>
                <w:sz w:val="17"/>
              </w:rPr>
              <w:t>144.91</w:t>
            </w:r>
          </w:p>
        </w:tc>
        <w:tc>
          <w:tcPr>
            <w:tcW w:w="2100" w:type="dxa"/>
            <w:tcMar>
              <w:top w:w="56" w:type="dxa"/>
              <w:left w:w="110" w:type="dxa"/>
              <w:bottom w:w="56" w:type="dxa"/>
              <w:right w:w="110" w:type="dxa"/>
              <w:start w:w="78" w:type="dxa"/>
              <w:end w:w="78" w:type="dxa"/>
            </w:tcMar>
            <w:vAlign w:val="center"/>
          </w:tcPr>
          <w:p w14:paraId="3D39FC88">
            <w:pPr>
              <w:keepLines/>
              <w:spacing w:after="0" w:line="240" w:lineRule="auto" w:before="0"/>
              <w:ind w:firstLine="0"/>
              <w:jc w:val="center"/>
              <w:rPr>
                <w:rFonts w:hint="eastAsia"/>
              </w:rPr>
            </w:pPr>
            <w:r>
              <w:rPr>
                <w:rFonts w:ascii="宋体" w:hAnsi="宋体" w:eastAsia="宋体"/>
                <w:color w:val="263442"/>
                <w:sz w:val="17"/>
              </w:rPr>
              <w:t>133.37</w:t>
            </w:r>
          </w:p>
        </w:tc>
        <w:tc>
          <w:tcPr>
            <w:tcW w:w="1500" w:type="dxa"/>
            <w:tcMar>
              <w:top w:w="56" w:type="dxa"/>
              <w:left w:w="110" w:type="dxa"/>
              <w:bottom w:w="56" w:type="dxa"/>
              <w:right w:w="110" w:type="dxa"/>
              <w:start w:w="78" w:type="dxa"/>
              <w:end w:w="78" w:type="dxa"/>
            </w:tcMar>
            <w:vAlign w:val="center"/>
          </w:tcPr>
          <w:p w14:paraId="7499B93B">
            <w:pPr>
              <w:keepLines/>
              <w:spacing w:after="0" w:line="240" w:lineRule="auto" w:before="0"/>
              <w:ind w:firstLine="0"/>
              <w:jc w:val="center"/>
              <w:rPr>
                <w:rFonts w:hint="eastAsia"/>
              </w:rPr>
            </w:pPr>
            <w:r>
              <w:rPr>
                <w:rFonts w:ascii="宋体" w:hAnsi="宋体" w:eastAsia="宋体"/>
                <w:color w:val="263442"/>
                <w:sz w:val="17"/>
              </w:rPr>
              <w:t>100</w:t>
            </w:r>
          </w:p>
        </w:tc>
        <w:tc>
          <w:tcPr>
            <w:tcW w:w="1980" w:type="dxa"/>
            <w:tcMar>
              <w:top w:w="56" w:type="dxa"/>
              <w:left w:w="110" w:type="dxa"/>
              <w:bottom w:w="56" w:type="dxa"/>
              <w:right w:w="110" w:type="dxa"/>
              <w:start w:w="78" w:type="dxa"/>
              <w:end w:w="78" w:type="dxa"/>
            </w:tcMar>
            <w:vAlign w:val="center"/>
          </w:tcPr>
          <w:p w14:paraId="486405BE">
            <w:pPr>
              <w:keepLines/>
              <w:spacing w:after="0" w:line="240" w:lineRule="auto" w:before="0"/>
              <w:ind w:firstLine="0"/>
              <w:jc w:val="center"/>
              <w:rPr>
                <w:rFonts w:hint="eastAsia"/>
              </w:rPr>
            </w:pPr>
            <w:r>
              <w:rPr>
                <w:rFonts w:ascii="宋体" w:hAnsi="宋体" w:eastAsia="宋体"/>
                <w:color w:val="263442"/>
                <w:sz w:val="17"/>
              </w:rPr>
              <w:t>100.00</w:t>
            </w:r>
          </w:p>
        </w:tc>
      </w:tr>
    </w:tbl>
    <w:p w14:paraId="0508A1CA">
      <w:pPr>
        <w:spacing w:after="20"/>
        <w:rPr>
          <w:rFonts w:hint="eastAsia"/>
        </w:rPr>
      </w:pPr>
    </w:p>
    <w:p w14:paraId="37336A05">
      <w:pPr>
        <w:widowControl/>
        <w:spacing w:line="348" w:lineRule="auto" w:before="0" w:after="60"/>
        <w:ind w:firstLine="420"/>
        <w:jc w:val="both"/>
        <w:rPr>
          <w:rFonts w:hint="eastAsia"/>
        </w:rPr>
      </w:pPr>
      <w:r>
        <w:rPr>
          <w:rFonts w:ascii="宋体" w:hAnsi="宋体" w:eastAsia="宋体"/>
          <w:color w:val="263442"/>
          <w:sz w:val="21"/>
        </w:rPr>
        <w:t>主情景在1.30%风险上限下选择101家企业，预测评级 A/B/C/D 的入选数分别为63、38、0和0家；总额度严格等于1亿元，期望效益为142.90万元，风险损失本金尺度为130.00万元。最小授信为23.19万元，最大为100万元；共有2家入选企业未达到100万元上限，说明在该主情景下风险约束对边界企业的额度分配产生了调整。</w:t>
      </w:r>
    </w:p>
    <w:p w14:paraId="4A771F07">
      <w:pPr>
        <w:keepNext/>
        <w:keepLines/>
        <w:spacing w:before="100" w:after="40"/>
        <w:ind w:firstLine="0"/>
        <w:jc w:val="center"/>
        <w:rPr>
          <w:rFonts w:hint="eastAsia"/>
        </w:rPr>
      </w:pPr>
      <w:r>
        <w:drawing>
          <wp:inline distT="0" distB="0" distL="114300" distR="114300">
            <wp:extent cx="5303520" cy="3626747"/>
            <wp:effectExtent l="0" t="0" r="0" b="0"/>
            <wp:docPr id="4" name="图7 风险上限变化下的组合风险—效益前沿" descr="图7 风险上限变化下的组合风险—效益前沿" title="图7 风险上限变化下的组合风险—效益前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问题二风险上限变化下的组合风险—效益前沿" title="图4  问题二风险上限变化下的组合风险—效益前沿"/>
                    <pic:cNvPicPr>
                      <a:picLocks noChangeAspect="1"/>
                    </pic:cNvPicPr>
                  </pic:nvPicPr>
                  <pic:blipFill>
                    <a:blip r:embed="rId18"/>
                    <a:stretch>
                      <a:fillRect/>
                    </a:stretch>
                  </pic:blipFill>
                  <pic:spPr>
                    <a:xfrm>
                      <a:off x="0" y="0"/>
                      <a:ext cx="5303520" cy="3626747"/>
                    </a:xfrm>
                    <a:prstGeom prst="rect">
                      <a:avLst/>
                    </a:prstGeom>
                  </pic:spPr>
                </pic:pic>
              </a:graphicData>
            </a:graphic>
          </wp:inline>
        </w:drawing>
      </w:r>
    </w:p>
    <w:p w14:paraId="56EE27E2">
      <w:pPr>
        <w:pStyle w:val="15"/>
        <w:keepNext w:val="0"/>
        <w:keepLines/>
        <w:spacing w:before="40" w:after="120"/>
        <w:ind w:firstLine="0"/>
        <w:jc w:val="center"/>
        <w:rPr>
          <w:rFonts w:hint="eastAsia"/>
        </w:rPr>
      </w:pPr>
      <w:r>
        <w:rPr>
          <w:rFonts w:ascii="宋体" w:hAnsi="宋体" w:eastAsia="宋体"/>
          <w:color w:val="536273"/>
          <w:sz w:val="18"/>
        </w:rPr>
        <w:t>图7 问题二风险上限变化下的组合风险—效益前沿。局部框放大1.30%主方案至1.34%平台段，用于辨识主方案附近的边际效益与约束转折；不表示新增样本、插值结果或第二套模型。</w:t>
      </w:r>
    </w:p>
    <w:p w14:paraId="097CE8DD">
      <w:pPr>
        <w:widowControl/>
        <w:spacing w:line="348" w:lineRule="auto" w:before="0" w:after="60"/>
        <w:ind w:firstLine="420"/>
        <w:jc w:val="both"/>
        <w:rPr>
          <w:rFonts w:hint="eastAsia"/>
        </w:rPr>
      </w:pPr>
      <w:r>
        <w:rPr>
          <w:rFonts w:ascii="宋体" w:hAnsi="宋体" w:eastAsia="宋体"/>
          <w:color w:val="263442"/>
          <w:sz w:val="21"/>
        </w:rPr>
        <w:t>该局部框仅放大已有五个风险上限方案中的主方案邻域与平台段，不增加数据点或重新拟合曲线。风险上限从1.28%提高至1.34%时，期望效益由140.02万元增至144.91万元；超过1.34%后曲线变平，表明风险约束不再是活跃约束。以1.34%情景为比较基准，选择1.30%作为主情景少获得约2.01万元名义效益，并将风险损失本金尺度由133.37万元降至130.00万元；表8显示入选数由100家变为101家。</w:t>
      </w:r>
    </w:p>
    <w:p w14:paraId="17FE1F02">
      <w:pPr>
        <w:pStyle w:val="3"/>
        <w:keepNext/>
        <w:keepLines/>
        <w:spacing w:before="280" w:after="140"/>
        <w:ind w:firstLine="0"/>
      </w:pPr>
      <w:r>
        <w:rPr>
          <w:rFonts w:ascii="微软雅黑" w:hAnsi="微软雅黑" w:eastAsia="微软雅黑"/>
          <w:b/>
          <w:color w:val="17324D"/>
          <w:sz w:val="31"/>
        </w:rPr>
        <w:t>6  问题三：突发事件下的鲁棒信贷策略</w:t>
      </w:r>
    </w:p>
    <w:p w14:paraId="0AF85676">
      <w:pPr>
        <w:pStyle w:val="4"/>
        <w:keepNext/>
        <w:keepLines/>
        <w:spacing w:before="200" w:after="80"/>
        <w:ind w:firstLine="0"/>
      </w:pPr>
      <w:r>
        <w:rPr>
          <w:rFonts w:ascii="微软雅黑" w:hAnsi="微软雅黑" w:eastAsia="微软雅黑"/>
          <w:b/>
          <w:color w:val="2878B5"/>
          <w:sz w:val="25"/>
        </w:rPr>
        <w:t>6.1  发票经营脆弱度</w:t>
      </w:r>
    </w:p>
    <w:p w14:paraId="7419B253">
      <w:pPr>
        <w:widowControl/>
        <w:spacing w:line="348" w:lineRule="auto" w:before="0" w:after="60"/>
        <w:ind w:firstLine="420"/>
        <w:jc w:val="both"/>
        <w:rPr>
          <w:rFonts w:hint="eastAsia"/>
        </w:rPr>
      </w:pPr>
      <w:r>
        <w:rPr>
          <w:rFonts w:ascii="宋体" w:hAnsi="宋体" w:eastAsia="宋体"/>
          <w:color w:val="263442"/>
          <w:sz w:val="21"/>
        </w:rPr>
        <w:t>附件缺少行业类别、地区、疫情暴露和实际冲击损失，若直接套用外部行业系数会产生无法核验的企业级影响。为保持情景设定与附件证据一致，本文仅以附件内可观察的经营韧性构造脆弱度：销项月度波动、销售近期下滑、客户 HHI、供应商 HHI、销项负数率和低活跃度分别进行百分位排序后等权平均。</w:t>
      </w:r>
    </w:p>
    <w:p w14:paraId="18DB029B">
      <w:pPr>
        <w:widowControl/>
        <w:spacing w:before="0" w:line="348" w:lineRule="auto" w:after="60"/>
        <w:ind w:firstLine="420"/>
        <w:jc w:val="both"/>
        <w:rPr>
          <w:rFonts w:hint="eastAsia"/>
        </w:rPr>
      </w:pPr>
      <w:r>
        <w:rPr>
          <w:rFonts w:ascii="宋体" w:hAnsi="宋体" w:eastAsia="宋体"/>
          <w:color w:val="263442"/>
          <w:sz w:val="21"/>
        </w:rPr>
        <w:t>vᵢ = [P(CVᵢ)+1−P(gᵢ)+P(HHIˢᵢ)+P(HHIᵖᵢ)+P(negᵢ)+1−P(activeᵢ)]/6    （8）</w:t>
      </w:r>
      <w:r>
        <w:rPr>
          <w:rFonts w:ascii="宋体" w:hAnsi="宋体" w:eastAsia="宋体"/>
          <w:color w:val="263442"/>
          <w:sz w:val="21"/>
        </w:rPr>
        <w:t>各情景的效益与风险尺度见表9。三档压力情景下的组合效益见图9。经营脆弱度的构成及其向压力通道的传导关系如图8所示。</w:t>
      </w:r>
    </w:p>
    <w:p w14:paraId="24FFAFE1">
      <w:pPr>
        <w:keepNext/>
        <w:keepLines/>
        <w:spacing w:before="100" w:after="40"/>
        <w:ind w:firstLine="0"/>
        <w:jc w:val="center"/>
        <w:rPr>
          <w:rFonts w:hint="eastAsia"/>
        </w:rPr>
      </w:pPr>
      <w:r>
        <w:drawing>
          <wp:inline distT="0" distB="0" distL="0" distR="0">
            <wp:extent cx="5577840" cy="3333660"/>
            <wp:effectExtent l="0" t="0" r="0" b="0"/>
            <wp:docPr id="11" name="图8 疫情冲击在模型中的传导路径" descr="图8 疫情冲击在模型中的传导路径" title="图8 疫情冲击在模型中的传导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577840" cy="3333660"/>
                    </a:xfrm>
                    <a:prstGeom prst="rect">
                      <a:avLst/>
                    </a:prstGeom>
                  </pic:spPr>
                </pic:pic>
              </a:graphicData>
            </a:graphic>
          </wp:inline>
        </w:drawing>
      </w:r>
    </w:p>
    <w:p w14:paraId="000B0DBA">
      <w:pPr>
        <w:pStyle w:val="15"/>
        <w:keepNext w:val="0"/>
        <w:keepLines/>
        <w:spacing w:before="40" w:after="120"/>
        <w:ind w:firstLine="0"/>
        <w:jc w:val="center"/>
        <w:rPr>
          <w:rFonts w:hint="eastAsia"/>
        </w:rPr>
      </w:pPr>
      <w:r>
        <w:rPr>
          <w:rFonts w:ascii="宋体" w:hAnsi="宋体" w:eastAsia="宋体"/>
          <w:color w:val="536273"/>
          <w:sz w:val="18"/>
        </w:rPr>
        <w:t>图8 经营脆弱度、压力参数与鲁棒决策的传导链。数据与逻辑来源：§6.1—§6.2、式（8）—（11）。</w:t>
      </w:r>
    </w:p>
    <w:p w14:paraId="431A5AE2">
      <w:pPr>
        <w:pStyle w:val="4"/>
        <w:keepNext/>
        <w:keepLines/>
        <w:spacing w:before="200" w:after="80"/>
        <w:ind w:firstLine="0"/>
      </w:pPr>
      <w:r>
        <w:rPr>
          <w:rFonts w:ascii="微软雅黑" w:hAnsi="微软雅黑" w:eastAsia="微软雅黑"/>
          <w:b/>
          <w:color w:val="2878B5"/>
          <w:sz w:val="25"/>
        </w:rPr>
        <w:t>6.2  压力情景与 maximin 模型</w:t>
      </w:r>
    </w:p>
    <w:p w14:paraId="651D606D">
      <w:pPr>
        <w:widowControl/>
        <w:spacing w:line="348" w:lineRule="auto" w:before="0" w:after="60"/>
        <w:ind w:firstLine="420"/>
        <w:jc w:val="both"/>
        <w:rPr>
          <w:rFonts w:hint="eastAsia"/>
        </w:rPr>
      </w:pPr>
      <w:r>
        <w:rPr>
          <w:rFonts w:ascii="宋体" w:hAnsi="宋体" w:eastAsia="宋体"/>
          <w:color w:val="263442"/>
          <w:sz w:val="21"/>
        </w:rPr>
        <w:t>设情景强度参数 δₛ 分别为0.15、0.50、1.00，客户留存冲击 γₛ 分别为0.05、0.15、0.30。风险损失尺度按脆弱度相对放大，留存率按脆弱度下降：</w:t>
      </w:r>
    </w:p>
    <w:p w14:paraId="33091249">
      <w:pPr>
        <w:widowControl/>
        <w:spacing w:before="0" w:line="348" w:lineRule="auto" w:after="60"/>
        <w:ind w:firstLine="420"/>
        <w:jc w:val="both"/>
        <w:rPr>
          <w:rFonts w:hint="eastAsia"/>
        </w:rPr>
      </w:pPr>
      <w:r>
        <w:rPr>
          <w:rFonts w:ascii="宋体" w:hAnsi="宋体" w:eastAsia="宋体"/>
          <w:color w:val="263442"/>
          <w:sz w:val="21"/>
        </w:rPr>
        <w:t>ρᵢs = min{1, ρᵢ(1+δₛvᵢ)},    qᵢs(r)=[1−ℓᵢ(r)](1−γₛvᵢ)    （9）</w:t>
      </w:r>
    </w:p>
    <w:p w14:paraId="7E0F4871">
      <w:pPr>
        <w:widowControl/>
        <w:spacing w:before="0" w:line="348" w:lineRule="auto" w:after="60"/>
        <w:ind w:firstLine="420"/>
        <w:jc w:val="both"/>
        <w:rPr>
          <w:rFonts w:hint="eastAsia"/>
        </w:rPr>
      </w:pPr>
      <w:r>
        <w:rPr>
          <w:rFonts w:ascii="宋体" w:hAnsi="宋体" w:eastAsia="宋体"/>
          <w:color w:val="263442"/>
          <w:sz w:val="21"/>
        </w:rPr>
        <w:t>uᵢs(r) = [r−LGD·ρᵢs] qᵢs(r)    （10）</w:t>
      </w:r>
    </w:p>
    <w:p w14:paraId="2B5B13A8">
      <w:pPr>
        <w:widowControl/>
        <w:spacing w:line="348" w:lineRule="auto" w:before="0" w:after="60"/>
        <w:ind w:firstLine="420"/>
        <w:jc w:val="both"/>
        <w:rPr>
          <w:rFonts w:hint="eastAsia"/>
        </w:rPr>
      </w:pPr>
      <w:r>
        <w:rPr>
          <w:rFonts w:ascii="宋体" w:hAnsi="宋体" w:eastAsia="宋体"/>
          <w:color w:val="263442"/>
          <w:sz w:val="21"/>
        </w:rPr>
        <w:t>式（9）在既有脆弱度 vᵢ 和压力参数 δₛ、γₛ 下，分别得到情景 s 中的风险损失尺度 ρᵢs 与客户留存率 qᵢs(r)；式（10）据此计算该情景、该利率下的单位贷款效益 uᵢs(r)。</w:t>
      </w:r>
    </w:p>
    <w:p w14:paraId="600DF091">
      <w:pPr>
        <w:widowControl/>
        <w:spacing w:line="348" w:lineRule="auto" w:before="0" w:after="60"/>
        <w:ind w:firstLine="420"/>
        <w:jc w:val="both"/>
        <w:rPr>
          <w:rFonts w:hint="eastAsia"/>
        </w:rPr>
      </w:pPr>
      <w:r>
        <w:rPr>
          <w:rFonts w:ascii="宋体" w:hAnsi="宋体" w:eastAsia="宋体"/>
          <w:color w:val="263442"/>
          <w:sz w:val="21"/>
        </w:rPr>
        <w:t>仍在附件3给出的29个既有利率点中，为每家企业选择使最坏情景单位效益最大的利率。利率确定后，式（11）中的 uᵢs 与 qᵢs 均表示该已选利率处的既有取值。组合层以同一组授信额度 xᵢ 同时面对全部情景：辅助变量 z 被每个情景的总效益上界约束，最大化 z 因而实现原有的 maximin 目标；风险约束继续采用全部情景中的最大既有风险项，预算与风险上限保持原表达。该设计寻求的是给定压力集下的最坏情景保障，而非对压力发生概率的估计。全局 SHAP 风险方向重要性见图10。</w:t>
      </w:r>
    </w:p>
    <w:p w14:paraId="11D2D108">
      <w:pPr>
        <w:widowControl/>
        <w:spacing w:before="0" w:line="348" w:lineRule="auto" w:after="60"/>
        <w:ind w:firstLine="420"/>
        <w:jc w:val="both"/>
        <w:rPr>
          <w:rFonts w:hint="eastAsia"/>
        </w:rPr>
      </w:pPr>
      <w:r>
        <w:rPr>
          <w:rFonts w:ascii="宋体" w:hAnsi="宋体" w:eastAsia="宋体"/>
          <w:color w:val="263442"/>
          <w:sz w:val="21"/>
        </w:rPr>
        <w:t>max z,    s.t. z≤Σᵢuᵢs xᵢ  (∀s),  Σᵢxᵢ=10⁸,  Σᵢmaxₛ{ρᵢs qᵢs}xᵢ≤1.3×10⁶    （11）</w:t>
      </w:r>
    </w:p>
    <w:p w14:paraId="5FA9D807">
      <w:pPr>
        <w:pStyle w:val="15"/>
        <w:keepNext/>
        <w:keepLines/>
        <w:spacing w:before="40" w:after="120"/>
        <w:ind w:firstLine="0"/>
        <w:jc w:val="center"/>
        <w:rPr>
          <w:rFonts w:hint="eastAsia"/>
        </w:rPr>
      </w:pPr>
      <w:r>
        <w:rPr>
          <w:rFonts w:ascii="宋体" w:hAnsi="宋体" w:eastAsia="宋体"/>
          <w:color w:val="536273"/>
          <w:sz w:val="18"/>
        </w:rPr>
        <w:t>表9  三档压力情景下的鲁棒组合结果</w:t>
      </w:r>
    </w:p>
    <w:tbl>
      <w:tblPr>
        <w:tblStyle w:val="33"/>
        <w:tblW w:w="9180" w:type="dxa"/>
        <w:jc w:val="center"/>
        <w:tblBorders>
          <w:top w:val="single" w:color="AAB8C6" w:sz="4" w:space="0"/>
          <w:left w:val="single" w:color="AAB8C6" w:sz="4" w:space="0"/>
          <w:bottom w:val="single" w:color="AAB8C6" w:sz="4" w:space="0"/>
          <w:right w:val="single" w:color="AAB8C6" w:sz="4" w:space="0"/>
          <w:insideH w:val="single" w:color="AAB8C6" w:sz="4" w:space="0"/>
          <w:insideV w:val="single" w:color="AAB8C6" w:sz="4" w:space="0"/>
        </w:tblBorders>
        <w:tblLayout w:type="autofit"/>
        <w:tblCellMar>
          <w:top w:w="0" w:type="dxa"/>
          <w:left w:w="108" w:type="dxa"/>
          <w:bottom w:w="0" w:type="dxa"/>
          <w:right w:w="108" w:type="dxa"/>
        </w:tblCellMar>
      </w:tblPr>
      <w:tblGrid>
        <w:gridCol w:w="1700"/>
        <w:gridCol w:w="2500"/>
        <w:gridCol w:w="2500"/>
        <w:gridCol w:w="2480"/>
      </w:tblGrid>
      <w:tr w14:paraId="3C30D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1700" w:type="dxa"/>
            <w:tcMar>
              <w:top w:w="56" w:type="dxa"/>
              <w:left w:w="110" w:type="dxa"/>
              <w:bottom w:w="56" w:type="dxa"/>
              <w:right w:w="110" w:type="dxa"/>
              <w:start w:w="78" w:type="dxa"/>
              <w:end w:w="78" w:type="dxa"/>
            </w:tcMar>
            <w:vAlign w:val="center"/>
            <w:shd w:val="clear" w:color="auto" w:fill="EAF0F6"/>
          </w:tcPr>
          <w:p w14:paraId="11D16042">
            <w:pPr>
              <w:keepNext/>
              <w:keepLines/>
              <w:spacing w:after="0" w:before="0" w:line="240" w:lineRule="auto"/>
              <w:jc w:val="center"/>
              <w:rPr>
                <w:rFonts w:hint="eastAsia"/>
              </w:rPr>
            </w:pPr>
            <w:r>
              <w:rPr>
                <w:rFonts w:ascii="宋体" w:hAnsi="宋体" w:eastAsia="宋体"/>
                <w:b/>
                <w:color w:val="263442"/>
                <w:sz w:val="17"/>
              </w:rPr>
              <w:t>情景</w:t>
            </w:r>
          </w:p>
        </w:tc>
        <w:tc>
          <w:tcPr>
            <w:tcW w:w="2500" w:type="dxa"/>
            <w:tcMar>
              <w:top w:w="56" w:type="dxa"/>
              <w:left w:w="110" w:type="dxa"/>
              <w:bottom w:w="56" w:type="dxa"/>
              <w:right w:w="110" w:type="dxa"/>
              <w:start w:w="78" w:type="dxa"/>
              <w:end w:w="78" w:type="dxa"/>
            </w:tcMar>
            <w:vAlign w:val="center"/>
            <w:shd w:val="clear" w:color="auto" w:fill="EAF0F6"/>
          </w:tcPr>
          <w:p w14:paraId="2866840B">
            <w:pPr>
              <w:keepNext/>
              <w:keepLines/>
              <w:spacing w:after="0" w:before="0" w:line="240" w:lineRule="auto"/>
              <w:jc w:val="center"/>
              <w:rPr>
                <w:rFonts w:hint="eastAsia"/>
              </w:rPr>
            </w:pPr>
            <w:r>
              <w:rPr>
                <w:rFonts w:ascii="宋体" w:hAnsi="宋体" w:eastAsia="宋体"/>
                <w:b/>
                <w:color w:val="263442"/>
                <w:sz w:val="17"/>
              </w:rPr>
              <w:t>组合效益/万元</w:t>
            </w:r>
          </w:p>
        </w:tc>
        <w:tc>
          <w:tcPr>
            <w:tcW w:w="2500" w:type="dxa"/>
            <w:tcMar>
              <w:top w:w="56" w:type="dxa"/>
              <w:left w:w="110" w:type="dxa"/>
              <w:bottom w:w="56" w:type="dxa"/>
              <w:right w:w="110" w:type="dxa"/>
              <w:start w:w="78" w:type="dxa"/>
              <w:end w:w="78" w:type="dxa"/>
            </w:tcMar>
            <w:vAlign w:val="center"/>
            <w:shd w:val="clear" w:color="auto" w:fill="EAF0F6"/>
          </w:tcPr>
          <w:p w14:paraId="7FE45915">
            <w:pPr>
              <w:keepNext/>
              <w:keepLines/>
              <w:spacing w:after="0" w:before="0" w:line="240" w:lineRule="auto"/>
              <w:jc w:val="center"/>
              <w:rPr>
                <w:rFonts w:hint="eastAsia"/>
              </w:rPr>
            </w:pPr>
            <w:r>
              <w:rPr>
                <w:rFonts w:ascii="宋体" w:hAnsi="宋体" w:eastAsia="宋体"/>
                <w:b/>
                <w:color w:val="263442"/>
                <w:sz w:val="17"/>
              </w:rPr>
              <w:t>风险尺度/万元</w:t>
            </w:r>
          </w:p>
        </w:tc>
        <w:tc>
          <w:tcPr>
            <w:tcW w:w="2480" w:type="dxa"/>
            <w:tcMar>
              <w:top w:w="56" w:type="dxa"/>
              <w:left w:w="110" w:type="dxa"/>
              <w:bottom w:w="56" w:type="dxa"/>
              <w:right w:w="110" w:type="dxa"/>
              <w:start w:w="78" w:type="dxa"/>
              <w:end w:w="78" w:type="dxa"/>
            </w:tcMar>
            <w:vAlign w:val="center"/>
            <w:shd w:val="clear" w:color="auto" w:fill="EAF0F6"/>
          </w:tcPr>
          <w:p w14:paraId="763A7895">
            <w:pPr>
              <w:keepNext/>
              <w:keepLines/>
              <w:spacing w:after="0" w:before="0" w:line="240" w:lineRule="auto"/>
              <w:jc w:val="center"/>
              <w:rPr>
                <w:rFonts w:hint="eastAsia"/>
              </w:rPr>
            </w:pPr>
            <w:r>
              <w:rPr>
                <w:rFonts w:ascii="宋体" w:hAnsi="宋体" w:eastAsia="宋体"/>
                <w:b/>
                <w:color w:val="263442"/>
                <w:sz w:val="17"/>
              </w:rPr>
              <w:t>最坏效益约束</w:t>
            </w:r>
          </w:p>
        </w:tc>
      </w:tr>
      <w:tr w14:paraId="2A97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700" w:type="dxa"/>
            <w:tcMar>
              <w:top w:w="56" w:type="dxa"/>
              <w:left w:w="110" w:type="dxa"/>
              <w:bottom w:w="56" w:type="dxa"/>
              <w:right w:w="110" w:type="dxa"/>
              <w:start w:w="78" w:type="dxa"/>
              <w:end w:w="78" w:type="dxa"/>
            </w:tcMar>
            <w:vAlign w:val="center"/>
          </w:tcPr>
          <w:p w14:paraId="381BB657">
            <w:pPr>
              <w:keepLines/>
              <w:spacing w:after="0" w:line="240" w:lineRule="auto" w:before="0"/>
              <w:ind w:firstLine="0"/>
              <w:jc w:val="left"/>
              <w:rPr>
                <w:rFonts w:hint="eastAsia"/>
              </w:rPr>
            </w:pPr>
            <w:r>
              <w:rPr>
                <w:rFonts w:ascii="宋体" w:hAnsi="宋体" w:eastAsia="宋体"/>
                <w:color w:val="263442"/>
                <w:sz w:val="17"/>
              </w:rPr>
              <w:t>轻度</w:t>
            </w:r>
          </w:p>
        </w:tc>
        <w:tc>
          <w:tcPr>
            <w:tcW w:w="2500" w:type="dxa"/>
            <w:tcMar>
              <w:top w:w="56" w:type="dxa"/>
              <w:left w:w="110" w:type="dxa"/>
              <w:bottom w:w="56" w:type="dxa"/>
              <w:right w:w="110" w:type="dxa"/>
              <w:start w:w="78" w:type="dxa"/>
              <w:end w:w="78" w:type="dxa"/>
            </w:tcMar>
            <w:vAlign w:val="center"/>
          </w:tcPr>
          <w:p w14:paraId="1A2EED71">
            <w:pPr>
              <w:keepLines/>
              <w:spacing w:after="0" w:line="240" w:lineRule="auto" w:before="0"/>
              <w:ind w:firstLine="0"/>
              <w:jc w:val="center"/>
              <w:rPr>
                <w:rFonts w:hint="eastAsia"/>
              </w:rPr>
            </w:pPr>
            <w:r>
              <w:rPr>
                <w:rFonts w:ascii="宋体" w:hAnsi="宋体" w:eastAsia="宋体"/>
                <w:color w:val="263442"/>
                <w:sz w:val="17"/>
              </w:rPr>
              <w:t>132.46</w:t>
            </w:r>
          </w:p>
        </w:tc>
        <w:tc>
          <w:tcPr>
            <w:tcW w:w="2500" w:type="dxa"/>
            <w:tcMar>
              <w:top w:w="56" w:type="dxa"/>
              <w:left w:w="110" w:type="dxa"/>
              <w:bottom w:w="56" w:type="dxa"/>
              <w:right w:w="110" w:type="dxa"/>
              <w:start w:w="78" w:type="dxa"/>
              <w:end w:w="78" w:type="dxa"/>
            </w:tcMar>
            <w:vAlign w:val="center"/>
          </w:tcPr>
          <w:p w14:paraId="1557C69E">
            <w:pPr>
              <w:keepLines/>
              <w:spacing w:after="0" w:line="240" w:lineRule="auto" w:before="0"/>
              <w:ind w:firstLine="0"/>
              <w:jc w:val="center"/>
              <w:rPr>
                <w:rFonts w:hint="eastAsia"/>
              </w:rPr>
            </w:pPr>
            <w:r>
              <w:rPr>
                <w:rFonts w:ascii="宋体" w:hAnsi="宋体" w:eastAsia="宋体"/>
                <w:color w:val="263442"/>
                <w:sz w:val="17"/>
              </w:rPr>
              <w:t>107.51</w:t>
            </w:r>
          </w:p>
        </w:tc>
        <w:tc>
          <w:tcPr>
            <w:tcW w:w="2480" w:type="dxa"/>
            <w:tcMar>
              <w:top w:w="56" w:type="dxa"/>
              <w:left w:w="110" w:type="dxa"/>
              <w:bottom w:w="56" w:type="dxa"/>
              <w:right w:w="110" w:type="dxa"/>
              <w:start w:w="78" w:type="dxa"/>
              <w:end w:w="78" w:type="dxa"/>
            </w:tcMar>
            <w:vAlign w:val="center"/>
          </w:tcPr>
          <w:p w14:paraId="636B6893">
            <w:pPr>
              <w:keepLines/>
              <w:spacing w:after="0" w:line="240" w:lineRule="auto" w:before="0"/>
              <w:ind w:firstLine="0"/>
              <w:jc w:val="center"/>
              <w:rPr>
                <w:rFonts w:hint="eastAsia"/>
              </w:rPr>
            </w:pPr>
            <w:r>
              <w:rPr>
                <w:rFonts w:ascii="宋体" w:hAnsi="宋体" w:eastAsia="宋体"/>
                <w:color w:val="263442"/>
                <w:sz w:val="17"/>
              </w:rPr>
              <w:t>非活跃</w:t>
            </w:r>
          </w:p>
        </w:tc>
      </w:tr>
      <w:tr w14:paraId="74913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700" w:type="dxa"/>
            <w:tcMar>
              <w:top w:w="56" w:type="dxa"/>
              <w:left w:w="110" w:type="dxa"/>
              <w:bottom w:w="56" w:type="dxa"/>
              <w:right w:w="110" w:type="dxa"/>
              <w:start w:w="78" w:type="dxa"/>
              <w:end w:w="78" w:type="dxa"/>
            </w:tcMar>
            <w:vAlign w:val="center"/>
            <w:shd w:val="clear" w:color="auto" w:fill="F7F9FB"/>
          </w:tcPr>
          <w:p w14:paraId="17C8BB40">
            <w:pPr>
              <w:keepLines/>
              <w:spacing w:after="0" w:line="240" w:lineRule="auto" w:before="0"/>
              <w:ind w:firstLine="0"/>
              <w:jc w:val="left"/>
              <w:rPr>
                <w:rFonts w:hint="eastAsia"/>
              </w:rPr>
            </w:pPr>
            <w:r>
              <w:rPr>
                <w:rFonts w:ascii="宋体" w:hAnsi="宋体" w:eastAsia="宋体"/>
                <w:color w:val="263442"/>
                <w:sz w:val="17"/>
              </w:rPr>
              <w:t>中度</w:t>
            </w:r>
          </w:p>
        </w:tc>
        <w:tc>
          <w:tcPr>
            <w:tcW w:w="2500" w:type="dxa"/>
            <w:tcMar>
              <w:top w:w="56" w:type="dxa"/>
              <w:left w:w="110" w:type="dxa"/>
              <w:bottom w:w="56" w:type="dxa"/>
              <w:right w:w="110" w:type="dxa"/>
              <w:start w:w="78" w:type="dxa"/>
              <w:end w:w="78" w:type="dxa"/>
            </w:tcMar>
            <w:vAlign w:val="center"/>
            <w:shd w:val="clear" w:color="auto" w:fill="F7F9FB"/>
          </w:tcPr>
          <w:p w14:paraId="0AC43B87">
            <w:pPr>
              <w:keepLines/>
              <w:spacing w:after="0" w:line="240" w:lineRule="auto" w:before="0"/>
              <w:ind w:firstLine="0"/>
              <w:jc w:val="center"/>
              <w:rPr>
                <w:rFonts w:hint="eastAsia"/>
              </w:rPr>
            </w:pPr>
            <w:r>
              <w:rPr>
                <w:rFonts w:ascii="宋体" w:hAnsi="宋体" w:eastAsia="宋体"/>
                <w:color w:val="263442"/>
                <w:sz w:val="17"/>
              </w:rPr>
              <w:t>114.75</w:t>
            </w:r>
          </w:p>
        </w:tc>
        <w:tc>
          <w:tcPr>
            <w:tcW w:w="2500" w:type="dxa"/>
            <w:tcMar>
              <w:top w:w="56" w:type="dxa"/>
              <w:left w:w="110" w:type="dxa"/>
              <w:bottom w:w="56" w:type="dxa"/>
              <w:right w:w="110" w:type="dxa"/>
              <w:start w:w="78" w:type="dxa"/>
              <w:end w:w="78" w:type="dxa"/>
            </w:tcMar>
            <w:vAlign w:val="center"/>
            <w:shd w:val="clear" w:color="auto" w:fill="F7F9FB"/>
          </w:tcPr>
          <w:p w14:paraId="252C6324">
            <w:pPr>
              <w:keepLines/>
              <w:spacing w:after="0" w:line="240" w:lineRule="auto" w:before="0"/>
              <w:ind w:firstLine="0"/>
              <w:jc w:val="center"/>
              <w:rPr>
                <w:rFonts w:hint="eastAsia"/>
              </w:rPr>
            </w:pPr>
            <w:r>
              <w:rPr>
                <w:rFonts w:ascii="宋体" w:hAnsi="宋体" w:eastAsia="宋体"/>
                <w:color w:val="263442"/>
                <w:sz w:val="17"/>
              </w:rPr>
              <w:t>116.12</w:t>
            </w:r>
          </w:p>
        </w:tc>
        <w:tc>
          <w:tcPr>
            <w:tcW w:w="2480" w:type="dxa"/>
            <w:tcMar>
              <w:top w:w="56" w:type="dxa"/>
              <w:left w:w="110" w:type="dxa"/>
              <w:bottom w:w="56" w:type="dxa"/>
              <w:right w:w="110" w:type="dxa"/>
              <w:start w:w="78" w:type="dxa"/>
              <w:end w:w="78" w:type="dxa"/>
            </w:tcMar>
            <w:vAlign w:val="center"/>
            <w:shd w:val="clear" w:color="auto" w:fill="F7F9FB"/>
          </w:tcPr>
          <w:p w14:paraId="32E41F4A">
            <w:pPr>
              <w:keepLines/>
              <w:spacing w:after="0" w:line="240" w:lineRule="auto" w:before="0"/>
              <w:ind w:firstLine="0"/>
              <w:jc w:val="center"/>
              <w:rPr>
                <w:rFonts w:hint="eastAsia"/>
              </w:rPr>
            </w:pPr>
            <w:r>
              <w:rPr>
                <w:rFonts w:ascii="宋体" w:hAnsi="宋体" w:eastAsia="宋体"/>
                <w:color w:val="263442"/>
                <w:sz w:val="17"/>
              </w:rPr>
              <w:t>非活跃</w:t>
            </w:r>
          </w:p>
        </w:tc>
      </w:tr>
      <w:tr w14:paraId="298D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700" w:type="dxa"/>
            <w:tcMar>
              <w:top w:w="56" w:type="dxa"/>
              <w:left w:w="110" w:type="dxa"/>
              <w:bottom w:w="56" w:type="dxa"/>
              <w:right w:w="110" w:type="dxa"/>
              <w:start w:w="78" w:type="dxa"/>
              <w:end w:w="78" w:type="dxa"/>
            </w:tcMar>
            <w:vAlign w:val="center"/>
          </w:tcPr>
          <w:p w14:paraId="01157669">
            <w:pPr>
              <w:keepLines/>
              <w:spacing w:after="0" w:line="240" w:lineRule="auto" w:before="0"/>
              <w:ind w:firstLine="0"/>
              <w:jc w:val="left"/>
              <w:rPr>
                <w:rFonts w:hint="eastAsia"/>
              </w:rPr>
            </w:pPr>
            <w:r>
              <w:rPr>
                <w:rFonts w:ascii="宋体" w:hAnsi="宋体" w:eastAsia="宋体"/>
                <w:color w:val="263442"/>
                <w:sz w:val="17"/>
              </w:rPr>
              <w:t>重度</w:t>
            </w:r>
          </w:p>
        </w:tc>
        <w:tc>
          <w:tcPr>
            <w:tcW w:w="2500" w:type="dxa"/>
            <w:tcMar>
              <w:top w:w="56" w:type="dxa"/>
              <w:left w:w="110" w:type="dxa"/>
              <w:bottom w:w="56" w:type="dxa"/>
              <w:right w:w="110" w:type="dxa"/>
              <w:start w:w="78" w:type="dxa"/>
              <w:end w:w="78" w:type="dxa"/>
            </w:tcMar>
            <w:vAlign w:val="center"/>
          </w:tcPr>
          <w:p w14:paraId="2F6C4408">
            <w:pPr>
              <w:keepLines/>
              <w:spacing w:after="0" w:line="240" w:lineRule="auto" w:before="0"/>
              <w:ind w:firstLine="0"/>
              <w:jc w:val="center"/>
              <w:rPr>
                <w:rFonts w:hint="eastAsia"/>
              </w:rPr>
            </w:pPr>
            <w:r>
              <w:rPr>
                <w:rFonts w:ascii="宋体" w:hAnsi="宋体" w:eastAsia="宋体"/>
                <w:color w:val="263442"/>
                <w:sz w:val="17"/>
              </w:rPr>
              <w:t>90.99</w:t>
            </w:r>
          </w:p>
        </w:tc>
        <w:tc>
          <w:tcPr>
            <w:tcW w:w="2500" w:type="dxa"/>
            <w:tcMar>
              <w:top w:w="56" w:type="dxa"/>
              <w:left w:w="110" w:type="dxa"/>
              <w:bottom w:w="56" w:type="dxa"/>
              <w:right w:w="110" w:type="dxa"/>
              <w:start w:w="78" w:type="dxa"/>
              <w:end w:w="78" w:type="dxa"/>
            </w:tcMar>
            <w:vAlign w:val="center"/>
          </w:tcPr>
          <w:p w14:paraId="677AAEFD">
            <w:pPr>
              <w:keepLines/>
              <w:spacing w:after="0" w:line="240" w:lineRule="auto" w:before="0"/>
              <w:ind w:firstLine="0"/>
              <w:jc w:val="center"/>
              <w:rPr>
                <w:rFonts w:hint="eastAsia"/>
              </w:rPr>
            </w:pPr>
            <w:r>
              <w:rPr>
                <w:rFonts w:ascii="宋体" w:hAnsi="宋体" w:eastAsia="宋体"/>
                <w:color w:val="263442"/>
                <w:sz w:val="17"/>
              </w:rPr>
              <w:t>126.22</w:t>
            </w:r>
          </w:p>
        </w:tc>
        <w:tc>
          <w:tcPr>
            <w:tcW w:w="2480" w:type="dxa"/>
            <w:tcMar>
              <w:top w:w="56" w:type="dxa"/>
              <w:left w:w="110" w:type="dxa"/>
              <w:bottom w:w="56" w:type="dxa"/>
              <w:right w:w="110" w:type="dxa"/>
              <w:start w:w="78" w:type="dxa"/>
              <w:end w:w="78" w:type="dxa"/>
            </w:tcMar>
            <w:vAlign w:val="center"/>
          </w:tcPr>
          <w:p w14:paraId="6897FB35">
            <w:pPr>
              <w:keepLines/>
              <w:spacing w:after="0" w:line="240" w:lineRule="auto" w:before="0"/>
              <w:ind w:firstLine="0"/>
              <w:jc w:val="center"/>
              <w:rPr>
                <w:rFonts w:hint="eastAsia"/>
              </w:rPr>
            </w:pPr>
            <w:r>
              <w:rPr>
                <w:rFonts w:ascii="宋体" w:hAnsi="宋体" w:eastAsia="宋体"/>
                <w:color w:val="263442"/>
                <w:sz w:val="17"/>
              </w:rPr>
              <w:t>活跃</w:t>
            </w:r>
          </w:p>
        </w:tc>
      </w:tr>
    </w:tbl>
    <w:p w14:paraId="2528E56E">
      <w:pPr>
        <w:spacing w:after="20"/>
        <w:rPr>
          <w:rFonts w:hint="eastAsia"/>
        </w:rPr>
      </w:pPr>
    </w:p>
    <w:p w14:paraId="2CF66D40">
      <w:pPr>
        <w:widowControl/>
        <w:spacing w:line="348" w:lineRule="auto" w:before="0" w:after="60"/>
        <w:ind w:firstLine="420"/>
        <w:jc w:val="both"/>
        <w:rPr>
          <w:rFonts w:hint="eastAsia"/>
        </w:rPr>
      </w:pPr>
      <w:r>
        <w:rPr>
          <w:rFonts w:ascii="宋体" w:hAnsi="宋体" w:eastAsia="宋体"/>
          <w:color w:val="263442"/>
          <w:sz w:val="21"/>
        </w:rPr>
        <w:t>鲁棒策略在轻度、中度和重度压力下的组合效益分别为132.46万元、114.75万元和90.99万元，重度情景构成 maximin 的活跃约束。三种情景的风险损失尺度均未超过130万元；主鲁棒组合选择100家企业并使用全部1亿元预算。随着压力增强，违约损失尺度和客户流失共同压缩单位效益，稳健利率的贷款加权均值提高到13.554%，仍受15%上限约束。该变化是给定压力参数下的风险补偿决策响应，不被解释为对真实市场利率的预测。前十项全局 SHAP 风险方向贡献见表10。</w:t>
      </w:r>
    </w:p>
    <w:p w14:paraId="04CA0440">
      <w:pPr>
        <w:keepNext/>
        <w:keepLines/>
        <w:spacing w:before="100" w:after="40"/>
        <w:ind w:firstLine="0"/>
        <w:jc w:val="center"/>
        <w:rPr>
          <w:rFonts w:hint="eastAsia"/>
        </w:rPr>
      </w:pPr>
      <w:r>
        <w:drawing>
          <wp:inline distT="0" distB="0" distL="114300" distR="114300">
            <wp:extent cx="5303520" cy="3592260"/>
            <wp:effectExtent l="0" t="0" r="0" b="0"/>
            <wp:docPr id="5" name="图9 不同情景下的组合收益与损失" descr="图9 不同情景下的组合收益与损失" title="图9 不同情景下的组合收益与损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  鲁棒组合在轻度、中度与重度压力下的年度效益" title="图5  鲁棒组合在轻度、中度与重度压力下的年度效益"/>
                    <pic:cNvPicPr>
                      <a:picLocks noChangeAspect="1"/>
                    </pic:cNvPicPr>
                  </pic:nvPicPr>
                  <pic:blipFill>
                    <a:blip r:embed="rId20"/>
                    <a:stretch>
                      <a:fillRect/>
                    </a:stretch>
                  </pic:blipFill>
                  <pic:spPr>
                    <a:xfrm>
                      <a:off x="0" y="0"/>
                      <a:ext cx="5303520" cy="3592260"/>
                    </a:xfrm>
                    <a:prstGeom prst="rect">
                      <a:avLst/>
                    </a:prstGeom>
                  </pic:spPr>
                </pic:pic>
              </a:graphicData>
            </a:graphic>
          </wp:inline>
        </w:drawing>
      </w:r>
    </w:p>
    <w:p w14:paraId="5511B01D">
      <w:pPr>
        <w:pStyle w:val="15"/>
        <w:keepNext w:val="0"/>
        <w:keepLines/>
        <w:spacing w:before="40" w:after="120"/>
        <w:ind w:firstLine="0"/>
        <w:jc w:val="center"/>
        <w:rPr>
          <w:rFonts w:hint="eastAsia"/>
        </w:rPr>
      </w:pPr>
      <w:r>
        <w:rPr>
          <w:rFonts w:ascii="宋体" w:hAnsi="宋体" w:eastAsia="宋体"/>
          <w:color w:val="536273"/>
          <w:sz w:val="18"/>
        </w:rPr>
        <w:t>图9  鲁棒组合在轻度（mild）、中度（moderate）与重度（severe）压力下的年度效益</w:t>
      </w:r>
    </w:p>
    <w:p w14:paraId="229E3076">
      <w:pPr>
        <w:pStyle w:val="3"/>
        <w:keepNext/>
        <w:keepLines/>
        <w:spacing w:before="280" w:after="140"/>
        <w:ind w:firstLine="0"/>
      </w:pPr>
      <w:r>
        <w:rPr>
          <w:rFonts w:ascii="微软雅黑" w:hAnsi="微软雅黑" w:eastAsia="微软雅黑"/>
          <w:b/>
          <w:color w:val="17324D"/>
          <w:sz w:val="31"/>
        </w:rPr>
        <w:t>7  模型解释、敏感性与稳健性</w:t>
      </w:r>
    </w:p>
    <w:p w14:paraId="29B5F63C">
      <w:pPr>
        <w:pStyle w:val="4"/>
        <w:keepNext/>
        <w:keepLines/>
        <w:spacing w:before="200" w:after="80"/>
        <w:ind w:firstLine="0"/>
      </w:pPr>
      <w:r>
        <w:rPr>
          <w:rFonts w:ascii="微软雅黑" w:hAnsi="微软雅黑" w:eastAsia="微软雅黑"/>
          <w:b/>
          <w:color w:val="2878B5"/>
          <w:sz w:val="25"/>
        </w:rPr>
        <w:t>7.1  SHAP 全局与局部解释</w:t>
      </w:r>
    </w:p>
    <w:p w14:paraId="44B42DB2">
      <w:pPr>
        <w:widowControl/>
        <w:spacing w:line="348" w:lineRule="auto" w:before="0" w:after="60"/>
        <w:ind w:firstLine="420"/>
        <w:jc w:val="both"/>
        <w:rPr>
          <w:rFonts w:hint="eastAsia"/>
        </w:rPr>
      </w:pPr>
      <w:r>
        <w:rPr>
          <w:rFonts w:ascii="宋体" w:hAnsi="宋体" w:eastAsia="宋体"/>
          <w:color w:val="263442"/>
          <w:sz w:val="21"/>
        </w:rPr>
        <w:t>TreeSHAP 只解释融合模型中的 XGBoost 分量。对四类 SHAP 值按 CRI 的0、1/3、2/3、1严重度方向加权，得到特征对“风险方向”的贡献；全局重要性取该方向贡献的平均绝对值，局部解释则列出高风险企业中推动 CRI 上升的前三个变量。该解释用于说明已训练模型如何利用特征，不用于证明特征与真实违约之间的因果关系。</w:t>
      </w:r>
    </w:p>
    <w:p w14:paraId="4F49CD98">
      <w:pPr>
        <w:pStyle w:val="15"/>
        <w:keepNext/>
        <w:keepLines/>
        <w:spacing w:before="40" w:after="120"/>
        <w:ind w:firstLine="0"/>
        <w:jc w:val="center"/>
        <w:rPr>
          <w:rFonts w:hint="eastAsia"/>
        </w:rPr>
      </w:pPr>
      <w:r>
        <w:rPr>
          <w:rFonts w:ascii="宋体" w:hAnsi="宋体" w:eastAsia="宋体"/>
          <w:color w:val="536273"/>
          <w:sz w:val="18"/>
        </w:rPr>
        <w:t>表10  XGBoost 分量的全局 SHAP 风险方向贡献</w:t>
      </w:r>
    </w:p>
    <w:tbl>
      <w:tblPr>
        <w:tblStyle w:val="33"/>
        <w:tblW w:w="9180" w:type="dxa"/>
        <w:jc w:val="center"/>
        <w:tblBorders>
          <w:top w:val="single" w:color="AAB8C6" w:sz="4" w:space="0"/>
          <w:left w:val="single" w:color="AAB8C6" w:sz="4" w:space="0"/>
          <w:bottom w:val="single" w:color="AAB8C6" w:sz="4" w:space="0"/>
          <w:right w:val="single" w:color="AAB8C6" w:sz="4" w:space="0"/>
          <w:insideH w:val="single" w:color="AAB8C6" w:sz="4" w:space="0"/>
          <w:insideV w:val="single" w:color="AAB8C6" w:sz="4" w:space="0"/>
        </w:tblBorders>
        <w:tblLayout w:type="autofit"/>
        <w:tblCellMar>
          <w:top w:w="0" w:type="dxa"/>
          <w:left w:w="108" w:type="dxa"/>
          <w:bottom w:w="0" w:type="dxa"/>
          <w:right w:w="108" w:type="dxa"/>
        </w:tblCellMar>
      </w:tblPr>
      <w:tblGrid>
        <w:gridCol w:w="1000"/>
        <w:gridCol w:w="3600"/>
        <w:gridCol w:w="2500"/>
        <w:gridCol w:w="2080"/>
      </w:tblGrid>
      <w:tr w14:paraId="181B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1000" w:type="dxa"/>
            <w:tcMar>
              <w:top w:w="56" w:type="dxa"/>
              <w:left w:w="110" w:type="dxa"/>
              <w:bottom w:w="56" w:type="dxa"/>
              <w:right w:w="110" w:type="dxa"/>
              <w:start w:w="78" w:type="dxa"/>
              <w:end w:w="78" w:type="dxa"/>
            </w:tcMar>
            <w:vAlign w:val="center"/>
            <w:shd w:val="clear" w:color="auto" w:fill="EAF0F6"/>
          </w:tcPr>
          <w:p w14:paraId="5D612871">
            <w:pPr>
              <w:keepNext/>
              <w:keepLines/>
              <w:spacing w:after="0" w:before="0" w:line="240" w:lineRule="auto"/>
              <w:jc w:val="center"/>
              <w:rPr>
                <w:rFonts w:hint="eastAsia"/>
              </w:rPr>
            </w:pPr>
            <w:r>
              <w:rPr>
                <w:rFonts w:ascii="宋体" w:hAnsi="宋体" w:eastAsia="宋体"/>
                <w:b/>
                <w:color w:val="263442"/>
                <w:sz w:val="17"/>
              </w:rPr>
              <w:t>排名</w:t>
            </w:r>
          </w:p>
        </w:tc>
        <w:tc>
          <w:tcPr>
            <w:tcW w:w="3600" w:type="dxa"/>
            <w:tcMar>
              <w:top w:w="56" w:type="dxa"/>
              <w:left w:w="110" w:type="dxa"/>
              <w:bottom w:w="56" w:type="dxa"/>
              <w:right w:w="110" w:type="dxa"/>
              <w:start w:w="78" w:type="dxa"/>
              <w:end w:w="78" w:type="dxa"/>
            </w:tcMar>
            <w:vAlign w:val="center"/>
            <w:shd w:val="clear" w:color="auto" w:fill="EAF0F6"/>
          </w:tcPr>
          <w:p w14:paraId="73596A4A">
            <w:pPr>
              <w:keepNext/>
              <w:keepLines/>
              <w:spacing w:after="0" w:before="0" w:line="240" w:lineRule="auto"/>
              <w:jc w:val="center"/>
              <w:rPr>
                <w:rFonts w:hint="eastAsia"/>
              </w:rPr>
            </w:pPr>
            <w:r>
              <w:rPr>
                <w:rFonts w:ascii="宋体" w:hAnsi="宋体" w:eastAsia="宋体"/>
                <w:b/>
                <w:color w:val="263442"/>
                <w:sz w:val="17"/>
              </w:rPr>
              <w:t>特征</w:t>
            </w:r>
          </w:p>
        </w:tc>
        <w:tc>
          <w:tcPr>
            <w:tcW w:w="2500" w:type="dxa"/>
            <w:tcMar>
              <w:top w:w="56" w:type="dxa"/>
              <w:left w:w="110" w:type="dxa"/>
              <w:bottom w:w="56" w:type="dxa"/>
              <w:right w:w="110" w:type="dxa"/>
              <w:start w:w="78" w:type="dxa"/>
              <w:end w:w="78" w:type="dxa"/>
            </w:tcMar>
            <w:vAlign w:val="center"/>
            <w:shd w:val="clear" w:color="auto" w:fill="EAF0F6"/>
          </w:tcPr>
          <w:p w14:paraId="484F80A9">
            <w:pPr>
              <w:keepNext/>
              <w:keepLines/>
              <w:spacing w:after="0" w:before="0" w:line="240" w:lineRule="auto"/>
              <w:jc w:val="center"/>
              <w:rPr>
                <w:rFonts w:hint="eastAsia"/>
              </w:rPr>
            </w:pPr>
            <w:r>
              <w:rPr>
                <w:rFonts w:ascii="宋体" w:hAnsi="宋体" w:eastAsia="宋体"/>
                <w:b/>
                <w:color w:val="263442"/>
                <w:sz w:val="17"/>
              </w:rPr>
              <w:t>平均绝对风险贡献</w:t>
            </w:r>
          </w:p>
        </w:tc>
        <w:tc>
          <w:tcPr>
            <w:tcW w:w="2080" w:type="dxa"/>
            <w:tcMar>
              <w:top w:w="56" w:type="dxa"/>
              <w:left w:w="110" w:type="dxa"/>
              <w:bottom w:w="56" w:type="dxa"/>
              <w:right w:w="110" w:type="dxa"/>
              <w:start w:w="78" w:type="dxa"/>
              <w:end w:w="78" w:type="dxa"/>
            </w:tcMar>
            <w:vAlign w:val="center"/>
            <w:shd w:val="clear" w:color="auto" w:fill="EAF0F6"/>
          </w:tcPr>
          <w:p w14:paraId="2D079CE7">
            <w:pPr>
              <w:keepNext/>
              <w:keepLines/>
              <w:spacing w:after="0" w:before="0" w:line="240" w:lineRule="auto"/>
              <w:jc w:val="center"/>
              <w:rPr>
                <w:rFonts w:hint="eastAsia"/>
              </w:rPr>
            </w:pPr>
            <w:r>
              <w:rPr>
                <w:rFonts w:ascii="宋体" w:hAnsi="宋体" w:eastAsia="宋体"/>
                <w:b/>
                <w:color w:val="263442"/>
                <w:sz w:val="17"/>
              </w:rPr>
              <w:t>平均方向贡献</w:t>
            </w:r>
          </w:p>
        </w:tc>
      </w:tr>
      <w:tr w14:paraId="4ED4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00" w:type="dxa"/>
            <w:tcMar>
              <w:top w:w="56" w:type="dxa"/>
              <w:left w:w="110" w:type="dxa"/>
              <w:bottom w:w="56" w:type="dxa"/>
              <w:right w:w="110" w:type="dxa"/>
              <w:start w:w="78" w:type="dxa"/>
              <w:end w:w="78" w:type="dxa"/>
            </w:tcMar>
            <w:vAlign w:val="center"/>
          </w:tcPr>
          <w:p w14:paraId="5F8EB0D1">
            <w:pPr>
              <w:keepLines/>
              <w:spacing w:after="0" w:line="240" w:lineRule="auto" w:before="0"/>
              <w:ind w:firstLine="0"/>
              <w:jc w:val="left"/>
              <w:rPr>
                <w:rFonts w:hint="eastAsia"/>
              </w:rPr>
            </w:pPr>
            <w:r>
              <w:rPr>
                <w:rFonts w:ascii="宋体" w:hAnsi="宋体" w:eastAsia="宋体"/>
                <w:color w:val="263442"/>
                <w:sz w:val="17"/>
              </w:rPr>
              <w:t>1</w:t>
            </w:r>
          </w:p>
        </w:tc>
        <w:tc>
          <w:tcPr>
            <w:tcW w:w="3600" w:type="dxa"/>
            <w:tcMar>
              <w:top w:w="56" w:type="dxa"/>
              <w:left w:w="110" w:type="dxa"/>
              <w:bottom w:w="56" w:type="dxa"/>
              <w:right w:w="110" w:type="dxa"/>
              <w:start w:w="78" w:type="dxa"/>
              <w:end w:w="78" w:type="dxa"/>
            </w:tcMar>
            <w:vAlign w:val="center"/>
          </w:tcPr>
          <w:p w14:paraId="00223193">
            <w:pPr>
              <w:keepLines/>
              <w:spacing w:after="0" w:line="240" w:lineRule="auto" w:before="0"/>
              <w:ind w:firstLine="0"/>
              <w:jc w:val="center"/>
              <w:rPr>
                <w:rFonts w:hint="eastAsia"/>
              </w:rPr>
            </w:pPr>
            <w:r>
              <w:rPr>
                <w:rFonts w:ascii="宋体" w:hAnsi="宋体" w:eastAsia="宋体"/>
                <w:color w:val="263442"/>
                <w:sz w:val="17"/>
              </w:rPr>
              <w:t>销项净额规模</w:t>
            </w:r>
          </w:p>
        </w:tc>
        <w:tc>
          <w:tcPr>
            <w:tcW w:w="2500" w:type="dxa"/>
            <w:tcMar>
              <w:top w:w="56" w:type="dxa"/>
              <w:left w:w="110" w:type="dxa"/>
              <w:bottom w:w="56" w:type="dxa"/>
              <w:right w:w="110" w:type="dxa"/>
              <w:start w:w="78" w:type="dxa"/>
              <w:end w:w="78" w:type="dxa"/>
            </w:tcMar>
            <w:vAlign w:val="center"/>
          </w:tcPr>
          <w:p w14:paraId="3AD47A3E">
            <w:pPr>
              <w:keepLines/>
              <w:spacing w:after="0" w:line="240" w:lineRule="auto" w:before="0"/>
              <w:ind w:firstLine="0"/>
              <w:jc w:val="center"/>
              <w:rPr>
                <w:rFonts w:hint="eastAsia"/>
              </w:rPr>
            </w:pPr>
            <w:r>
              <w:rPr>
                <w:rFonts w:ascii="宋体" w:hAnsi="宋体" w:eastAsia="宋体"/>
                <w:color w:val="263442"/>
                <w:sz w:val="17"/>
              </w:rPr>
              <w:t>0.5311</w:t>
            </w:r>
          </w:p>
        </w:tc>
        <w:tc>
          <w:tcPr>
            <w:tcW w:w="2080" w:type="dxa"/>
            <w:tcMar>
              <w:top w:w="56" w:type="dxa"/>
              <w:left w:w="110" w:type="dxa"/>
              <w:bottom w:w="56" w:type="dxa"/>
              <w:right w:w="110" w:type="dxa"/>
              <w:start w:w="78" w:type="dxa"/>
              <w:end w:w="78" w:type="dxa"/>
            </w:tcMar>
            <w:vAlign w:val="center"/>
          </w:tcPr>
          <w:p w14:paraId="04626BF4">
            <w:pPr>
              <w:keepLines/>
              <w:spacing w:after="0" w:line="240" w:lineRule="auto" w:before="0"/>
              <w:ind w:firstLine="0"/>
              <w:jc w:val="center"/>
              <w:rPr>
                <w:rFonts w:hint="eastAsia"/>
              </w:rPr>
            </w:pPr>
            <w:r>
              <w:rPr>
                <w:rFonts w:ascii="宋体" w:hAnsi="宋体" w:eastAsia="宋体"/>
                <w:color w:val="263442"/>
                <w:sz w:val="17"/>
              </w:rPr>
              <w:t>-0.2015</w:t>
            </w:r>
          </w:p>
        </w:tc>
      </w:tr>
      <w:tr w14:paraId="2C5AF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00" w:type="dxa"/>
            <w:tcMar>
              <w:top w:w="56" w:type="dxa"/>
              <w:left w:w="110" w:type="dxa"/>
              <w:bottom w:w="56" w:type="dxa"/>
              <w:right w:w="110" w:type="dxa"/>
              <w:start w:w="78" w:type="dxa"/>
              <w:end w:w="78" w:type="dxa"/>
            </w:tcMar>
            <w:vAlign w:val="center"/>
            <w:shd w:val="clear" w:color="auto" w:fill="F7F9FB"/>
          </w:tcPr>
          <w:p w14:paraId="3AD58D43">
            <w:pPr>
              <w:keepLines/>
              <w:spacing w:after="0" w:line="240" w:lineRule="auto" w:before="0"/>
              <w:ind w:firstLine="0"/>
              <w:jc w:val="left"/>
              <w:rPr>
                <w:rFonts w:hint="eastAsia"/>
              </w:rPr>
            </w:pPr>
            <w:r>
              <w:rPr>
                <w:rFonts w:ascii="宋体" w:hAnsi="宋体" w:eastAsia="宋体"/>
                <w:color w:val="263442"/>
                <w:sz w:val="17"/>
              </w:rPr>
              <w:t>2</w:t>
            </w:r>
          </w:p>
        </w:tc>
        <w:tc>
          <w:tcPr>
            <w:tcW w:w="3600" w:type="dxa"/>
            <w:tcMar>
              <w:top w:w="56" w:type="dxa"/>
              <w:left w:w="110" w:type="dxa"/>
              <w:bottom w:w="56" w:type="dxa"/>
              <w:right w:w="110" w:type="dxa"/>
              <w:start w:w="78" w:type="dxa"/>
              <w:end w:w="78" w:type="dxa"/>
            </w:tcMar>
            <w:vAlign w:val="center"/>
            <w:shd w:val="clear" w:color="auto" w:fill="F7F9FB"/>
          </w:tcPr>
          <w:p w14:paraId="2D99123E">
            <w:pPr>
              <w:keepLines/>
              <w:spacing w:after="0" w:line="240" w:lineRule="auto" w:before="0"/>
              <w:ind w:firstLine="0"/>
              <w:jc w:val="center"/>
              <w:rPr>
                <w:rFonts w:hint="eastAsia"/>
              </w:rPr>
            </w:pPr>
            <w:r>
              <w:rPr>
                <w:rFonts w:ascii="宋体" w:hAnsi="宋体" w:eastAsia="宋体"/>
                <w:color w:val="263442"/>
                <w:sz w:val="17"/>
              </w:rPr>
              <w:t>销项正额规模</w:t>
            </w:r>
          </w:p>
        </w:tc>
        <w:tc>
          <w:tcPr>
            <w:tcW w:w="2500" w:type="dxa"/>
            <w:tcMar>
              <w:top w:w="56" w:type="dxa"/>
              <w:left w:w="110" w:type="dxa"/>
              <w:bottom w:w="56" w:type="dxa"/>
              <w:right w:w="110" w:type="dxa"/>
              <w:start w:w="78" w:type="dxa"/>
              <w:end w:w="78" w:type="dxa"/>
            </w:tcMar>
            <w:vAlign w:val="center"/>
            <w:shd w:val="clear" w:color="auto" w:fill="F7F9FB"/>
          </w:tcPr>
          <w:p w14:paraId="645D9243">
            <w:pPr>
              <w:keepLines/>
              <w:spacing w:after="0" w:line="240" w:lineRule="auto" w:before="0"/>
              <w:ind w:firstLine="0"/>
              <w:jc w:val="center"/>
              <w:rPr>
                <w:rFonts w:hint="eastAsia"/>
              </w:rPr>
            </w:pPr>
            <w:r>
              <w:rPr>
                <w:rFonts w:ascii="宋体" w:hAnsi="宋体" w:eastAsia="宋体"/>
                <w:color w:val="263442"/>
                <w:sz w:val="17"/>
              </w:rPr>
              <w:t>0.3367</w:t>
            </w:r>
          </w:p>
        </w:tc>
        <w:tc>
          <w:tcPr>
            <w:tcW w:w="2080" w:type="dxa"/>
            <w:tcMar>
              <w:top w:w="56" w:type="dxa"/>
              <w:left w:w="110" w:type="dxa"/>
              <w:bottom w:w="56" w:type="dxa"/>
              <w:right w:w="110" w:type="dxa"/>
              <w:start w:w="78" w:type="dxa"/>
              <w:end w:w="78" w:type="dxa"/>
            </w:tcMar>
            <w:vAlign w:val="center"/>
            <w:shd w:val="clear" w:color="auto" w:fill="F7F9FB"/>
          </w:tcPr>
          <w:p w14:paraId="74C107F4">
            <w:pPr>
              <w:keepLines/>
              <w:spacing w:after="0" w:line="240" w:lineRule="auto" w:before="0"/>
              <w:ind w:firstLine="0"/>
              <w:jc w:val="center"/>
              <w:rPr>
                <w:rFonts w:hint="eastAsia"/>
              </w:rPr>
            </w:pPr>
            <w:r>
              <w:rPr>
                <w:rFonts w:ascii="宋体" w:hAnsi="宋体" w:eastAsia="宋体"/>
                <w:color w:val="263442"/>
                <w:sz w:val="17"/>
              </w:rPr>
              <w:t>-0.1811</w:t>
            </w:r>
          </w:p>
        </w:tc>
      </w:tr>
      <w:tr w14:paraId="2B398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00" w:type="dxa"/>
            <w:tcMar>
              <w:top w:w="56" w:type="dxa"/>
              <w:left w:w="110" w:type="dxa"/>
              <w:bottom w:w="56" w:type="dxa"/>
              <w:right w:w="110" w:type="dxa"/>
              <w:start w:w="78" w:type="dxa"/>
              <w:end w:w="78" w:type="dxa"/>
            </w:tcMar>
            <w:vAlign w:val="center"/>
          </w:tcPr>
          <w:p w14:paraId="3A17CF88">
            <w:pPr>
              <w:keepLines/>
              <w:spacing w:after="0" w:line="240" w:lineRule="auto" w:before="0"/>
              <w:ind w:firstLine="0"/>
              <w:jc w:val="left"/>
              <w:rPr>
                <w:rFonts w:hint="eastAsia"/>
              </w:rPr>
            </w:pPr>
            <w:r>
              <w:rPr>
                <w:rFonts w:ascii="宋体" w:hAnsi="宋体" w:eastAsia="宋体"/>
                <w:color w:val="263442"/>
                <w:sz w:val="17"/>
              </w:rPr>
              <w:t>3</w:t>
            </w:r>
          </w:p>
        </w:tc>
        <w:tc>
          <w:tcPr>
            <w:tcW w:w="3600" w:type="dxa"/>
            <w:tcMar>
              <w:top w:w="56" w:type="dxa"/>
              <w:left w:w="110" w:type="dxa"/>
              <w:bottom w:w="56" w:type="dxa"/>
              <w:right w:w="110" w:type="dxa"/>
              <w:start w:w="78" w:type="dxa"/>
              <w:end w:w="78" w:type="dxa"/>
            </w:tcMar>
            <w:vAlign w:val="center"/>
          </w:tcPr>
          <w:p w14:paraId="3E8157FE">
            <w:pPr>
              <w:keepLines/>
              <w:spacing w:after="0" w:line="240" w:lineRule="auto" w:before="0"/>
              <w:ind w:firstLine="0"/>
              <w:jc w:val="center"/>
              <w:rPr>
                <w:rFonts w:hint="eastAsia"/>
              </w:rPr>
            </w:pPr>
            <w:r>
              <w:rPr>
                <w:rFonts w:ascii="宋体" w:hAnsi="宋体" w:eastAsia="宋体"/>
                <w:color w:val="263442"/>
                <w:sz w:val="17"/>
              </w:rPr>
              <w:t>近12月销项规模</w:t>
            </w:r>
          </w:p>
        </w:tc>
        <w:tc>
          <w:tcPr>
            <w:tcW w:w="2500" w:type="dxa"/>
            <w:tcMar>
              <w:top w:w="56" w:type="dxa"/>
              <w:left w:w="110" w:type="dxa"/>
              <w:bottom w:w="56" w:type="dxa"/>
              <w:right w:w="110" w:type="dxa"/>
              <w:start w:w="78" w:type="dxa"/>
              <w:end w:w="78" w:type="dxa"/>
            </w:tcMar>
            <w:vAlign w:val="center"/>
          </w:tcPr>
          <w:p w14:paraId="03197EF9">
            <w:pPr>
              <w:keepLines/>
              <w:spacing w:after="0" w:line="240" w:lineRule="auto" w:before="0"/>
              <w:ind w:firstLine="0"/>
              <w:jc w:val="center"/>
              <w:rPr>
                <w:rFonts w:hint="eastAsia"/>
              </w:rPr>
            </w:pPr>
            <w:r>
              <w:rPr>
                <w:rFonts w:ascii="宋体" w:hAnsi="宋体" w:eastAsia="宋体"/>
                <w:color w:val="263442"/>
                <w:sz w:val="17"/>
              </w:rPr>
              <w:t>0.3007</w:t>
            </w:r>
          </w:p>
        </w:tc>
        <w:tc>
          <w:tcPr>
            <w:tcW w:w="2080" w:type="dxa"/>
            <w:tcMar>
              <w:top w:w="56" w:type="dxa"/>
              <w:left w:w="110" w:type="dxa"/>
              <w:bottom w:w="56" w:type="dxa"/>
              <w:right w:w="110" w:type="dxa"/>
              <w:start w:w="78" w:type="dxa"/>
              <w:end w:w="78" w:type="dxa"/>
            </w:tcMar>
            <w:vAlign w:val="center"/>
          </w:tcPr>
          <w:p w14:paraId="0428C5D1">
            <w:pPr>
              <w:keepLines/>
              <w:spacing w:after="0" w:line="240" w:lineRule="auto" w:before="0"/>
              <w:ind w:firstLine="0"/>
              <w:jc w:val="center"/>
              <w:rPr>
                <w:rFonts w:hint="eastAsia"/>
              </w:rPr>
            </w:pPr>
            <w:r>
              <w:rPr>
                <w:rFonts w:ascii="宋体" w:hAnsi="宋体" w:eastAsia="宋体"/>
                <w:color w:val="263442"/>
                <w:sz w:val="17"/>
              </w:rPr>
              <w:t>-0.1292</w:t>
            </w:r>
          </w:p>
        </w:tc>
      </w:tr>
      <w:tr w14:paraId="3D319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00" w:type="dxa"/>
            <w:tcMar>
              <w:top w:w="56" w:type="dxa"/>
              <w:left w:w="110" w:type="dxa"/>
              <w:bottom w:w="56" w:type="dxa"/>
              <w:right w:w="110" w:type="dxa"/>
              <w:start w:w="78" w:type="dxa"/>
              <w:end w:w="78" w:type="dxa"/>
            </w:tcMar>
            <w:vAlign w:val="center"/>
            <w:shd w:val="clear" w:color="auto" w:fill="F7F9FB"/>
          </w:tcPr>
          <w:p w14:paraId="5A20E388">
            <w:pPr>
              <w:keepLines/>
              <w:spacing w:after="0" w:line="240" w:lineRule="auto" w:before="0"/>
              <w:ind w:firstLine="0"/>
              <w:jc w:val="left"/>
              <w:rPr>
                <w:rFonts w:hint="eastAsia"/>
              </w:rPr>
            </w:pPr>
            <w:r>
              <w:rPr>
                <w:rFonts w:ascii="宋体" w:hAnsi="宋体" w:eastAsia="宋体"/>
                <w:color w:val="263442"/>
                <w:sz w:val="17"/>
              </w:rPr>
              <w:t>4</w:t>
            </w:r>
          </w:p>
        </w:tc>
        <w:tc>
          <w:tcPr>
            <w:tcW w:w="3600" w:type="dxa"/>
            <w:tcMar>
              <w:top w:w="56" w:type="dxa"/>
              <w:left w:w="110" w:type="dxa"/>
              <w:bottom w:w="56" w:type="dxa"/>
              <w:right w:w="110" w:type="dxa"/>
              <w:start w:w="78" w:type="dxa"/>
              <w:end w:w="78" w:type="dxa"/>
            </w:tcMar>
            <w:vAlign w:val="center"/>
            <w:shd w:val="clear" w:color="auto" w:fill="F7F9FB"/>
          </w:tcPr>
          <w:p w14:paraId="3AC5C670">
            <w:pPr>
              <w:keepLines/>
              <w:spacing w:after="0" w:line="240" w:lineRule="auto" w:before="0"/>
              <w:ind w:firstLine="0"/>
              <w:jc w:val="center"/>
              <w:rPr>
                <w:rFonts w:hint="eastAsia"/>
              </w:rPr>
            </w:pPr>
            <w:r>
              <w:rPr>
                <w:rFonts w:ascii="宋体" w:hAnsi="宋体" w:eastAsia="宋体"/>
                <w:color w:val="263442"/>
                <w:sz w:val="17"/>
              </w:rPr>
              <w:t>前5大客户占比</w:t>
            </w:r>
          </w:p>
        </w:tc>
        <w:tc>
          <w:tcPr>
            <w:tcW w:w="2500" w:type="dxa"/>
            <w:tcMar>
              <w:top w:w="56" w:type="dxa"/>
              <w:left w:w="110" w:type="dxa"/>
              <w:bottom w:w="56" w:type="dxa"/>
              <w:right w:w="110" w:type="dxa"/>
              <w:start w:w="78" w:type="dxa"/>
              <w:end w:w="78" w:type="dxa"/>
            </w:tcMar>
            <w:vAlign w:val="center"/>
            <w:shd w:val="clear" w:color="auto" w:fill="F7F9FB"/>
          </w:tcPr>
          <w:p w14:paraId="505A99BE">
            <w:pPr>
              <w:keepLines/>
              <w:spacing w:after="0" w:line="240" w:lineRule="auto" w:before="0"/>
              <w:ind w:firstLine="0"/>
              <w:jc w:val="center"/>
              <w:rPr>
                <w:rFonts w:hint="eastAsia"/>
              </w:rPr>
            </w:pPr>
            <w:r>
              <w:rPr>
                <w:rFonts w:ascii="宋体" w:hAnsi="宋体" w:eastAsia="宋体"/>
                <w:color w:val="263442"/>
                <w:sz w:val="17"/>
              </w:rPr>
              <w:t>0.2907</w:t>
            </w:r>
          </w:p>
        </w:tc>
        <w:tc>
          <w:tcPr>
            <w:tcW w:w="2080" w:type="dxa"/>
            <w:tcMar>
              <w:top w:w="56" w:type="dxa"/>
              <w:left w:w="110" w:type="dxa"/>
              <w:bottom w:w="56" w:type="dxa"/>
              <w:right w:w="110" w:type="dxa"/>
              <w:start w:w="78" w:type="dxa"/>
              <w:end w:w="78" w:type="dxa"/>
            </w:tcMar>
            <w:vAlign w:val="center"/>
            <w:shd w:val="clear" w:color="auto" w:fill="F7F9FB"/>
          </w:tcPr>
          <w:p w14:paraId="3EC8ECCF">
            <w:pPr>
              <w:keepLines/>
              <w:spacing w:after="0" w:line="240" w:lineRule="auto" w:before="0"/>
              <w:ind w:firstLine="0"/>
              <w:jc w:val="center"/>
              <w:rPr>
                <w:rFonts w:hint="eastAsia"/>
              </w:rPr>
            </w:pPr>
            <w:r>
              <w:rPr>
                <w:rFonts w:ascii="宋体" w:hAnsi="宋体" w:eastAsia="宋体"/>
                <w:color w:val="263442"/>
                <w:sz w:val="17"/>
              </w:rPr>
              <w:t>-0.0412</w:t>
            </w:r>
          </w:p>
        </w:tc>
      </w:tr>
      <w:tr w14:paraId="56FFC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00" w:type="dxa"/>
            <w:tcMar>
              <w:top w:w="56" w:type="dxa"/>
              <w:left w:w="110" w:type="dxa"/>
              <w:bottom w:w="56" w:type="dxa"/>
              <w:right w:w="110" w:type="dxa"/>
              <w:start w:w="78" w:type="dxa"/>
              <w:end w:w="78" w:type="dxa"/>
            </w:tcMar>
            <w:vAlign w:val="center"/>
          </w:tcPr>
          <w:p w14:paraId="31CB0F2E">
            <w:pPr>
              <w:keepLines/>
              <w:spacing w:after="0" w:line="240" w:lineRule="auto" w:before="0"/>
              <w:ind w:firstLine="0"/>
              <w:jc w:val="left"/>
              <w:rPr>
                <w:rFonts w:hint="eastAsia"/>
              </w:rPr>
            </w:pPr>
            <w:r>
              <w:rPr>
                <w:rFonts w:ascii="宋体" w:hAnsi="宋体" w:eastAsia="宋体"/>
                <w:color w:val="263442"/>
                <w:sz w:val="17"/>
              </w:rPr>
              <w:t>5</w:t>
            </w:r>
          </w:p>
        </w:tc>
        <w:tc>
          <w:tcPr>
            <w:tcW w:w="3600" w:type="dxa"/>
            <w:tcMar>
              <w:top w:w="56" w:type="dxa"/>
              <w:left w:w="110" w:type="dxa"/>
              <w:bottom w:w="56" w:type="dxa"/>
              <w:right w:w="110" w:type="dxa"/>
              <w:start w:w="78" w:type="dxa"/>
              <w:end w:w="78" w:type="dxa"/>
            </w:tcMar>
            <w:vAlign w:val="center"/>
          </w:tcPr>
          <w:p w14:paraId="5612184C">
            <w:pPr>
              <w:keepLines/>
              <w:spacing w:after="0" w:line="240" w:lineRule="auto" w:before="0"/>
              <w:ind w:firstLine="0"/>
              <w:jc w:val="center"/>
              <w:rPr>
                <w:rFonts w:hint="eastAsia"/>
              </w:rPr>
            </w:pPr>
            <w:r>
              <w:rPr>
                <w:rFonts w:ascii="宋体" w:hAnsi="宋体" w:eastAsia="宋体"/>
                <w:color w:val="263442"/>
                <w:sz w:val="17"/>
              </w:rPr>
              <w:t>客户集中度 HHI</w:t>
            </w:r>
          </w:p>
        </w:tc>
        <w:tc>
          <w:tcPr>
            <w:tcW w:w="2500" w:type="dxa"/>
            <w:tcMar>
              <w:top w:w="56" w:type="dxa"/>
              <w:left w:w="110" w:type="dxa"/>
              <w:bottom w:w="56" w:type="dxa"/>
              <w:right w:w="110" w:type="dxa"/>
              <w:start w:w="78" w:type="dxa"/>
              <w:end w:w="78" w:type="dxa"/>
            </w:tcMar>
            <w:vAlign w:val="center"/>
          </w:tcPr>
          <w:p w14:paraId="0F3B0B7B">
            <w:pPr>
              <w:keepLines/>
              <w:spacing w:after="0" w:line="240" w:lineRule="auto" w:before="0"/>
              <w:ind w:firstLine="0"/>
              <w:jc w:val="center"/>
              <w:rPr>
                <w:rFonts w:hint="eastAsia"/>
              </w:rPr>
            </w:pPr>
            <w:r>
              <w:rPr>
                <w:rFonts w:ascii="宋体" w:hAnsi="宋体" w:eastAsia="宋体"/>
                <w:color w:val="263442"/>
                <w:sz w:val="17"/>
              </w:rPr>
              <w:t>0.2096</w:t>
            </w:r>
          </w:p>
        </w:tc>
        <w:tc>
          <w:tcPr>
            <w:tcW w:w="2080" w:type="dxa"/>
            <w:tcMar>
              <w:top w:w="56" w:type="dxa"/>
              <w:left w:w="110" w:type="dxa"/>
              <w:bottom w:w="56" w:type="dxa"/>
              <w:right w:w="110" w:type="dxa"/>
              <w:start w:w="78" w:type="dxa"/>
              <w:end w:w="78" w:type="dxa"/>
            </w:tcMar>
            <w:vAlign w:val="center"/>
          </w:tcPr>
          <w:p w14:paraId="6734286D">
            <w:pPr>
              <w:keepLines/>
              <w:spacing w:after="0" w:line="240" w:lineRule="auto" w:before="0"/>
              <w:ind w:firstLine="0"/>
              <w:jc w:val="center"/>
              <w:rPr>
                <w:rFonts w:hint="eastAsia"/>
              </w:rPr>
            </w:pPr>
            <w:r>
              <w:rPr>
                <w:rFonts w:ascii="宋体" w:hAnsi="宋体" w:eastAsia="宋体"/>
                <w:color w:val="263442"/>
                <w:sz w:val="17"/>
              </w:rPr>
              <w:t>-0.0491</w:t>
            </w:r>
          </w:p>
        </w:tc>
      </w:tr>
      <w:tr w14:paraId="24056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00" w:type="dxa"/>
            <w:tcMar>
              <w:top w:w="56" w:type="dxa"/>
              <w:left w:w="110" w:type="dxa"/>
              <w:bottom w:w="56" w:type="dxa"/>
              <w:right w:w="110" w:type="dxa"/>
              <w:start w:w="78" w:type="dxa"/>
              <w:end w:w="78" w:type="dxa"/>
            </w:tcMar>
            <w:vAlign w:val="center"/>
            <w:shd w:val="clear" w:color="auto" w:fill="F7F9FB"/>
          </w:tcPr>
          <w:p w14:paraId="2D82FA76">
            <w:pPr>
              <w:keepLines/>
              <w:spacing w:after="0" w:line="240" w:lineRule="auto" w:before="0"/>
              <w:ind w:firstLine="0"/>
              <w:jc w:val="left"/>
              <w:rPr>
                <w:rFonts w:hint="eastAsia"/>
              </w:rPr>
            </w:pPr>
            <w:r>
              <w:rPr>
                <w:rFonts w:ascii="宋体" w:hAnsi="宋体" w:eastAsia="宋体"/>
                <w:color w:val="263442"/>
                <w:sz w:val="17"/>
              </w:rPr>
              <w:t>6</w:t>
            </w:r>
          </w:p>
        </w:tc>
        <w:tc>
          <w:tcPr>
            <w:tcW w:w="3600" w:type="dxa"/>
            <w:tcMar>
              <w:top w:w="56" w:type="dxa"/>
              <w:left w:w="110" w:type="dxa"/>
              <w:bottom w:w="56" w:type="dxa"/>
              <w:right w:w="110" w:type="dxa"/>
              <w:start w:w="78" w:type="dxa"/>
              <w:end w:w="78" w:type="dxa"/>
            </w:tcMar>
            <w:vAlign w:val="center"/>
            <w:shd w:val="clear" w:color="auto" w:fill="F7F9FB"/>
          </w:tcPr>
          <w:p w14:paraId="14CF4D12">
            <w:pPr>
              <w:keepLines/>
              <w:spacing w:after="0" w:line="240" w:lineRule="auto" w:before="0"/>
              <w:ind w:firstLine="0"/>
              <w:jc w:val="center"/>
              <w:rPr>
                <w:rFonts w:hint="eastAsia"/>
              </w:rPr>
            </w:pPr>
            <w:r>
              <w:rPr>
                <w:rFonts w:ascii="宋体" w:hAnsi="宋体" w:eastAsia="宋体"/>
                <w:color w:val="263442"/>
                <w:sz w:val="17"/>
              </w:rPr>
              <w:t>销项月度波动</w:t>
            </w:r>
          </w:p>
        </w:tc>
        <w:tc>
          <w:tcPr>
            <w:tcW w:w="2500" w:type="dxa"/>
            <w:tcMar>
              <w:top w:w="56" w:type="dxa"/>
              <w:left w:w="110" w:type="dxa"/>
              <w:bottom w:w="56" w:type="dxa"/>
              <w:right w:w="110" w:type="dxa"/>
              <w:start w:w="78" w:type="dxa"/>
              <w:end w:w="78" w:type="dxa"/>
            </w:tcMar>
            <w:vAlign w:val="center"/>
            <w:shd w:val="clear" w:color="auto" w:fill="F7F9FB"/>
          </w:tcPr>
          <w:p w14:paraId="6FCC7AF6">
            <w:pPr>
              <w:keepLines/>
              <w:spacing w:after="0" w:line="240" w:lineRule="auto" w:before="0"/>
              <w:ind w:firstLine="0"/>
              <w:jc w:val="center"/>
              <w:rPr>
                <w:rFonts w:hint="eastAsia"/>
              </w:rPr>
            </w:pPr>
            <w:r>
              <w:rPr>
                <w:rFonts w:ascii="宋体" w:hAnsi="宋体" w:eastAsia="宋体"/>
                <w:color w:val="263442"/>
                <w:sz w:val="17"/>
              </w:rPr>
              <w:t>0.1366</w:t>
            </w:r>
          </w:p>
        </w:tc>
        <w:tc>
          <w:tcPr>
            <w:tcW w:w="2080" w:type="dxa"/>
            <w:tcMar>
              <w:top w:w="56" w:type="dxa"/>
              <w:left w:w="110" w:type="dxa"/>
              <w:bottom w:w="56" w:type="dxa"/>
              <w:right w:w="110" w:type="dxa"/>
              <w:start w:w="78" w:type="dxa"/>
              <w:end w:w="78" w:type="dxa"/>
            </w:tcMar>
            <w:vAlign w:val="center"/>
            <w:shd w:val="clear" w:color="auto" w:fill="F7F9FB"/>
          </w:tcPr>
          <w:p w14:paraId="12961DE4">
            <w:pPr>
              <w:keepLines/>
              <w:spacing w:after="0" w:line="240" w:lineRule="auto" w:before="0"/>
              <w:ind w:firstLine="0"/>
              <w:jc w:val="center"/>
              <w:rPr>
                <w:rFonts w:hint="eastAsia"/>
              </w:rPr>
            </w:pPr>
            <w:r>
              <w:rPr>
                <w:rFonts w:ascii="宋体" w:hAnsi="宋体" w:eastAsia="宋体"/>
                <w:color w:val="263442"/>
                <w:sz w:val="17"/>
              </w:rPr>
              <w:t>-0.0720</w:t>
            </w:r>
          </w:p>
        </w:tc>
      </w:tr>
      <w:tr w14:paraId="518C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00" w:type="dxa"/>
            <w:tcMar>
              <w:top w:w="56" w:type="dxa"/>
              <w:left w:w="110" w:type="dxa"/>
              <w:bottom w:w="56" w:type="dxa"/>
              <w:right w:w="110" w:type="dxa"/>
              <w:start w:w="78" w:type="dxa"/>
              <w:end w:w="78" w:type="dxa"/>
            </w:tcMar>
            <w:vAlign w:val="center"/>
          </w:tcPr>
          <w:p w14:paraId="7DE5F22D">
            <w:pPr>
              <w:keepLines/>
              <w:spacing w:after="0" w:line="240" w:lineRule="auto" w:before="0"/>
              <w:ind w:firstLine="0"/>
              <w:jc w:val="left"/>
              <w:rPr>
                <w:rFonts w:hint="eastAsia"/>
              </w:rPr>
            </w:pPr>
            <w:r>
              <w:rPr>
                <w:rFonts w:ascii="宋体" w:hAnsi="宋体" w:eastAsia="宋体"/>
                <w:color w:val="263442"/>
                <w:sz w:val="17"/>
              </w:rPr>
              <w:t>7</w:t>
            </w:r>
          </w:p>
        </w:tc>
        <w:tc>
          <w:tcPr>
            <w:tcW w:w="3600" w:type="dxa"/>
            <w:tcMar>
              <w:top w:w="56" w:type="dxa"/>
              <w:left w:w="110" w:type="dxa"/>
              <w:bottom w:w="56" w:type="dxa"/>
              <w:right w:w="110" w:type="dxa"/>
              <w:start w:w="78" w:type="dxa"/>
              <w:end w:w="78" w:type="dxa"/>
            </w:tcMar>
            <w:vAlign w:val="center"/>
          </w:tcPr>
          <w:p w14:paraId="7988B37C">
            <w:pPr>
              <w:keepLines/>
              <w:spacing w:after="0" w:line="240" w:lineRule="auto" w:before="0"/>
              <w:ind w:firstLine="0"/>
              <w:jc w:val="center"/>
              <w:rPr>
                <w:rFonts w:hint="eastAsia"/>
              </w:rPr>
            </w:pPr>
            <w:r>
              <w:rPr>
                <w:rFonts w:ascii="宋体" w:hAnsi="宋体" w:eastAsia="宋体"/>
                <w:color w:val="263442"/>
                <w:sz w:val="17"/>
              </w:rPr>
              <w:t>销项发票数量</w:t>
            </w:r>
          </w:p>
        </w:tc>
        <w:tc>
          <w:tcPr>
            <w:tcW w:w="2500" w:type="dxa"/>
            <w:tcMar>
              <w:top w:w="56" w:type="dxa"/>
              <w:left w:w="110" w:type="dxa"/>
              <w:bottom w:w="56" w:type="dxa"/>
              <w:right w:w="110" w:type="dxa"/>
              <w:start w:w="78" w:type="dxa"/>
              <w:end w:w="78" w:type="dxa"/>
            </w:tcMar>
            <w:vAlign w:val="center"/>
          </w:tcPr>
          <w:p w14:paraId="0C5AA817">
            <w:pPr>
              <w:keepLines/>
              <w:spacing w:after="0" w:line="240" w:lineRule="auto" w:before="0"/>
              <w:ind w:firstLine="0"/>
              <w:jc w:val="center"/>
              <w:rPr>
                <w:rFonts w:hint="eastAsia"/>
              </w:rPr>
            </w:pPr>
            <w:r>
              <w:rPr>
                <w:rFonts w:ascii="宋体" w:hAnsi="宋体" w:eastAsia="宋体"/>
                <w:color w:val="263442"/>
                <w:sz w:val="17"/>
              </w:rPr>
              <w:t>0.0898</w:t>
            </w:r>
          </w:p>
        </w:tc>
        <w:tc>
          <w:tcPr>
            <w:tcW w:w="2080" w:type="dxa"/>
            <w:tcMar>
              <w:top w:w="56" w:type="dxa"/>
              <w:left w:w="110" w:type="dxa"/>
              <w:bottom w:w="56" w:type="dxa"/>
              <w:right w:w="110" w:type="dxa"/>
              <w:start w:w="78" w:type="dxa"/>
              <w:end w:w="78" w:type="dxa"/>
            </w:tcMar>
            <w:vAlign w:val="center"/>
          </w:tcPr>
          <w:p w14:paraId="0CEF4091">
            <w:pPr>
              <w:keepLines/>
              <w:spacing w:after="0" w:line="240" w:lineRule="auto" w:before="0"/>
              <w:ind w:firstLine="0"/>
              <w:jc w:val="center"/>
              <w:rPr>
                <w:rFonts w:hint="eastAsia"/>
              </w:rPr>
            </w:pPr>
            <w:r>
              <w:rPr>
                <w:rFonts w:ascii="宋体" w:hAnsi="宋体" w:eastAsia="宋体"/>
                <w:color w:val="263442"/>
                <w:sz w:val="17"/>
              </w:rPr>
              <w:t>-0.0221</w:t>
            </w:r>
          </w:p>
        </w:tc>
      </w:tr>
      <w:tr w14:paraId="025B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00" w:type="dxa"/>
            <w:tcMar>
              <w:top w:w="56" w:type="dxa"/>
              <w:left w:w="110" w:type="dxa"/>
              <w:bottom w:w="56" w:type="dxa"/>
              <w:right w:w="110" w:type="dxa"/>
              <w:start w:w="78" w:type="dxa"/>
              <w:end w:w="78" w:type="dxa"/>
            </w:tcMar>
            <w:vAlign w:val="center"/>
            <w:shd w:val="clear" w:color="auto" w:fill="F7F9FB"/>
          </w:tcPr>
          <w:p w14:paraId="1E2432C8">
            <w:pPr>
              <w:keepLines/>
              <w:spacing w:after="0" w:line="240" w:lineRule="auto" w:before="0"/>
              <w:ind w:firstLine="0"/>
              <w:jc w:val="left"/>
              <w:rPr>
                <w:rFonts w:hint="eastAsia"/>
              </w:rPr>
            </w:pPr>
            <w:r>
              <w:rPr>
                <w:rFonts w:ascii="宋体" w:hAnsi="宋体" w:eastAsia="宋体"/>
                <w:color w:val="263442"/>
                <w:sz w:val="17"/>
              </w:rPr>
              <w:t>8</w:t>
            </w:r>
          </w:p>
        </w:tc>
        <w:tc>
          <w:tcPr>
            <w:tcW w:w="3600" w:type="dxa"/>
            <w:tcMar>
              <w:top w:w="56" w:type="dxa"/>
              <w:left w:w="110" w:type="dxa"/>
              <w:bottom w:w="56" w:type="dxa"/>
              <w:right w:w="110" w:type="dxa"/>
              <w:start w:w="78" w:type="dxa"/>
              <w:end w:w="78" w:type="dxa"/>
            </w:tcMar>
            <w:vAlign w:val="center"/>
            <w:shd w:val="clear" w:color="auto" w:fill="F7F9FB"/>
          </w:tcPr>
          <w:p w14:paraId="6DBCDB73">
            <w:pPr>
              <w:keepLines/>
              <w:spacing w:after="0" w:line="240" w:lineRule="auto" w:before="0"/>
              <w:ind w:firstLine="0"/>
              <w:jc w:val="center"/>
              <w:rPr>
                <w:rFonts w:hint="eastAsia"/>
              </w:rPr>
            </w:pPr>
            <w:r>
              <w:rPr>
                <w:rFonts w:ascii="宋体" w:hAnsi="宋体" w:eastAsia="宋体"/>
                <w:color w:val="263442"/>
                <w:sz w:val="17"/>
              </w:rPr>
              <w:t>销项作废率</w:t>
            </w:r>
          </w:p>
        </w:tc>
        <w:tc>
          <w:tcPr>
            <w:tcW w:w="2500" w:type="dxa"/>
            <w:tcMar>
              <w:top w:w="56" w:type="dxa"/>
              <w:left w:w="110" w:type="dxa"/>
              <w:bottom w:w="56" w:type="dxa"/>
              <w:right w:w="110" w:type="dxa"/>
              <w:start w:w="78" w:type="dxa"/>
              <w:end w:w="78" w:type="dxa"/>
            </w:tcMar>
            <w:vAlign w:val="center"/>
            <w:shd w:val="clear" w:color="auto" w:fill="F7F9FB"/>
          </w:tcPr>
          <w:p w14:paraId="013BBED8">
            <w:pPr>
              <w:keepLines/>
              <w:spacing w:after="0" w:line="240" w:lineRule="auto" w:before="0"/>
              <w:ind w:firstLine="0"/>
              <w:jc w:val="center"/>
              <w:rPr>
                <w:rFonts w:hint="eastAsia"/>
              </w:rPr>
            </w:pPr>
            <w:r>
              <w:rPr>
                <w:rFonts w:ascii="宋体" w:hAnsi="宋体" w:eastAsia="宋体"/>
                <w:color w:val="263442"/>
                <w:sz w:val="17"/>
              </w:rPr>
              <w:t>0.0770</w:t>
            </w:r>
          </w:p>
        </w:tc>
        <w:tc>
          <w:tcPr>
            <w:tcW w:w="2080" w:type="dxa"/>
            <w:tcMar>
              <w:top w:w="56" w:type="dxa"/>
              <w:left w:w="110" w:type="dxa"/>
              <w:bottom w:w="56" w:type="dxa"/>
              <w:right w:w="110" w:type="dxa"/>
              <w:start w:w="78" w:type="dxa"/>
              <w:end w:w="78" w:type="dxa"/>
            </w:tcMar>
            <w:vAlign w:val="center"/>
            <w:shd w:val="clear" w:color="auto" w:fill="F7F9FB"/>
          </w:tcPr>
          <w:p w14:paraId="6C1525E1">
            <w:pPr>
              <w:keepLines/>
              <w:spacing w:after="0" w:line="240" w:lineRule="auto" w:before="0"/>
              <w:ind w:firstLine="0"/>
              <w:jc w:val="center"/>
              <w:rPr>
                <w:rFonts w:hint="eastAsia"/>
              </w:rPr>
            </w:pPr>
            <w:r>
              <w:rPr>
                <w:rFonts w:ascii="宋体" w:hAnsi="宋体" w:eastAsia="宋体"/>
                <w:color w:val="263442"/>
                <w:sz w:val="17"/>
              </w:rPr>
              <w:t>-0.0462</w:t>
            </w:r>
          </w:p>
        </w:tc>
      </w:tr>
      <w:tr w14:paraId="3C9D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00" w:type="dxa"/>
            <w:tcMar>
              <w:top w:w="56" w:type="dxa"/>
              <w:left w:w="110" w:type="dxa"/>
              <w:bottom w:w="56" w:type="dxa"/>
              <w:right w:w="110" w:type="dxa"/>
              <w:start w:w="78" w:type="dxa"/>
              <w:end w:w="78" w:type="dxa"/>
            </w:tcMar>
            <w:vAlign w:val="center"/>
          </w:tcPr>
          <w:p w14:paraId="7BC8FF15">
            <w:pPr>
              <w:keepLines/>
              <w:spacing w:after="0" w:line="240" w:lineRule="auto" w:before="0"/>
              <w:ind w:firstLine="0"/>
              <w:jc w:val="left"/>
              <w:rPr>
                <w:rFonts w:hint="eastAsia"/>
              </w:rPr>
            </w:pPr>
            <w:r>
              <w:rPr>
                <w:rFonts w:ascii="宋体" w:hAnsi="宋体" w:eastAsia="宋体"/>
                <w:color w:val="263442"/>
                <w:sz w:val="17"/>
              </w:rPr>
              <w:t>9</w:t>
            </w:r>
          </w:p>
        </w:tc>
        <w:tc>
          <w:tcPr>
            <w:tcW w:w="3600" w:type="dxa"/>
            <w:tcMar>
              <w:top w:w="56" w:type="dxa"/>
              <w:left w:w="110" w:type="dxa"/>
              <w:bottom w:w="56" w:type="dxa"/>
              <w:right w:w="110" w:type="dxa"/>
              <w:start w:w="78" w:type="dxa"/>
              <w:end w:w="78" w:type="dxa"/>
            </w:tcMar>
            <w:vAlign w:val="center"/>
          </w:tcPr>
          <w:p w14:paraId="68EEB520">
            <w:pPr>
              <w:keepLines/>
              <w:spacing w:after="0" w:line="240" w:lineRule="auto" w:before="0"/>
              <w:ind w:firstLine="0"/>
              <w:jc w:val="center"/>
              <w:rPr>
                <w:rFonts w:hint="eastAsia"/>
              </w:rPr>
            </w:pPr>
            <w:r>
              <w:rPr>
                <w:rFonts w:ascii="宋体" w:hAnsi="宋体" w:eastAsia="宋体"/>
                <w:color w:val="263442"/>
                <w:sz w:val="17"/>
              </w:rPr>
              <w:t>销项活跃月份比</w:t>
            </w:r>
          </w:p>
        </w:tc>
        <w:tc>
          <w:tcPr>
            <w:tcW w:w="2500" w:type="dxa"/>
            <w:tcMar>
              <w:top w:w="56" w:type="dxa"/>
              <w:left w:w="110" w:type="dxa"/>
              <w:bottom w:w="56" w:type="dxa"/>
              <w:right w:w="110" w:type="dxa"/>
              <w:start w:w="78" w:type="dxa"/>
              <w:end w:w="78" w:type="dxa"/>
            </w:tcMar>
            <w:vAlign w:val="center"/>
          </w:tcPr>
          <w:p w14:paraId="28A77E25">
            <w:pPr>
              <w:keepLines/>
              <w:spacing w:after="0" w:line="240" w:lineRule="auto" w:before="0"/>
              <w:ind w:firstLine="0"/>
              <w:jc w:val="center"/>
              <w:rPr>
                <w:rFonts w:hint="eastAsia"/>
              </w:rPr>
            </w:pPr>
            <w:r>
              <w:rPr>
                <w:rFonts w:ascii="宋体" w:hAnsi="宋体" w:eastAsia="宋体"/>
                <w:color w:val="263442"/>
                <w:sz w:val="17"/>
              </w:rPr>
              <w:t>0.0758</w:t>
            </w:r>
          </w:p>
        </w:tc>
        <w:tc>
          <w:tcPr>
            <w:tcW w:w="2080" w:type="dxa"/>
            <w:tcMar>
              <w:top w:w="56" w:type="dxa"/>
              <w:left w:w="110" w:type="dxa"/>
              <w:bottom w:w="56" w:type="dxa"/>
              <w:right w:w="110" w:type="dxa"/>
              <w:start w:w="78" w:type="dxa"/>
              <w:end w:w="78" w:type="dxa"/>
            </w:tcMar>
            <w:vAlign w:val="center"/>
          </w:tcPr>
          <w:p w14:paraId="3C9F0C09">
            <w:pPr>
              <w:keepLines/>
              <w:spacing w:after="0" w:line="240" w:lineRule="auto" w:before="0"/>
              <w:ind w:firstLine="0"/>
              <w:jc w:val="center"/>
              <w:rPr>
                <w:rFonts w:hint="eastAsia"/>
              </w:rPr>
            </w:pPr>
            <w:r>
              <w:rPr>
                <w:rFonts w:ascii="宋体" w:hAnsi="宋体" w:eastAsia="宋体"/>
                <w:color w:val="263442"/>
                <w:sz w:val="17"/>
              </w:rPr>
              <w:t>-0.0309</w:t>
            </w:r>
          </w:p>
        </w:tc>
      </w:tr>
      <w:tr w14:paraId="4A23C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00" w:type="dxa"/>
            <w:tcMar>
              <w:top w:w="56" w:type="dxa"/>
              <w:left w:w="110" w:type="dxa"/>
              <w:bottom w:w="56" w:type="dxa"/>
              <w:right w:w="110" w:type="dxa"/>
              <w:start w:w="78" w:type="dxa"/>
              <w:end w:w="78" w:type="dxa"/>
            </w:tcMar>
            <w:vAlign w:val="center"/>
            <w:shd w:val="clear" w:color="auto" w:fill="F7F9FB"/>
          </w:tcPr>
          <w:p w14:paraId="03C73401">
            <w:pPr>
              <w:keepLines/>
              <w:spacing w:after="0" w:line="240" w:lineRule="auto" w:before="0"/>
              <w:ind w:firstLine="0"/>
              <w:jc w:val="left"/>
              <w:rPr>
                <w:rFonts w:hint="eastAsia"/>
              </w:rPr>
            </w:pPr>
            <w:r>
              <w:rPr>
                <w:rFonts w:ascii="宋体" w:hAnsi="宋体" w:eastAsia="宋体"/>
                <w:color w:val="263442"/>
                <w:sz w:val="17"/>
              </w:rPr>
              <w:t>10</w:t>
            </w:r>
          </w:p>
        </w:tc>
        <w:tc>
          <w:tcPr>
            <w:tcW w:w="3600" w:type="dxa"/>
            <w:tcMar>
              <w:top w:w="56" w:type="dxa"/>
              <w:left w:w="110" w:type="dxa"/>
              <w:bottom w:w="56" w:type="dxa"/>
              <w:right w:w="110" w:type="dxa"/>
              <w:start w:w="78" w:type="dxa"/>
              <w:end w:w="78" w:type="dxa"/>
            </w:tcMar>
            <w:vAlign w:val="center"/>
            <w:shd w:val="clear" w:color="auto" w:fill="F7F9FB"/>
          </w:tcPr>
          <w:p w14:paraId="0C22AF75">
            <w:pPr>
              <w:keepLines/>
              <w:spacing w:after="0" w:line="240" w:lineRule="auto" w:before="0"/>
              <w:ind w:firstLine="0"/>
              <w:jc w:val="center"/>
              <w:rPr>
                <w:rFonts w:hint="eastAsia"/>
              </w:rPr>
            </w:pPr>
            <w:r>
              <w:rPr>
                <w:rFonts w:ascii="宋体" w:hAnsi="宋体" w:eastAsia="宋体"/>
                <w:color w:val="263442"/>
                <w:sz w:val="17"/>
              </w:rPr>
              <w:t>客户数量</w:t>
            </w:r>
          </w:p>
        </w:tc>
        <w:tc>
          <w:tcPr>
            <w:tcW w:w="2500" w:type="dxa"/>
            <w:tcMar>
              <w:top w:w="56" w:type="dxa"/>
              <w:left w:w="110" w:type="dxa"/>
              <w:bottom w:w="56" w:type="dxa"/>
              <w:right w:w="110" w:type="dxa"/>
              <w:start w:w="78" w:type="dxa"/>
              <w:end w:w="78" w:type="dxa"/>
            </w:tcMar>
            <w:vAlign w:val="center"/>
            <w:shd w:val="clear" w:color="auto" w:fill="F7F9FB"/>
          </w:tcPr>
          <w:p w14:paraId="29B1CB9C">
            <w:pPr>
              <w:keepLines/>
              <w:spacing w:after="0" w:line="240" w:lineRule="auto" w:before="0"/>
              <w:ind w:firstLine="0"/>
              <w:jc w:val="center"/>
              <w:rPr>
                <w:rFonts w:hint="eastAsia"/>
              </w:rPr>
            </w:pPr>
            <w:r>
              <w:rPr>
                <w:rFonts w:ascii="宋体" w:hAnsi="宋体" w:eastAsia="宋体"/>
                <w:color w:val="263442"/>
                <w:sz w:val="17"/>
              </w:rPr>
              <w:t>0.0633</w:t>
            </w:r>
          </w:p>
        </w:tc>
        <w:tc>
          <w:tcPr>
            <w:tcW w:w="2080" w:type="dxa"/>
            <w:tcMar>
              <w:top w:w="56" w:type="dxa"/>
              <w:left w:w="110" w:type="dxa"/>
              <w:bottom w:w="56" w:type="dxa"/>
              <w:right w:w="110" w:type="dxa"/>
              <w:start w:w="78" w:type="dxa"/>
              <w:end w:w="78" w:type="dxa"/>
            </w:tcMar>
            <w:vAlign w:val="center"/>
            <w:shd w:val="clear" w:color="auto" w:fill="F7F9FB"/>
          </w:tcPr>
          <w:p w14:paraId="24DCEAAD">
            <w:pPr>
              <w:keepLines/>
              <w:spacing w:after="0" w:line="240" w:lineRule="auto" w:before="0"/>
              <w:ind w:firstLine="0"/>
              <w:jc w:val="center"/>
              <w:rPr>
                <w:rFonts w:hint="eastAsia"/>
              </w:rPr>
            </w:pPr>
            <w:r>
              <w:rPr>
                <w:rFonts w:ascii="宋体" w:hAnsi="宋体" w:eastAsia="宋体"/>
                <w:color w:val="263442"/>
                <w:sz w:val="17"/>
              </w:rPr>
              <w:t>-0.0329</w:t>
            </w:r>
          </w:p>
        </w:tc>
      </w:tr>
    </w:tbl>
    <w:p w14:paraId="58D14560">
      <w:pPr>
        <w:spacing w:after="20"/>
        <w:rPr>
          <w:rFonts w:hint="eastAsia"/>
        </w:rPr>
      </w:pPr>
    </w:p>
    <w:p w14:paraId="6F5F6B02">
      <w:pPr>
        <w:keepNext/>
        <w:keepLines/>
        <w:spacing w:before="100" w:after="40"/>
        <w:ind w:firstLine="0"/>
        <w:jc w:val="center"/>
        <w:rPr>
          <w:rFonts w:hint="eastAsia"/>
        </w:rPr>
      </w:pPr>
      <w:r>
        <w:drawing>
          <wp:inline distT="0" distB="0" distL="114300" distR="114300">
            <wp:extent cx="5303520" cy="3318211"/>
            <wp:effectExtent l="0" t="0" r="0" b="0"/>
            <wp:docPr id="6" name="图10 信用风险模型的特征贡献" descr="图10 信用风险模型的特征贡献" title="图10 信用风险模型的特征贡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XGBoost 分量的全局 SHAP 风险方向重要性" title="图6  XGBoost 分量的全局 SHAP 风险方向重要性"/>
                    <pic:cNvPicPr>
                      <a:picLocks noChangeAspect="1"/>
                    </pic:cNvPicPr>
                  </pic:nvPicPr>
                  <pic:blipFill>
                    <a:blip r:embed="rId21"/>
                    <a:stretch>
                      <a:fillRect/>
                    </a:stretch>
                  </pic:blipFill>
                  <pic:spPr>
                    <a:xfrm>
                      <a:off x="0" y="0"/>
                      <a:ext cx="5303520" cy="3318211"/>
                    </a:xfrm>
                    <a:prstGeom prst="rect">
                      <a:avLst/>
                    </a:prstGeom>
                  </pic:spPr>
                </pic:pic>
              </a:graphicData>
            </a:graphic>
          </wp:inline>
        </w:drawing>
      </w:r>
    </w:p>
    <w:p w14:paraId="3A992496">
      <w:pPr>
        <w:pStyle w:val="15"/>
        <w:keepNext w:val="0"/>
        <w:keepLines/>
        <w:spacing w:before="40" w:after="120"/>
        <w:ind w:firstLine="0"/>
        <w:jc w:val="center"/>
        <w:rPr>
          <w:rFonts w:hint="eastAsia"/>
        </w:rPr>
      </w:pPr>
      <w:r>
        <w:rPr>
          <w:rFonts w:ascii="宋体" w:hAnsi="宋体" w:eastAsia="宋体"/>
          <w:color w:val="536273"/>
          <w:sz w:val="18"/>
        </w:rPr>
        <w:t>图10  XGBoost 分量的全局 SHAP 风险方向重要性（纵轴保留模型原始特征名，横轴为平均绝对 SHAP 风险方向贡献）</w:t>
      </w:r>
    </w:p>
    <w:p w14:paraId="201D67E2">
      <w:pPr>
        <w:widowControl/>
        <w:spacing w:line="348" w:lineRule="auto" w:before="0" w:after="60"/>
        <w:ind w:firstLine="420"/>
        <w:jc w:val="both"/>
        <w:rPr>
          <w:rFonts w:hint="eastAsia"/>
        </w:rPr>
      </w:pPr>
      <w:r>
        <w:rPr>
          <w:rFonts w:ascii="宋体" w:hAnsi="宋体" w:eastAsia="宋体"/>
          <w:color w:val="263442"/>
          <w:sz w:val="21"/>
        </w:rPr>
        <w:t>销项净额规模、销项正额规模和近12月销项规模位列前三，说明已训练模型首先利用销售规模与持续性区分风险；前五大客户占比和客户 HHI 随后出现，反映模型对交易对手集中度信息的使用。平均方向贡献不能单独推出“数值越大必然增险”，因为树模型包含阈值与交互；对单个企业仍应结合其特征取值和局部 SHAP 正负号解释。</w:t>
      </w:r>
    </w:p>
    <w:p w14:paraId="23271754">
      <w:pPr>
        <w:pStyle w:val="4"/>
        <w:keepNext/>
        <w:keepLines/>
        <w:spacing w:before="200" w:after="80"/>
        <w:ind w:firstLine="0"/>
      </w:pPr>
      <w:r>
        <w:rPr>
          <w:rFonts w:ascii="微软雅黑" w:hAnsi="微软雅黑" w:eastAsia="微软雅黑"/>
          <w:b/>
          <w:color w:val="2878B5"/>
          <w:sz w:val="25"/>
        </w:rPr>
        <w:t>7.2  LGD 与压力强度敏感性</w:t>
      </w:r>
    </w:p>
    <w:p w14:paraId="2DB6BD45">
      <w:pPr>
        <w:widowControl/>
        <w:spacing w:line="348" w:lineRule="auto" w:before="0" w:after="60"/>
        <w:ind w:firstLine="420"/>
        <w:jc w:val="both"/>
        <w:rPr>
          <w:rFonts w:hint="eastAsia"/>
        </w:rPr>
      </w:pPr>
      <w:r>
        <w:rPr>
          <w:rFonts w:ascii="宋体" w:hAnsi="宋体" w:eastAsia="宋体"/>
          <w:color w:val="263442"/>
          <w:sz w:val="21"/>
        </w:rPr>
        <w:t>LGD 敏感性用于观察风险损失估值变化，诊断中放宽硬风险上限以隔离 LGD 对利率和效益的影响。LGD 从0.4提高到1.0时，组合期望效益从265.71万元降至144.91万元，贷款加权利率从7.834%升至11.994%。较高 LGD 下，表11显示贷款加权利率上升、期望效益下降，风险尺度随之变化；表中未报告客户留存率或组合留存结构，故不对留存水平作进一步解释。</w:t>
      </w:r>
    </w:p>
    <w:p w14:paraId="5687CC0B">
      <w:pPr>
        <w:widowControl/>
        <w:spacing w:line="348" w:lineRule="auto" w:before="0" w:after="60"/>
        <w:ind w:firstLine="420"/>
        <w:jc w:val="both"/>
        <w:rPr>
          <w:rFonts w:hint="eastAsia"/>
        </w:rPr>
      </w:pPr>
      <w:r>
        <w:rPr>
          <w:rFonts w:ascii="宋体" w:hAnsi="宋体" w:eastAsia="宋体"/>
          <w:color w:val="263442"/>
          <w:sz w:val="21"/>
        </w:rPr>
        <w:t>LGD 敏感性结果见表11。</w:t>
      </w:r>
    </w:p>
    <w:p w14:paraId="32ABA2E1">
      <w:pPr>
        <w:pStyle w:val="15"/>
        <w:keepNext/>
        <w:keepLines/>
        <w:spacing w:before="40" w:after="120"/>
        <w:ind w:firstLine="0"/>
        <w:jc w:val="center"/>
        <w:rPr>
          <w:rFonts w:hint="eastAsia"/>
        </w:rPr>
      </w:pPr>
      <w:r>
        <w:rPr>
          <w:rFonts w:ascii="宋体" w:hAnsi="宋体" w:eastAsia="宋体"/>
          <w:color w:val="536273"/>
          <w:sz w:val="18"/>
        </w:rPr>
        <w:t>表11  LGD 敏感性结果</w:t>
      </w:r>
    </w:p>
    <w:tbl>
      <w:tblPr>
        <w:tblStyle w:val="33"/>
        <w:tblW w:w="9180" w:type="dxa"/>
        <w:jc w:val="center"/>
        <w:tblBorders>
          <w:top w:val="single" w:color="AAB8C6" w:sz="4" w:space="0"/>
          <w:left w:val="single" w:color="AAB8C6" w:sz="4" w:space="0"/>
          <w:bottom w:val="single" w:color="AAB8C6" w:sz="4" w:space="0"/>
          <w:right w:val="single" w:color="AAB8C6" w:sz="4" w:space="0"/>
          <w:insideH w:val="single" w:color="AAB8C6" w:sz="4" w:space="0"/>
          <w:insideV w:val="single" w:color="AAB8C6" w:sz="4" w:space="0"/>
        </w:tblBorders>
        <w:tblLayout w:type="autofit"/>
        <w:tblCellMar>
          <w:top w:w="0" w:type="dxa"/>
          <w:left w:w="108" w:type="dxa"/>
          <w:bottom w:w="0" w:type="dxa"/>
          <w:right w:w="108" w:type="dxa"/>
        </w:tblCellMar>
      </w:tblPr>
      <w:tblGrid>
        <w:gridCol w:w="1600"/>
        <w:gridCol w:w="2600"/>
        <w:gridCol w:w="2600"/>
        <w:gridCol w:w="2380"/>
      </w:tblGrid>
      <w:tr w14:paraId="11F35D39">
        <w:tblPrEx>
          <w:tblCellMar>
            <w:top w:w="0" w:type="dxa"/>
            <w:left w:w="108" w:type="dxa"/>
            <w:bottom w:w="0" w:type="dxa"/>
            <w:right w:w="108" w:type="dxa"/>
          </w:tblCellMar>
        </w:tblPrEx>
        <w:trPr>
          <w:tblHeader/>
          <w:jc w:val="center"/>
          <w:cantSplit/>
        </w:trPr>
        <w:tc>
          <w:tcPr>
            <w:tcW w:w="1600" w:type="dxa"/>
            <w:tcMar>
              <w:top w:w="56" w:type="dxa"/>
              <w:left w:w="110" w:type="dxa"/>
              <w:bottom w:w="56" w:type="dxa"/>
              <w:right w:w="110" w:type="dxa"/>
              <w:start w:w="78" w:type="dxa"/>
              <w:end w:w="78" w:type="dxa"/>
            </w:tcMar>
            <w:vAlign w:val="center"/>
            <w:shd w:val="clear" w:color="auto" w:fill="EAF0F6"/>
          </w:tcPr>
          <w:p w14:paraId="7D946641">
            <w:pPr>
              <w:keepNext/>
              <w:keepLines/>
              <w:spacing w:after="0" w:before="0" w:line="240" w:lineRule="auto"/>
              <w:jc w:val="center"/>
              <w:rPr>
                <w:rFonts w:hint="eastAsia"/>
              </w:rPr>
            </w:pPr>
            <w:r>
              <w:rPr>
                <w:rFonts w:ascii="宋体" w:hAnsi="宋体" w:eastAsia="宋体"/>
                <w:b/>
                <w:color w:val="263442"/>
                <w:sz w:val="17"/>
              </w:rPr>
              <w:t>LGD</w:t>
            </w:r>
          </w:p>
        </w:tc>
        <w:tc>
          <w:tcPr>
            <w:tcW w:w="2600" w:type="dxa"/>
            <w:tcMar>
              <w:top w:w="56" w:type="dxa"/>
              <w:left w:w="110" w:type="dxa"/>
              <w:bottom w:w="56" w:type="dxa"/>
              <w:right w:w="110" w:type="dxa"/>
              <w:start w:w="78" w:type="dxa"/>
              <w:end w:w="78" w:type="dxa"/>
            </w:tcMar>
            <w:vAlign w:val="center"/>
            <w:shd w:val="clear" w:color="auto" w:fill="EAF0F6"/>
          </w:tcPr>
          <w:p w14:paraId="4123C79F">
            <w:pPr>
              <w:keepNext/>
              <w:keepLines/>
              <w:spacing w:after="0" w:before="0" w:line="240" w:lineRule="auto"/>
              <w:jc w:val="center"/>
              <w:rPr>
                <w:rFonts w:hint="eastAsia"/>
              </w:rPr>
            </w:pPr>
            <w:r>
              <w:rPr>
                <w:rFonts w:ascii="宋体" w:hAnsi="宋体" w:eastAsia="宋体"/>
                <w:b/>
                <w:color w:val="263442"/>
                <w:sz w:val="17"/>
              </w:rPr>
              <w:t>期望效益/万元</w:t>
            </w:r>
          </w:p>
        </w:tc>
        <w:tc>
          <w:tcPr>
            <w:tcW w:w="2600" w:type="dxa"/>
            <w:tcMar>
              <w:top w:w="56" w:type="dxa"/>
              <w:left w:w="110" w:type="dxa"/>
              <w:bottom w:w="56" w:type="dxa"/>
              <w:right w:w="110" w:type="dxa"/>
              <w:start w:w="78" w:type="dxa"/>
              <w:end w:w="78" w:type="dxa"/>
            </w:tcMar>
            <w:vAlign w:val="center"/>
            <w:shd w:val="clear" w:color="auto" w:fill="EAF0F6"/>
          </w:tcPr>
          <w:p w14:paraId="14ADE9EB">
            <w:pPr>
              <w:keepNext/>
              <w:keepLines/>
              <w:spacing w:after="0" w:before="0" w:line="240" w:lineRule="auto"/>
              <w:jc w:val="center"/>
              <w:rPr>
                <w:rFonts w:hint="eastAsia"/>
              </w:rPr>
            </w:pPr>
            <w:r>
              <w:rPr>
                <w:rFonts w:ascii="宋体" w:hAnsi="宋体" w:eastAsia="宋体"/>
                <w:b/>
                <w:color w:val="263442"/>
                <w:sz w:val="17"/>
              </w:rPr>
              <w:t>风险尺度/万元</w:t>
            </w:r>
          </w:p>
        </w:tc>
        <w:tc>
          <w:tcPr>
            <w:tcW w:w="2380" w:type="dxa"/>
            <w:tcMar>
              <w:top w:w="56" w:type="dxa"/>
              <w:left w:w="110" w:type="dxa"/>
              <w:bottom w:w="56" w:type="dxa"/>
              <w:right w:w="110" w:type="dxa"/>
              <w:start w:w="78" w:type="dxa"/>
              <w:end w:w="78" w:type="dxa"/>
            </w:tcMar>
            <w:vAlign w:val="center"/>
            <w:shd w:val="clear" w:color="auto" w:fill="EAF0F6"/>
          </w:tcPr>
          <w:p w14:paraId="6EF396F6">
            <w:pPr>
              <w:keepNext/>
              <w:keepLines/>
              <w:spacing w:after="0" w:before="0" w:line="240" w:lineRule="auto"/>
              <w:jc w:val="center"/>
              <w:rPr>
                <w:rFonts w:hint="eastAsia"/>
              </w:rPr>
            </w:pPr>
            <w:r>
              <w:rPr>
                <w:rFonts w:ascii="宋体" w:hAnsi="宋体" w:eastAsia="宋体"/>
                <w:b/>
                <w:color w:val="263442"/>
                <w:sz w:val="17"/>
              </w:rPr>
              <w:t>贷款加权利率</w:t>
            </w:r>
          </w:p>
        </w:tc>
      </w:tr>
      <w:tr w14:paraId="418D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00" w:type="dxa"/>
            <w:tcMar>
              <w:top w:w="56" w:type="dxa"/>
              <w:left w:w="110" w:type="dxa"/>
              <w:bottom w:w="56" w:type="dxa"/>
              <w:right w:w="110" w:type="dxa"/>
              <w:start w:w="78" w:type="dxa"/>
              <w:end w:w="78" w:type="dxa"/>
            </w:tcMar>
            <w:vAlign w:val="center"/>
          </w:tcPr>
          <w:p w14:paraId="404BFEF1">
            <w:pPr>
              <w:keepLines/>
              <w:spacing w:after="0" w:line="240" w:lineRule="auto" w:before="0"/>
              <w:ind w:firstLine="0"/>
              <w:jc w:val="left"/>
              <w:rPr>
                <w:rFonts w:hint="eastAsia"/>
              </w:rPr>
            </w:pPr>
            <w:r>
              <w:rPr>
                <w:rFonts w:ascii="宋体" w:hAnsi="宋体" w:eastAsia="宋体"/>
                <w:color w:val="263442"/>
                <w:sz w:val="17"/>
              </w:rPr>
              <w:t>0.4</w:t>
            </w:r>
          </w:p>
        </w:tc>
        <w:tc>
          <w:tcPr>
            <w:tcW w:w="2600" w:type="dxa"/>
            <w:tcMar>
              <w:top w:w="56" w:type="dxa"/>
              <w:left w:w="110" w:type="dxa"/>
              <w:bottom w:w="56" w:type="dxa"/>
              <w:right w:w="110" w:type="dxa"/>
              <w:start w:w="78" w:type="dxa"/>
              <w:end w:w="78" w:type="dxa"/>
            </w:tcMar>
            <w:vAlign w:val="center"/>
          </w:tcPr>
          <w:p w14:paraId="3E8035F9">
            <w:pPr>
              <w:keepLines/>
              <w:spacing w:after="0" w:line="240" w:lineRule="auto" w:before="0"/>
              <w:ind w:firstLine="0"/>
              <w:jc w:val="center"/>
              <w:rPr>
                <w:rFonts w:hint="eastAsia"/>
              </w:rPr>
            </w:pPr>
            <w:r>
              <w:rPr>
                <w:rFonts w:ascii="宋体" w:hAnsi="宋体" w:eastAsia="宋体"/>
                <w:color w:val="263442"/>
                <w:sz w:val="17"/>
              </w:rPr>
              <w:t>265.71</w:t>
            </w:r>
          </w:p>
        </w:tc>
        <w:tc>
          <w:tcPr>
            <w:tcW w:w="2600" w:type="dxa"/>
            <w:tcMar>
              <w:top w:w="56" w:type="dxa"/>
              <w:left w:w="110" w:type="dxa"/>
              <w:bottom w:w="56" w:type="dxa"/>
              <w:right w:w="110" w:type="dxa"/>
              <w:start w:w="78" w:type="dxa"/>
              <w:end w:w="78" w:type="dxa"/>
            </w:tcMar>
            <w:vAlign w:val="center"/>
          </w:tcPr>
          <w:p w14:paraId="57A363CD">
            <w:pPr>
              <w:keepLines/>
              <w:spacing w:after="0" w:line="240" w:lineRule="auto" w:before="0"/>
              <w:ind w:firstLine="0"/>
              <w:jc w:val="center"/>
              <w:rPr>
                <w:rFonts w:hint="eastAsia"/>
              </w:rPr>
            </w:pPr>
            <w:r>
              <w:rPr>
                <w:rFonts w:ascii="宋体" w:hAnsi="宋体" w:eastAsia="宋体"/>
                <w:color w:val="263442"/>
                <w:sz w:val="17"/>
              </w:rPr>
              <w:t>276.51</w:t>
            </w:r>
          </w:p>
        </w:tc>
        <w:tc>
          <w:tcPr>
            <w:tcW w:w="2380" w:type="dxa"/>
            <w:tcMar>
              <w:top w:w="56" w:type="dxa"/>
              <w:left w:w="110" w:type="dxa"/>
              <w:bottom w:w="56" w:type="dxa"/>
              <w:right w:w="110" w:type="dxa"/>
              <w:start w:w="78" w:type="dxa"/>
              <w:end w:w="78" w:type="dxa"/>
            </w:tcMar>
            <w:vAlign w:val="center"/>
          </w:tcPr>
          <w:p w14:paraId="3238A137">
            <w:pPr>
              <w:keepLines/>
              <w:spacing w:after="0" w:line="240" w:lineRule="auto" w:before="0"/>
              <w:ind w:firstLine="0"/>
              <w:jc w:val="center"/>
              <w:rPr>
                <w:rFonts w:hint="eastAsia"/>
              </w:rPr>
            </w:pPr>
            <w:r>
              <w:rPr>
                <w:rFonts w:ascii="宋体" w:hAnsi="宋体" w:eastAsia="宋体"/>
                <w:color w:val="263442"/>
                <w:sz w:val="17"/>
              </w:rPr>
              <w:t>7.834%</w:t>
            </w:r>
          </w:p>
        </w:tc>
      </w:tr>
      <w:tr w14:paraId="669B4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00" w:type="dxa"/>
            <w:tcMar>
              <w:top w:w="56" w:type="dxa"/>
              <w:left w:w="110" w:type="dxa"/>
              <w:bottom w:w="56" w:type="dxa"/>
              <w:right w:w="110" w:type="dxa"/>
              <w:start w:w="78" w:type="dxa"/>
              <w:end w:w="78" w:type="dxa"/>
            </w:tcMar>
            <w:vAlign w:val="center"/>
            <w:shd w:val="clear" w:color="auto" w:fill="F7F9FB"/>
          </w:tcPr>
          <w:p w14:paraId="6E065FCE">
            <w:pPr>
              <w:keepLines/>
              <w:spacing w:after="0" w:line="240" w:lineRule="auto" w:before="0"/>
              <w:ind w:firstLine="0"/>
              <w:jc w:val="left"/>
              <w:rPr>
                <w:rFonts w:hint="eastAsia"/>
              </w:rPr>
            </w:pPr>
            <w:r>
              <w:rPr>
                <w:rFonts w:ascii="宋体" w:hAnsi="宋体" w:eastAsia="宋体"/>
                <w:color w:val="263442"/>
                <w:sz w:val="17"/>
              </w:rPr>
              <w:t>0.7</w:t>
            </w:r>
          </w:p>
        </w:tc>
        <w:tc>
          <w:tcPr>
            <w:tcW w:w="2600" w:type="dxa"/>
            <w:tcMar>
              <w:top w:w="56" w:type="dxa"/>
              <w:left w:w="110" w:type="dxa"/>
              <w:bottom w:w="56" w:type="dxa"/>
              <w:right w:w="110" w:type="dxa"/>
              <w:start w:w="78" w:type="dxa"/>
              <w:end w:w="78" w:type="dxa"/>
            </w:tcMar>
            <w:vAlign w:val="center"/>
            <w:shd w:val="clear" w:color="auto" w:fill="F7F9FB"/>
          </w:tcPr>
          <w:p w14:paraId="05965AD9">
            <w:pPr>
              <w:keepLines/>
              <w:spacing w:after="0" w:line="240" w:lineRule="auto" w:before="0"/>
              <w:ind w:firstLine="0"/>
              <w:jc w:val="center"/>
              <w:rPr>
                <w:rFonts w:hint="eastAsia"/>
              </w:rPr>
            </w:pPr>
            <w:r>
              <w:rPr>
                <w:rFonts w:ascii="宋体" w:hAnsi="宋体" w:eastAsia="宋体"/>
                <w:color w:val="263442"/>
                <w:sz w:val="17"/>
              </w:rPr>
              <w:t>194.06</w:t>
            </w:r>
          </w:p>
        </w:tc>
        <w:tc>
          <w:tcPr>
            <w:tcW w:w="2600" w:type="dxa"/>
            <w:tcMar>
              <w:top w:w="56" w:type="dxa"/>
              <w:left w:w="110" w:type="dxa"/>
              <w:bottom w:w="56" w:type="dxa"/>
              <w:right w:w="110" w:type="dxa"/>
              <w:start w:w="78" w:type="dxa"/>
              <w:end w:w="78" w:type="dxa"/>
            </w:tcMar>
            <w:vAlign w:val="center"/>
            <w:shd w:val="clear" w:color="auto" w:fill="F7F9FB"/>
          </w:tcPr>
          <w:p w14:paraId="7427F7CB">
            <w:pPr>
              <w:keepLines/>
              <w:spacing w:after="0" w:line="240" w:lineRule="auto" w:before="0"/>
              <w:ind w:firstLine="0"/>
              <w:jc w:val="center"/>
              <w:rPr>
                <w:rFonts w:hint="eastAsia"/>
              </w:rPr>
            </w:pPr>
            <w:r>
              <w:rPr>
                <w:rFonts w:ascii="宋体" w:hAnsi="宋体" w:eastAsia="宋体"/>
                <w:color w:val="263442"/>
                <w:sz w:val="17"/>
              </w:rPr>
              <w:t>196.84</w:t>
            </w:r>
          </w:p>
        </w:tc>
        <w:tc>
          <w:tcPr>
            <w:tcW w:w="2380" w:type="dxa"/>
            <w:tcMar>
              <w:top w:w="56" w:type="dxa"/>
              <w:left w:w="110" w:type="dxa"/>
              <w:bottom w:w="56" w:type="dxa"/>
              <w:right w:w="110" w:type="dxa"/>
              <w:start w:w="78" w:type="dxa"/>
              <w:end w:w="78" w:type="dxa"/>
            </w:tcMar>
            <w:vAlign w:val="center"/>
            <w:shd w:val="clear" w:color="auto" w:fill="F7F9FB"/>
          </w:tcPr>
          <w:p w14:paraId="3C5A1318">
            <w:pPr>
              <w:keepLines/>
              <w:spacing w:after="0" w:line="240" w:lineRule="auto" w:before="0"/>
              <w:ind w:firstLine="0"/>
              <w:jc w:val="center"/>
              <w:rPr>
                <w:rFonts w:hint="eastAsia"/>
              </w:rPr>
            </w:pPr>
            <w:r>
              <w:rPr>
                <w:rFonts w:ascii="宋体" w:hAnsi="宋体" w:eastAsia="宋体"/>
                <w:color w:val="263442"/>
                <w:sz w:val="17"/>
              </w:rPr>
              <w:t>9.642%</w:t>
            </w:r>
          </w:p>
        </w:tc>
      </w:tr>
      <w:tr w14:paraId="471D4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00" w:type="dxa"/>
            <w:tcMar>
              <w:top w:w="56" w:type="dxa"/>
              <w:left w:w="110" w:type="dxa"/>
              <w:bottom w:w="56" w:type="dxa"/>
              <w:right w:w="110" w:type="dxa"/>
              <w:start w:w="78" w:type="dxa"/>
              <w:end w:w="78" w:type="dxa"/>
            </w:tcMar>
            <w:vAlign w:val="center"/>
          </w:tcPr>
          <w:p w14:paraId="6ECDAB61">
            <w:pPr>
              <w:keepLines/>
              <w:spacing w:after="0" w:line="240" w:lineRule="auto" w:before="0"/>
              <w:ind w:firstLine="0"/>
              <w:jc w:val="left"/>
              <w:rPr>
                <w:rFonts w:hint="eastAsia"/>
              </w:rPr>
            </w:pPr>
            <w:r>
              <w:rPr>
                <w:rFonts w:ascii="宋体" w:hAnsi="宋体" w:eastAsia="宋体"/>
                <w:color w:val="263442"/>
                <w:sz w:val="17"/>
              </w:rPr>
              <w:t>1.0</w:t>
            </w:r>
          </w:p>
        </w:tc>
        <w:tc>
          <w:tcPr>
            <w:tcW w:w="2600" w:type="dxa"/>
            <w:tcMar>
              <w:top w:w="56" w:type="dxa"/>
              <w:left w:w="110" w:type="dxa"/>
              <w:bottom w:w="56" w:type="dxa"/>
              <w:right w:w="110" w:type="dxa"/>
              <w:start w:w="78" w:type="dxa"/>
              <w:end w:w="78" w:type="dxa"/>
            </w:tcMar>
            <w:vAlign w:val="center"/>
          </w:tcPr>
          <w:p w14:paraId="6334A465">
            <w:pPr>
              <w:keepLines/>
              <w:spacing w:after="0" w:line="240" w:lineRule="auto" w:before="0"/>
              <w:ind w:firstLine="0"/>
              <w:jc w:val="center"/>
              <w:rPr>
                <w:rFonts w:hint="eastAsia"/>
              </w:rPr>
            </w:pPr>
            <w:r>
              <w:rPr>
                <w:rFonts w:ascii="宋体" w:hAnsi="宋体" w:eastAsia="宋体"/>
                <w:color w:val="263442"/>
                <w:sz w:val="17"/>
              </w:rPr>
              <w:t>144.91</w:t>
            </w:r>
          </w:p>
        </w:tc>
        <w:tc>
          <w:tcPr>
            <w:tcW w:w="2600" w:type="dxa"/>
            <w:tcMar>
              <w:top w:w="56" w:type="dxa"/>
              <w:left w:w="110" w:type="dxa"/>
              <w:bottom w:w="56" w:type="dxa"/>
              <w:right w:w="110" w:type="dxa"/>
              <w:start w:w="78" w:type="dxa"/>
              <w:end w:w="78" w:type="dxa"/>
            </w:tcMar>
            <w:vAlign w:val="center"/>
          </w:tcPr>
          <w:p w14:paraId="75938FC7">
            <w:pPr>
              <w:keepLines/>
              <w:spacing w:after="0" w:line="240" w:lineRule="auto" w:before="0"/>
              <w:ind w:firstLine="0"/>
              <w:jc w:val="center"/>
              <w:rPr>
                <w:rFonts w:hint="eastAsia"/>
              </w:rPr>
            </w:pPr>
            <w:r>
              <w:rPr>
                <w:rFonts w:ascii="宋体" w:hAnsi="宋体" w:eastAsia="宋体"/>
                <w:color w:val="263442"/>
                <w:sz w:val="17"/>
              </w:rPr>
              <w:t>133.37</w:t>
            </w:r>
          </w:p>
        </w:tc>
        <w:tc>
          <w:tcPr>
            <w:tcW w:w="2380" w:type="dxa"/>
            <w:tcMar>
              <w:top w:w="56" w:type="dxa"/>
              <w:left w:w="110" w:type="dxa"/>
              <w:bottom w:w="56" w:type="dxa"/>
              <w:right w:w="110" w:type="dxa"/>
              <w:start w:w="78" w:type="dxa"/>
              <w:end w:w="78" w:type="dxa"/>
            </w:tcMar>
            <w:vAlign w:val="center"/>
          </w:tcPr>
          <w:p w14:paraId="38FFC45F">
            <w:pPr>
              <w:keepLines/>
              <w:spacing w:after="0" w:line="240" w:lineRule="auto" w:before="0"/>
              <w:ind w:firstLine="0"/>
              <w:jc w:val="center"/>
              <w:rPr>
                <w:rFonts w:hint="eastAsia"/>
              </w:rPr>
            </w:pPr>
            <w:r>
              <w:rPr>
                <w:rFonts w:ascii="宋体" w:hAnsi="宋体" w:eastAsia="宋体"/>
                <w:color w:val="263442"/>
                <w:sz w:val="17"/>
              </w:rPr>
              <w:t>11.994%</w:t>
            </w:r>
          </w:p>
        </w:tc>
      </w:tr>
    </w:tbl>
    <w:p w14:paraId="4A162C3A">
      <w:pPr>
        <w:spacing w:after="20"/>
        <w:rPr>
          <w:rFonts w:hint="eastAsia"/>
        </w:rPr>
      </w:pPr>
    </w:p>
    <w:p w14:paraId="4FAB9C0A">
      <w:pPr>
        <w:widowControl/>
        <w:spacing w:line="348" w:lineRule="auto" w:before="0" w:after="60"/>
        <w:ind w:firstLine="420"/>
        <w:jc w:val="both"/>
        <w:rPr>
          <w:rFonts w:hint="eastAsia"/>
        </w:rPr>
      </w:pPr>
      <w:r>
        <w:rPr>
          <w:rFonts w:ascii="宋体" w:hAnsi="宋体" w:eastAsia="宋体"/>
          <w:color w:val="263442"/>
          <w:sz w:val="21"/>
        </w:rPr>
        <w:t>将三档情景的全部 δₛ、γₛ 同时乘以0.5至1.5，最坏效益由115.38万元单调下降至69.96万元，风险尺度始终小于130万元；稳健贷款加权利率从13.162%升至13.890%。这说明主结论不是单一冲击点的偶然产物，但利润水平对冲击强度具有明显敏感性。</w:t>
      </w:r>
    </w:p>
    <w:p w14:paraId="058E05DA">
      <w:pPr>
        <w:keepNext/>
        <w:keepLines/>
        <w:spacing w:before="100" w:after="40"/>
        <w:ind w:firstLine="0"/>
        <w:jc w:val="center"/>
        <w:rPr>
          <w:rFonts w:hint="eastAsia"/>
        </w:rPr>
      </w:pPr>
      <w:r>
        <w:drawing>
          <wp:inline distT="0" distB="0" distL="114300" distR="114300">
            <wp:extent cx="5303520" cy="2545938"/>
            <wp:effectExtent l="0" t="0" r="0" b="0"/>
            <wp:docPr id="7" name="图11 关键参数敏感性分析" descr="图11 关键参数敏感性分析" title="图11 关键参数敏感性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7  LGD 与压力强度敏感性分析" title="图7  LGD 与压力强度敏感性分析"/>
                    <pic:cNvPicPr>
                      <a:picLocks noChangeAspect="1"/>
                    </pic:cNvPicPr>
                  </pic:nvPicPr>
                  <pic:blipFill>
                    <a:blip r:embed="rId22"/>
                    <a:stretch>
                      <a:fillRect/>
                    </a:stretch>
                  </pic:blipFill>
                  <pic:spPr>
                    <a:xfrm>
                      <a:off x="0" y="0"/>
                      <a:ext cx="5303520" cy="2545938"/>
                    </a:xfrm>
                    <a:prstGeom prst="rect">
                      <a:avLst/>
                    </a:prstGeom>
                  </pic:spPr>
                </pic:pic>
              </a:graphicData>
            </a:graphic>
          </wp:inline>
        </w:drawing>
      </w:r>
    </w:p>
    <w:p w14:paraId="348323FC">
      <w:pPr>
        <w:widowControl/>
        <w:spacing w:line="348" w:lineRule="auto" w:before="0" w:after="60"/>
        <w:ind w:firstLine="420"/>
        <w:jc w:val="both"/>
        <w:rPr>
          <w:rFonts w:hint="eastAsia"/>
        </w:rPr>
      </w:pPr>
      <w:r>
        <w:rPr>
          <w:rFonts w:ascii="宋体" w:hAnsi="宋体" w:eastAsia="宋体"/>
          <w:color w:val="263442"/>
          <w:sz w:val="21"/>
        </w:rPr>
        <w:t>LGD 与压力强度的敏感性结果见图11。</w:t>
      </w:r>
    </w:p>
    <w:p w14:paraId="26083F55">
      <w:pPr>
        <w:pStyle w:val="15"/>
        <w:keepNext w:val="0"/>
        <w:keepLines/>
        <w:spacing w:before="40" w:after="120"/>
        <w:ind w:firstLine="0"/>
        <w:jc w:val="center"/>
        <w:rPr>
          <w:rFonts w:hint="eastAsia"/>
        </w:rPr>
      </w:pPr>
      <w:r>
        <w:rPr>
          <w:rFonts w:ascii="宋体" w:hAnsi="宋体" w:eastAsia="宋体"/>
          <w:color w:val="536273"/>
          <w:sz w:val="18"/>
        </w:rPr>
        <w:t>图11  LGD 与压力强度敏感性分析（左图：名义组合效益随违约损失率 LGD 的变化；右图：最坏情景效益随压力强度倍数的变化）</w:t>
      </w:r>
    </w:p>
    <w:p w14:paraId="25726FFB">
      <w:pPr>
        <w:pStyle w:val="4"/>
        <w:keepNext/>
        <w:keepLines/>
        <w:spacing w:before="200" w:after="80"/>
        <w:ind w:firstLine="0"/>
      </w:pPr>
      <w:r>
        <w:rPr>
          <w:rFonts w:ascii="微软雅黑" w:hAnsi="微软雅黑" w:eastAsia="微软雅黑"/>
          <w:b/>
          <w:color w:val="2878B5"/>
          <w:sz w:val="25"/>
        </w:rPr>
        <w:t>7.3  已有检验证据与结论边界</w:t>
      </w:r>
    </w:p>
    <w:p w14:paraId="323EAA54">
      <w:pPr>
        <w:widowControl/>
        <w:spacing w:line="348" w:lineRule="auto" w:before="0" w:after="60"/>
        <w:ind w:firstLine="420"/>
        <w:jc w:val="both"/>
        <w:rPr>
          <w:rFonts w:hint="eastAsia"/>
        </w:rPr>
      </w:pPr>
      <w:r>
        <w:rPr>
          <w:rFonts w:ascii="宋体" w:hAnsi="宋体" w:eastAsia="宋体"/>
          <w:color w:val="263442"/>
          <w:sz w:val="21"/>
        </w:rPr>
        <w:t>本文将检验对象与验证方法一一对应。对源域评级分类，采用5折×5次重复分层交叉验证，并以 Accuracy、Macro-F1、序数 MAE、二次加权 Kappa 和对数损失汇总严格折外预测表现；表5支持融合模型在源域评级判别中的相对表现。历史违约 AUC 仅检验折外 CRI 的风险方向，不将其解释为已校准的企业违约概率。对模型迁移，表7和图6比较源域与目标域特征的标准化均值漂移，并以企业32维偏差阈值识别需人工复核的对象；该检查只说明未观察到明显的均值层面迁移反证，不能验证目标域个体评级准确率。</w:t>
      </w:r>
    </w:p>
    <w:p w14:paraId="2919308F">
      <w:pPr>
        <w:widowControl/>
        <w:spacing w:line="348" w:lineRule="auto" w:before="0" w:after="60"/>
        <w:ind w:firstLine="420"/>
        <w:jc w:val="both"/>
        <w:rPr>
          <w:rFonts w:hint="eastAsia"/>
        </w:rPr>
      </w:pPr>
      <w:r>
        <w:rPr>
          <w:rFonts w:ascii="宋体" w:hAnsi="宋体" w:eastAsia="宋体"/>
          <w:color w:val="263442"/>
          <w:sz w:val="21"/>
        </w:rPr>
        <w:t>对组合决策，问题二和问题三的预算、额度与风险约束满足情况由相应组合结果直接核对，因而支持已报告情景下的可行性，但不代表未枚举情景均可行。对参数稳健性，表11和图11在既有 LGD 取值与压力强度倍数范围内比较组合结果，说明已报告结果对这些决策假设具有方向性敏感，而不将 LGD、压力参数或迁移关系解释为外部校准事实。上述检验用于限定模型结论的适用范围，不能替代真实授信表现的跨期验证。</w:t>
      </w:r>
    </w:p>
    <w:p w14:paraId="4668A1D6">
      <w:pPr>
        <w:pStyle w:val="3"/>
        <w:keepNext/>
        <w:keepLines/>
        <w:spacing w:before="280" w:after="140"/>
        <w:ind w:firstLine="0"/>
      </w:pPr>
      <w:r>
        <w:rPr>
          <w:rFonts w:ascii="微软雅黑" w:hAnsi="微软雅黑" w:eastAsia="微软雅黑"/>
          <w:b/>
          <w:color w:val="17324D"/>
          <w:sz w:val="31"/>
        </w:rPr>
        <w:t>8  模型评价、局限与推广</w:t>
      </w:r>
    </w:p>
    <w:p w14:paraId="371557F3">
      <w:pPr>
        <w:pStyle w:val="4"/>
        <w:keepNext/>
        <w:keepLines/>
        <w:spacing w:before="200" w:after="80"/>
        <w:ind w:firstLine="0"/>
      </w:pPr>
      <w:r>
        <w:rPr>
          <w:rFonts w:ascii="微软雅黑" w:hAnsi="微软雅黑" w:eastAsia="微软雅黑"/>
          <w:b/>
          <w:color w:val="2878B5"/>
          <w:sz w:val="25"/>
        </w:rPr>
        <w:t>8.1  模型优点</w:t>
      </w:r>
    </w:p>
    <w:p w14:paraId="48DBCA83">
      <w:pPr>
        <w:widowControl/>
        <w:spacing w:line="348" w:lineRule="auto" w:before="0" w:after="60"/>
        <w:ind w:firstLine="420"/>
        <w:jc w:val="both"/>
        <w:rPr>
          <w:rFonts w:hint="eastAsia"/>
        </w:rPr>
      </w:pPr>
      <w:r>
        <w:rPr>
          <w:rFonts w:ascii="宋体" w:hAnsi="宋体" w:eastAsia="宋体"/>
          <w:color w:val="263442"/>
          <w:sz w:val="21"/>
        </w:rPr>
        <w:t>第一，标签语义清晰：模型学习信誉评级，而不是用27个违约样本强行拟合高维违约概率，且全部分类指标来自严格折外预测。第二，风险、需求与组合决策分层，避免将客户流失混入信用评分。第三，附件3的单调性由保序回归保证，在保留数据整体形状的同时消除局部违反经济逻辑的波动。第四，突发事件模型仅基于发票可观察韧性，情景参数与数据事实明确分开。第五，复现条件具有明确索引：表12记录随机种子、交叉验证、模型与决策参数，附录A定位输入审计、运行命令、结果摘要和产物哈希。预算、额度、利率、D级禁贷和求解状态的核验限于已有项目内运行记录，不将其扩大为模型效果或计算效率结论。</w:t>
      </w:r>
    </w:p>
    <w:p w14:paraId="32F4D723">
      <w:pPr>
        <w:pStyle w:val="4"/>
        <w:keepNext/>
        <w:keepLines/>
        <w:spacing w:before="200" w:after="80"/>
        <w:ind w:firstLine="0"/>
      </w:pPr>
      <w:r>
        <w:rPr>
          <w:rFonts w:ascii="微软雅黑" w:hAnsi="微软雅黑" w:eastAsia="微软雅黑"/>
          <w:b/>
          <w:color w:val="2878B5"/>
          <w:sz w:val="25"/>
        </w:rPr>
        <w:t>8.2  局限性</w:t>
      </w:r>
    </w:p>
    <w:p w14:paraId="75EE217E">
      <w:pPr>
        <w:widowControl/>
        <w:spacing w:line="348" w:lineRule="auto" w:before="0" w:after="60"/>
        <w:ind w:firstLine="420"/>
        <w:jc w:val="both"/>
        <w:rPr>
          <w:rFonts w:hint="eastAsia"/>
        </w:rPr>
      </w:pPr>
      <w:r>
        <w:rPr>
          <w:rFonts w:ascii="宋体" w:hAnsi="宋体" w:eastAsia="宋体"/>
          <w:color w:val="263442"/>
          <w:sz w:val="21"/>
        </w:rPr>
        <w:t>源域仅有123家企业，评级类别之间的经营模式可能重叠，融合模型 Macro-F1 约为0.61，因而 CRI 更适合作为排序和组合约束的风险量，而不能替代人工授信审查。目标域没有真实评级，均值漂移较小只能支持“可迁移性没有明显反证”，不能验证个体预测准确率。评级到风险损失尺度的映射还受到 D 级全部违约这一样本结构影响，且缺少抵押物、回收率、财务报表和企业行业信息。复现与模型主要参数见表12。</w:t>
      </w:r>
    </w:p>
    <w:p w14:paraId="4B87DF6D">
      <w:pPr>
        <w:widowControl/>
        <w:spacing w:line="348" w:lineRule="auto" w:before="0" w:after="60"/>
        <w:ind w:firstLine="420"/>
        <w:jc w:val="both"/>
        <w:rPr>
          <w:rFonts w:hint="eastAsia"/>
        </w:rPr>
      </w:pPr>
      <w:r>
        <w:rPr>
          <w:rFonts w:ascii="宋体" w:hAnsi="宋体" w:eastAsia="宋体"/>
          <w:color w:val="263442"/>
          <w:sz w:val="21"/>
        </w:rPr>
        <w:t>额度收益按贷款金额线性计算，因此在风险约束不活跃时会出现若干企业达到100万元上限的角点。若银行希望主动分散集中风险，后续可在获得相应信息与决策授权后加入企业/行业集中度约束或分段递减的边际效益。当前利率先按企业单位效益选择，再进行组合分配；在极紧风险上限下，可进一步建立企业—利率联合整数变量，使利率选择与组合风险约束完全联立。</w:t>
      </w:r>
    </w:p>
    <w:p w14:paraId="36932DCB">
      <w:pPr>
        <w:pStyle w:val="4"/>
        <w:keepNext/>
        <w:keepLines/>
        <w:spacing w:before="200" w:after="80"/>
        <w:ind w:firstLine="0"/>
      </w:pPr>
      <w:r>
        <w:rPr>
          <w:rFonts w:ascii="微软雅黑" w:hAnsi="微软雅黑" w:eastAsia="微软雅黑"/>
          <w:b/>
          <w:color w:val="2878B5"/>
          <w:sz w:val="25"/>
        </w:rPr>
        <w:t>8.3  推广建议</w:t>
      </w:r>
    </w:p>
    <w:p w14:paraId="47508C61">
      <w:pPr>
        <w:widowControl/>
        <w:spacing w:line="348" w:lineRule="auto" w:before="0" w:after="60"/>
        <w:ind w:firstLine="420"/>
        <w:jc w:val="both"/>
        <w:rPr>
          <w:rFonts w:hint="eastAsia"/>
        </w:rPr>
      </w:pPr>
      <w:r>
        <w:rPr>
          <w:rFonts w:ascii="宋体" w:hAnsi="宋体" w:eastAsia="宋体"/>
          <w:color w:val="263442"/>
          <w:sz w:val="21"/>
        </w:rPr>
        <w:t>实际部署时，可按月滚动更新发票特征，并保留模型评分、SHAP 原因与人工审批结果，形成后续校准所需的闭环记录。当积累到足够的真实违约、回收和拒贷数据后，应分别校准 PD、LGD 与客户接受概率，并以时间外验证替代随机交叉验证。若补充行业标签，可进一步研究行业层次模型和行业额度上限；若获得宏观情景预测，可将本文的参数化压力集替换为带概率或区间的场景树。</w:t>
      </w:r>
    </w:p>
    <w:p w14:paraId="78263196">
      <w:pPr>
        <w:pStyle w:val="3"/>
        <w:keepNext/>
        <w:keepLines/>
        <w:spacing w:before="280" w:after="140"/>
        <w:ind w:firstLine="0"/>
      </w:pPr>
      <w:r>
        <w:rPr>
          <w:rFonts w:ascii="微软雅黑" w:hAnsi="微软雅黑" w:eastAsia="微软雅黑"/>
          <w:b/>
          <w:color w:val="17324D"/>
          <w:sz w:val="31"/>
        </w:rPr>
        <w:t>9  结论</w:t>
      </w:r>
    </w:p>
    <w:p w14:paraId="6C494B37">
      <w:pPr>
        <w:widowControl/>
        <w:spacing w:line="348" w:lineRule="auto" w:before="0" w:after="60"/>
        <w:ind w:firstLine="420"/>
        <w:jc w:val="both"/>
        <w:rPr>
          <w:rFonts w:hint="eastAsia"/>
        </w:rPr>
      </w:pPr>
      <w:r>
        <w:rPr>
          <w:rFonts w:ascii="宋体" w:hAnsi="宋体" w:eastAsia="宋体"/>
          <w:color w:val="263442"/>
          <w:sz w:val="21"/>
        </w:rPr>
        <w:t>本文以发票经营行为为统一信息载体，形成了从有信贷记录企业的信用评价、到无信贷记录企业的风险迁移、再到突发事件下鲁棒调整的递进决策链。问题一的 Logistic/XGBoost 融合模型以80%权重融合树模型的非线性信息，折外 Macro-F1 为0.6086、二次加权 Kappa 为0.6666；在5000万元展示预算下选择50家 A/B/C 级企业，未向 D 级企业授信。</w:t>
      </w:r>
    </w:p>
    <w:p w14:paraId="52D76368">
      <w:pPr>
        <w:widowControl/>
        <w:spacing w:line="348" w:lineRule="auto" w:before="0" w:after="60"/>
        <w:ind w:firstLine="420"/>
        <w:jc w:val="both"/>
        <w:rPr>
          <w:rFonts w:hint="eastAsia"/>
        </w:rPr>
      </w:pPr>
      <w:r>
        <w:rPr>
          <w:rFonts w:ascii="宋体" w:hAnsi="宋体" w:eastAsia="宋体"/>
          <w:color w:val="263442"/>
          <w:sz w:val="21"/>
        </w:rPr>
        <w:t>问题二将问题一冻结模型迁移至302家企业，并将保序利率需求响应与风险损失尺度共同纳入组合效益。在1亿元预算、单户10万至100万元和1.30%风险上限下，主策略选择101家，最小授信为23.19万元，预算误差为0，期望年度效益为142.90万元。问题三以经营脆弱度构造三档压力集，maximin 策略在重度情景下仍保持90.99万元效益；当压力提高到1.5倍时，最坏效益为69.96万元。</w:t>
      </w:r>
    </w:p>
    <w:p w14:paraId="2C0D7250">
      <w:pPr>
        <w:widowControl/>
        <w:spacing w:line="348" w:lineRule="auto" w:before="0" w:after="60"/>
        <w:ind w:firstLine="420"/>
        <w:jc w:val="both"/>
        <w:rPr>
          <w:rFonts w:hint="eastAsia"/>
        </w:rPr>
      </w:pPr>
      <w:r>
        <w:rPr>
          <w:rFonts w:ascii="宋体" w:hAnsi="宋体" w:eastAsia="宋体"/>
          <w:color w:val="263442"/>
          <w:sz w:val="21"/>
        </w:rPr>
        <w:t>上述结果表明，信用评分用于度量风险方向，利率响应用于描述客户选择，组合优化用于落实银行风险偏好；三者分层后，模型更新、解释和情景调整具有更清晰的边界。对实际银行而言，1.30%风险上限、LGD 和压力系数仍应由风险管理部门结合资本成本与历史回收率重新标定；本文给出的策略是可复现的决策基线，不是未经校准的监管违约概率。</w:t>
      </w:r>
    </w:p>
    <w:p w14:paraId="1AE71F43">
      <w:pPr>
        <w:rPr>
          <w:rFonts w:hint="eastAsia"/>
        </w:rPr>
      </w:pPr>
      <w:r>
        <w:br w:type="page"/>
      </w:r>
    </w:p>
    <w:p w14:paraId="2FA709A9">
      <w:pPr>
        <w:pStyle w:val="3"/>
        <w:keepNext/>
        <w:keepLines/>
        <w:spacing w:before="280" w:after="140"/>
        <w:ind w:firstLine="0"/>
      </w:pPr>
      <w:r>
        <w:rPr>
          <w:rFonts w:ascii="微软雅黑" w:hAnsi="微软雅黑" w:eastAsia="微软雅黑"/>
          <w:b/>
          <w:color w:val="17324D"/>
          <w:sz w:val="31"/>
        </w:rPr>
        <w:t>附录A  主要参数与复现信息</w:t>
      </w:r>
    </w:p>
    <w:p w14:paraId="362A5457">
      <w:pPr>
        <w:pStyle w:val="15"/>
        <w:keepNext/>
        <w:keepLines/>
        <w:spacing w:before="40" w:after="120"/>
        <w:ind w:firstLine="0"/>
        <w:jc w:val="center"/>
        <w:rPr>
          <w:rFonts w:hint="eastAsia"/>
        </w:rPr>
      </w:pPr>
      <w:r>
        <w:rPr>
          <w:rFonts w:ascii="宋体" w:hAnsi="宋体" w:eastAsia="宋体"/>
          <w:color w:val="536273"/>
          <w:sz w:val="18"/>
        </w:rPr>
        <w:t>表12  复现与模型主要参数</w:t>
      </w:r>
    </w:p>
    <w:tbl>
      <w:tblPr>
        <w:tblStyle w:val="33"/>
        <w:tblW w:w="9180" w:type="dxa"/>
        <w:jc w:val="center"/>
        <w:tblBorders>
          <w:top w:val="single" w:color="AAB8C6" w:sz="4" w:space="0"/>
          <w:left w:val="single" w:color="AAB8C6" w:sz="4" w:space="0"/>
          <w:bottom w:val="single" w:color="AAB8C6" w:sz="4" w:space="0"/>
          <w:right w:val="single" w:color="AAB8C6" w:sz="4" w:space="0"/>
          <w:insideH w:val="single" w:color="AAB8C6" w:sz="4" w:space="0"/>
          <w:insideV w:val="single" w:color="AAB8C6" w:sz="4" w:space="0"/>
        </w:tblBorders>
        <w:tblLayout w:type="autofit"/>
        <w:tblCellMar>
          <w:top w:w="0" w:type="dxa"/>
          <w:left w:w="108" w:type="dxa"/>
          <w:bottom w:w="0" w:type="dxa"/>
          <w:right w:w="108" w:type="dxa"/>
        </w:tblCellMar>
      </w:tblPr>
      <w:tblGrid>
        <w:gridCol w:w="3100"/>
        <w:gridCol w:w="6080"/>
      </w:tblGrid>
      <w:tr w14:paraId="61C3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3100" w:type="dxa"/>
            <w:tcMar>
              <w:top w:w="56" w:type="dxa"/>
              <w:left w:w="110" w:type="dxa"/>
              <w:bottom w:w="56" w:type="dxa"/>
              <w:right w:w="110" w:type="dxa"/>
              <w:start w:w="78" w:type="dxa"/>
              <w:end w:w="78" w:type="dxa"/>
            </w:tcMar>
            <w:vAlign w:val="center"/>
            <w:shd w:val="clear" w:color="auto" w:fill="EAF0F6"/>
          </w:tcPr>
          <w:p w14:paraId="10F24D13">
            <w:pPr>
              <w:keepNext/>
              <w:keepLines/>
              <w:spacing w:after="0" w:before="0" w:line="240" w:lineRule="auto"/>
              <w:jc w:val="center"/>
              <w:rPr>
                <w:rFonts w:hint="eastAsia"/>
              </w:rPr>
            </w:pPr>
            <w:r>
              <w:rPr>
                <w:rFonts w:ascii="宋体" w:hAnsi="宋体" w:eastAsia="宋体"/>
                <w:b/>
                <w:color w:val="263442"/>
                <w:sz w:val="17"/>
              </w:rPr>
              <w:t>项目</w:t>
            </w:r>
          </w:p>
        </w:tc>
        <w:tc>
          <w:tcPr>
            <w:tcW w:w="6080" w:type="dxa"/>
            <w:tcMar>
              <w:top w:w="56" w:type="dxa"/>
              <w:left w:w="110" w:type="dxa"/>
              <w:bottom w:w="56" w:type="dxa"/>
              <w:right w:w="110" w:type="dxa"/>
              <w:start w:w="78" w:type="dxa"/>
              <w:end w:w="78" w:type="dxa"/>
            </w:tcMar>
            <w:vAlign w:val="center"/>
            <w:shd w:val="clear" w:color="auto" w:fill="EAF0F6"/>
          </w:tcPr>
          <w:p w14:paraId="3A837F9C">
            <w:pPr>
              <w:keepNext/>
              <w:keepLines/>
              <w:spacing w:after="0" w:before="0" w:line="240" w:lineRule="auto"/>
              <w:jc w:val="center"/>
              <w:rPr>
                <w:rFonts w:hint="eastAsia"/>
              </w:rPr>
            </w:pPr>
            <w:r>
              <w:rPr>
                <w:rFonts w:ascii="宋体" w:hAnsi="宋体" w:eastAsia="宋体"/>
                <w:b/>
                <w:color w:val="263442"/>
                <w:sz w:val="17"/>
              </w:rPr>
              <w:t>取值</w:t>
            </w:r>
          </w:p>
        </w:tc>
      </w:tr>
      <w:tr w14:paraId="469D7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00" w:type="dxa"/>
            <w:tcMar>
              <w:top w:w="56" w:type="dxa"/>
              <w:left w:w="110" w:type="dxa"/>
              <w:bottom w:w="56" w:type="dxa"/>
              <w:right w:w="110" w:type="dxa"/>
              <w:start w:w="78" w:type="dxa"/>
              <w:end w:w="78" w:type="dxa"/>
            </w:tcMar>
            <w:vAlign w:val="center"/>
          </w:tcPr>
          <w:p w14:paraId="1DC20975">
            <w:pPr>
              <w:keepLines/>
              <w:spacing w:after="0" w:line="240" w:lineRule="auto" w:before="0"/>
              <w:ind w:firstLine="0"/>
              <w:jc w:val="left"/>
              <w:rPr>
                <w:rFonts w:hint="eastAsia"/>
              </w:rPr>
            </w:pPr>
            <w:r>
              <w:rPr>
                <w:rFonts w:ascii="宋体" w:hAnsi="宋体" w:eastAsia="宋体"/>
                <w:color w:val="263442"/>
                <w:sz w:val="17"/>
              </w:rPr>
              <w:t>随机种子</w:t>
            </w:r>
          </w:p>
        </w:tc>
        <w:tc>
          <w:tcPr>
            <w:tcW w:w="6080" w:type="dxa"/>
            <w:tcMar>
              <w:top w:w="56" w:type="dxa"/>
              <w:left w:w="110" w:type="dxa"/>
              <w:bottom w:w="56" w:type="dxa"/>
              <w:right w:w="110" w:type="dxa"/>
              <w:start w:w="78" w:type="dxa"/>
              <w:end w:w="78" w:type="dxa"/>
            </w:tcMar>
            <w:vAlign w:val="center"/>
          </w:tcPr>
          <w:p w14:paraId="37F17EE2">
            <w:pPr>
              <w:keepLines/>
              <w:spacing w:after="0" w:line="240" w:lineRule="auto" w:before="0"/>
              <w:ind w:firstLine="0"/>
              <w:jc w:val="center"/>
              <w:rPr>
                <w:rFonts w:hint="eastAsia"/>
              </w:rPr>
            </w:pPr>
            <w:r>
              <w:rPr>
                <w:rFonts w:ascii="宋体" w:hAnsi="宋体" w:eastAsia="宋体"/>
                <w:color w:val="263442"/>
                <w:sz w:val="17"/>
              </w:rPr>
              <w:t>42</w:t>
            </w:r>
          </w:p>
        </w:tc>
      </w:tr>
      <w:tr w14:paraId="62AC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00" w:type="dxa"/>
            <w:tcMar>
              <w:top w:w="56" w:type="dxa"/>
              <w:left w:w="110" w:type="dxa"/>
              <w:bottom w:w="56" w:type="dxa"/>
              <w:right w:w="110" w:type="dxa"/>
              <w:start w:w="78" w:type="dxa"/>
              <w:end w:w="78" w:type="dxa"/>
            </w:tcMar>
            <w:vAlign w:val="center"/>
            <w:shd w:val="clear" w:color="auto" w:fill="F7F9FB"/>
          </w:tcPr>
          <w:p w14:paraId="213D8C03">
            <w:pPr>
              <w:keepLines/>
              <w:spacing w:after="0" w:line="240" w:lineRule="auto" w:before="0"/>
              <w:ind w:firstLine="0"/>
              <w:jc w:val="left"/>
              <w:rPr>
                <w:rFonts w:hint="eastAsia"/>
              </w:rPr>
            </w:pPr>
            <w:r>
              <w:rPr>
                <w:rFonts w:ascii="宋体" w:hAnsi="宋体" w:eastAsia="宋体"/>
                <w:color w:val="263442"/>
                <w:sz w:val="17"/>
              </w:rPr>
              <w:t>交叉验证</w:t>
            </w:r>
          </w:p>
        </w:tc>
        <w:tc>
          <w:tcPr>
            <w:tcW w:w="6080" w:type="dxa"/>
            <w:tcMar>
              <w:top w:w="56" w:type="dxa"/>
              <w:left w:w="110" w:type="dxa"/>
              <w:bottom w:w="56" w:type="dxa"/>
              <w:right w:w="110" w:type="dxa"/>
              <w:start w:w="78" w:type="dxa"/>
              <w:end w:w="78" w:type="dxa"/>
            </w:tcMar>
            <w:vAlign w:val="center"/>
            <w:shd w:val="clear" w:color="auto" w:fill="F7F9FB"/>
          </w:tcPr>
          <w:p w14:paraId="513112D3">
            <w:pPr>
              <w:keepLines/>
              <w:spacing w:after="0" w:line="240" w:lineRule="auto" w:before="0"/>
              <w:ind w:firstLine="0"/>
              <w:jc w:val="center"/>
              <w:rPr>
                <w:rFonts w:hint="eastAsia"/>
              </w:rPr>
            </w:pPr>
            <w:r>
              <w:rPr>
                <w:rFonts w:ascii="宋体" w:hAnsi="宋体" w:eastAsia="宋体"/>
                <w:color w:val="263442"/>
                <w:sz w:val="17"/>
              </w:rPr>
              <w:t>5折×5次重复分层</w:t>
            </w:r>
          </w:p>
        </w:tc>
      </w:tr>
      <w:tr w14:paraId="7256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00" w:type="dxa"/>
            <w:tcMar>
              <w:top w:w="56" w:type="dxa"/>
              <w:left w:w="110" w:type="dxa"/>
              <w:bottom w:w="56" w:type="dxa"/>
              <w:right w:w="110" w:type="dxa"/>
              <w:start w:w="78" w:type="dxa"/>
              <w:end w:w="78" w:type="dxa"/>
            </w:tcMar>
            <w:vAlign w:val="center"/>
          </w:tcPr>
          <w:p w14:paraId="7D135FFE">
            <w:pPr>
              <w:keepLines/>
              <w:spacing w:after="0" w:line="240" w:lineRule="auto" w:before="0"/>
              <w:ind w:firstLine="0"/>
              <w:jc w:val="left"/>
              <w:rPr>
                <w:rFonts w:hint="eastAsia"/>
              </w:rPr>
            </w:pPr>
            <w:r>
              <w:rPr>
                <w:rFonts w:ascii="宋体" w:hAnsi="宋体" w:eastAsia="宋体"/>
                <w:color w:val="263442"/>
                <w:sz w:val="17"/>
              </w:rPr>
              <w:t>XGBoost</w:t>
            </w:r>
          </w:p>
        </w:tc>
        <w:tc>
          <w:tcPr>
            <w:tcW w:w="6080" w:type="dxa"/>
            <w:tcMar>
              <w:top w:w="56" w:type="dxa"/>
              <w:left w:w="110" w:type="dxa"/>
              <w:bottom w:w="56" w:type="dxa"/>
              <w:right w:w="110" w:type="dxa"/>
              <w:start w:w="78" w:type="dxa"/>
              <w:end w:w="78" w:type="dxa"/>
            </w:tcMar>
            <w:vAlign w:val="center"/>
          </w:tcPr>
          <w:p w14:paraId="6B568C6E">
            <w:pPr>
              <w:keepLines/>
              <w:spacing w:after="0" w:line="240" w:lineRule="auto" w:before="0"/>
              <w:ind w:firstLine="0"/>
              <w:jc w:val="center"/>
              <w:rPr>
                <w:rFonts w:hint="eastAsia"/>
              </w:rPr>
            </w:pPr>
            <w:r>
              <w:rPr>
                <w:rFonts w:ascii="宋体" w:hAnsi="宋体" w:eastAsia="宋体"/>
                <w:color w:val="263442"/>
                <w:sz w:val="17"/>
              </w:rPr>
              <w:t>160棵树，深度2，学习率0.04</w:t>
            </w:r>
          </w:p>
        </w:tc>
      </w:tr>
      <w:tr w14:paraId="361F5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00" w:type="dxa"/>
            <w:tcMar>
              <w:top w:w="56" w:type="dxa"/>
              <w:left w:w="110" w:type="dxa"/>
              <w:bottom w:w="56" w:type="dxa"/>
              <w:right w:w="110" w:type="dxa"/>
              <w:start w:w="78" w:type="dxa"/>
              <w:end w:w="78" w:type="dxa"/>
            </w:tcMar>
            <w:vAlign w:val="center"/>
            <w:shd w:val="clear" w:color="auto" w:fill="F7F9FB"/>
          </w:tcPr>
          <w:p w14:paraId="73DD67E2">
            <w:pPr>
              <w:keepLines/>
              <w:spacing w:after="0" w:line="240" w:lineRule="auto" w:before="0"/>
              <w:ind w:firstLine="0"/>
              <w:jc w:val="left"/>
              <w:rPr>
                <w:rFonts w:hint="eastAsia"/>
              </w:rPr>
            </w:pPr>
            <w:r>
              <w:rPr>
                <w:rFonts w:ascii="宋体" w:hAnsi="宋体" w:eastAsia="宋体"/>
                <w:color w:val="263442"/>
                <w:sz w:val="17"/>
              </w:rPr>
              <w:t>融合权重</w:t>
            </w:r>
          </w:p>
        </w:tc>
        <w:tc>
          <w:tcPr>
            <w:tcW w:w="6080" w:type="dxa"/>
            <w:tcMar>
              <w:top w:w="56" w:type="dxa"/>
              <w:left w:w="110" w:type="dxa"/>
              <w:bottom w:w="56" w:type="dxa"/>
              <w:right w:w="110" w:type="dxa"/>
              <w:start w:w="78" w:type="dxa"/>
              <w:end w:w="78" w:type="dxa"/>
            </w:tcMar>
            <w:vAlign w:val="center"/>
            <w:shd w:val="clear" w:color="auto" w:fill="F7F9FB"/>
          </w:tcPr>
          <w:p w14:paraId="0FE743C3">
            <w:pPr>
              <w:keepLines/>
              <w:spacing w:after="0" w:line="240" w:lineRule="auto" w:before="0"/>
              <w:ind w:firstLine="0"/>
              <w:jc w:val="center"/>
              <w:rPr>
                <w:rFonts w:hint="eastAsia"/>
              </w:rPr>
            </w:pPr>
            <w:r>
              <w:rPr>
                <w:rFonts w:ascii="宋体" w:hAnsi="宋体" w:eastAsia="宋体"/>
                <w:color w:val="263442"/>
                <w:sz w:val="17"/>
              </w:rPr>
              <w:t>XGBoost 0.80，Logistic 0.20</w:t>
            </w:r>
          </w:p>
        </w:tc>
      </w:tr>
      <w:tr w14:paraId="64339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00" w:type="dxa"/>
            <w:tcMar>
              <w:top w:w="56" w:type="dxa"/>
              <w:left w:w="110" w:type="dxa"/>
              <w:bottom w:w="56" w:type="dxa"/>
              <w:right w:w="110" w:type="dxa"/>
              <w:start w:w="78" w:type="dxa"/>
              <w:end w:w="78" w:type="dxa"/>
            </w:tcMar>
            <w:vAlign w:val="center"/>
          </w:tcPr>
          <w:p w14:paraId="6A65F513">
            <w:pPr>
              <w:keepLines/>
              <w:spacing w:after="0" w:line="240" w:lineRule="auto" w:before="0"/>
              <w:ind w:firstLine="0"/>
              <w:jc w:val="left"/>
              <w:rPr>
                <w:rFonts w:hint="eastAsia"/>
              </w:rPr>
            </w:pPr>
            <w:r>
              <w:rPr>
                <w:rFonts w:ascii="宋体" w:hAnsi="宋体" w:eastAsia="宋体"/>
                <w:color w:val="263442"/>
                <w:sz w:val="17"/>
              </w:rPr>
              <w:t>贷款边界</w:t>
            </w:r>
          </w:p>
        </w:tc>
        <w:tc>
          <w:tcPr>
            <w:tcW w:w="6080" w:type="dxa"/>
            <w:tcMar>
              <w:top w:w="56" w:type="dxa"/>
              <w:left w:w="110" w:type="dxa"/>
              <w:bottom w:w="56" w:type="dxa"/>
              <w:right w:w="110" w:type="dxa"/>
              <w:start w:w="78" w:type="dxa"/>
              <w:end w:w="78" w:type="dxa"/>
            </w:tcMar>
            <w:vAlign w:val="center"/>
          </w:tcPr>
          <w:p w14:paraId="6477D502">
            <w:pPr>
              <w:keepLines/>
              <w:spacing w:after="0" w:line="240" w:lineRule="auto" w:before="0"/>
              <w:ind w:firstLine="0"/>
              <w:jc w:val="center"/>
              <w:rPr>
                <w:rFonts w:hint="eastAsia"/>
              </w:rPr>
            </w:pPr>
            <w:r>
              <w:rPr>
                <w:rFonts w:ascii="宋体" w:hAnsi="宋体" w:eastAsia="宋体"/>
                <w:color w:val="263442"/>
                <w:sz w:val="17"/>
              </w:rPr>
              <w:t>10万—100万元，期限1年</w:t>
            </w:r>
          </w:p>
        </w:tc>
      </w:tr>
      <w:tr w14:paraId="7515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00" w:type="dxa"/>
            <w:tcMar>
              <w:top w:w="56" w:type="dxa"/>
              <w:left w:w="110" w:type="dxa"/>
              <w:bottom w:w="56" w:type="dxa"/>
              <w:right w:w="110" w:type="dxa"/>
              <w:start w:w="78" w:type="dxa"/>
              <w:end w:w="78" w:type="dxa"/>
            </w:tcMar>
            <w:vAlign w:val="center"/>
            <w:shd w:val="clear" w:color="auto" w:fill="F7F9FB"/>
          </w:tcPr>
          <w:p w14:paraId="2A659A82">
            <w:pPr>
              <w:keepLines/>
              <w:spacing w:after="0" w:line="240" w:lineRule="auto" w:before="0"/>
              <w:ind w:firstLine="0"/>
              <w:jc w:val="left"/>
              <w:rPr>
                <w:rFonts w:hint="eastAsia"/>
              </w:rPr>
            </w:pPr>
            <w:r>
              <w:rPr>
                <w:rFonts w:ascii="宋体" w:hAnsi="宋体" w:eastAsia="宋体"/>
                <w:color w:val="263442"/>
                <w:sz w:val="17"/>
              </w:rPr>
              <w:t>利率网格</w:t>
            </w:r>
          </w:p>
        </w:tc>
        <w:tc>
          <w:tcPr>
            <w:tcW w:w="6080" w:type="dxa"/>
            <w:tcMar>
              <w:top w:w="56" w:type="dxa"/>
              <w:left w:w="110" w:type="dxa"/>
              <w:bottom w:w="56" w:type="dxa"/>
              <w:right w:w="110" w:type="dxa"/>
              <w:start w:w="78" w:type="dxa"/>
              <w:end w:w="78" w:type="dxa"/>
            </w:tcMar>
            <w:vAlign w:val="center"/>
            <w:shd w:val="clear" w:color="auto" w:fill="F7F9FB"/>
          </w:tcPr>
          <w:p w14:paraId="16E54858">
            <w:pPr>
              <w:keepLines/>
              <w:spacing w:after="0" w:line="240" w:lineRule="auto" w:before="0"/>
              <w:ind w:firstLine="0"/>
              <w:jc w:val="center"/>
              <w:rPr>
                <w:rFonts w:hint="eastAsia"/>
              </w:rPr>
            </w:pPr>
            <w:r>
              <w:rPr>
                <w:rFonts w:ascii="宋体" w:hAnsi="宋体" w:eastAsia="宋体"/>
                <w:color w:val="263442"/>
                <w:sz w:val="17"/>
              </w:rPr>
              <w:t>附件3的29个利率点，4%—15%</w:t>
            </w:r>
          </w:p>
        </w:tc>
      </w:tr>
      <w:tr w14:paraId="046F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00" w:type="dxa"/>
            <w:tcMar>
              <w:top w:w="56" w:type="dxa"/>
              <w:left w:w="110" w:type="dxa"/>
              <w:bottom w:w="56" w:type="dxa"/>
              <w:right w:w="110" w:type="dxa"/>
              <w:start w:w="78" w:type="dxa"/>
              <w:end w:w="78" w:type="dxa"/>
            </w:tcMar>
            <w:vAlign w:val="center"/>
          </w:tcPr>
          <w:p w14:paraId="42ACEE5D">
            <w:pPr>
              <w:keepLines/>
              <w:spacing w:after="0" w:line="240" w:lineRule="auto" w:before="0"/>
              <w:ind w:firstLine="0"/>
              <w:jc w:val="left"/>
              <w:rPr>
                <w:rFonts w:hint="eastAsia"/>
              </w:rPr>
            </w:pPr>
            <w:r>
              <w:rPr>
                <w:rFonts w:ascii="宋体" w:hAnsi="宋体" w:eastAsia="宋体"/>
                <w:color w:val="263442"/>
                <w:sz w:val="17"/>
              </w:rPr>
              <w:t>问题一展示预算</w:t>
            </w:r>
          </w:p>
        </w:tc>
        <w:tc>
          <w:tcPr>
            <w:tcW w:w="6080" w:type="dxa"/>
            <w:tcMar>
              <w:top w:w="56" w:type="dxa"/>
              <w:left w:w="110" w:type="dxa"/>
              <w:bottom w:w="56" w:type="dxa"/>
              <w:right w:w="110" w:type="dxa"/>
              <w:start w:w="78" w:type="dxa"/>
              <w:end w:w="78" w:type="dxa"/>
            </w:tcMar>
            <w:vAlign w:val="center"/>
          </w:tcPr>
          <w:p w14:paraId="7F413A87">
            <w:pPr>
              <w:keepLines/>
              <w:spacing w:after="0" w:line="240" w:lineRule="auto" w:before="0"/>
              <w:ind w:firstLine="0"/>
              <w:jc w:val="center"/>
              <w:rPr>
                <w:rFonts w:hint="eastAsia"/>
              </w:rPr>
            </w:pPr>
            <w:r>
              <w:rPr>
                <w:rFonts w:ascii="宋体" w:hAnsi="宋体" w:eastAsia="宋体"/>
                <w:color w:val="263442"/>
                <w:sz w:val="17"/>
              </w:rPr>
              <w:t>5000万元；另算2000万元、8000万元</w:t>
            </w:r>
          </w:p>
        </w:tc>
      </w:tr>
      <w:tr w14:paraId="2306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00" w:type="dxa"/>
            <w:tcMar>
              <w:top w:w="56" w:type="dxa"/>
              <w:left w:w="110" w:type="dxa"/>
              <w:bottom w:w="56" w:type="dxa"/>
              <w:right w:w="110" w:type="dxa"/>
              <w:start w:w="78" w:type="dxa"/>
              <w:end w:w="78" w:type="dxa"/>
            </w:tcMar>
            <w:vAlign w:val="center"/>
            <w:shd w:val="clear" w:color="auto" w:fill="F7F9FB"/>
          </w:tcPr>
          <w:p w14:paraId="39B48116">
            <w:pPr>
              <w:keepLines/>
              <w:spacing w:after="0" w:line="240" w:lineRule="auto" w:before="0"/>
              <w:ind w:firstLine="0"/>
              <w:jc w:val="left"/>
              <w:rPr>
                <w:rFonts w:hint="eastAsia"/>
              </w:rPr>
            </w:pPr>
            <w:r>
              <w:rPr>
                <w:rFonts w:ascii="宋体" w:hAnsi="宋体" w:eastAsia="宋体"/>
                <w:color w:val="263442"/>
                <w:sz w:val="17"/>
              </w:rPr>
              <w:t>问题二/三预算</w:t>
            </w:r>
          </w:p>
        </w:tc>
        <w:tc>
          <w:tcPr>
            <w:tcW w:w="6080" w:type="dxa"/>
            <w:tcMar>
              <w:top w:w="56" w:type="dxa"/>
              <w:left w:w="110" w:type="dxa"/>
              <w:bottom w:w="56" w:type="dxa"/>
              <w:right w:w="110" w:type="dxa"/>
              <w:start w:w="78" w:type="dxa"/>
              <w:end w:w="78" w:type="dxa"/>
            </w:tcMar>
            <w:vAlign w:val="center"/>
            <w:shd w:val="clear" w:color="auto" w:fill="F7F9FB"/>
          </w:tcPr>
          <w:p w14:paraId="5CC8EBAD">
            <w:pPr>
              <w:keepLines/>
              <w:spacing w:after="0" w:line="240" w:lineRule="auto" w:before="0"/>
              <w:ind w:firstLine="0"/>
              <w:jc w:val="center"/>
              <w:rPr>
                <w:rFonts w:hint="eastAsia"/>
              </w:rPr>
            </w:pPr>
            <w:r>
              <w:rPr>
                <w:rFonts w:ascii="宋体" w:hAnsi="宋体" w:eastAsia="宋体"/>
                <w:color w:val="263442"/>
                <w:sz w:val="17"/>
              </w:rPr>
              <w:t>1亿元</w:t>
            </w:r>
          </w:p>
        </w:tc>
      </w:tr>
      <w:tr w14:paraId="7D8F5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00" w:type="dxa"/>
            <w:tcMar>
              <w:top w:w="56" w:type="dxa"/>
              <w:left w:w="110" w:type="dxa"/>
              <w:bottom w:w="56" w:type="dxa"/>
              <w:right w:w="110" w:type="dxa"/>
              <w:start w:w="78" w:type="dxa"/>
              <w:end w:w="78" w:type="dxa"/>
            </w:tcMar>
            <w:vAlign w:val="center"/>
          </w:tcPr>
          <w:p w14:paraId="41AC36E6">
            <w:pPr>
              <w:keepLines/>
              <w:spacing w:after="0" w:line="240" w:lineRule="auto" w:before="0"/>
              <w:ind w:firstLine="0"/>
              <w:jc w:val="left"/>
              <w:rPr>
                <w:rFonts w:hint="eastAsia"/>
              </w:rPr>
            </w:pPr>
            <w:r>
              <w:rPr>
                <w:rFonts w:ascii="宋体" w:hAnsi="宋体" w:eastAsia="宋体"/>
                <w:color w:val="263442"/>
                <w:sz w:val="17"/>
              </w:rPr>
              <w:t>主风险敞口上限</w:t>
            </w:r>
          </w:p>
        </w:tc>
        <w:tc>
          <w:tcPr>
            <w:tcW w:w="6080" w:type="dxa"/>
            <w:tcMar>
              <w:top w:w="56" w:type="dxa"/>
              <w:left w:w="110" w:type="dxa"/>
              <w:bottom w:w="56" w:type="dxa"/>
              <w:right w:w="110" w:type="dxa"/>
              <w:start w:w="78" w:type="dxa"/>
              <w:end w:w="78" w:type="dxa"/>
            </w:tcMar>
            <w:vAlign w:val="center"/>
          </w:tcPr>
          <w:p w14:paraId="06C2E31C">
            <w:pPr>
              <w:keepLines/>
              <w:spacing w:after="0" w:line="240" w:lineRule="auto" w:before="0"/>
              <w:ind w:firstLine="0"/>
              <w:jc w:val="center"/>
              <w:rPr>
                <w:rFonts w:hint="eastAsia"/>
              </w:rPr>
            </w:pPr>
            <w:r>
              <w:rPr>
                <w:rFonts w:ascii="宋体" w:hAnsi="宋体" w:eastAsia="宋体"/>
                <w:color w:val="263442"/>
                <w:sz w:val="17"/>
              </w:rPr>
              <w:t>预算的1.30%</w:t>
            </w:r>
          </w:p>
        </w:tc>
      </w:tr>
      <w:tr w14:paraId="6BE4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00" w:type="dxa"/>
            <w:tcMar>
              <w:top w:w="56" w:type="dxa"/>
              <w:left w:w="110" w:type="dxa"/>
              <w:bottom w:w="56" w:type="dxa"/>
              <w:right w:w="110" w:type="dxa"/>
              <w:start w:w="78" w:type="dxa"/>
              <w:end w:w="78" w:type="dxa"/>
            </w:tcMar>
            <w:vAlign w:val="center"/>
            <w:shd w:val="clear" w:color="auto" w:fill="F7F9FB"/>
          </w:tcPr>
          <w:p w14:paraId="7FDF3E1A">
            <w:pPr>
              <w:keepLines/>
              <w:spacing w:after="0" w:line="240" w:lineRule="auto" w:before="0"/>
              <w:ind w:firstLine="0"/>
              <w:jc w:val="left"/>
              <w:rPr>
                <w:rFonts w:hint="eastAsia"/>
              </w:rPr>
            </w:pPr>
            <w:r>
              <w:rPr>
                <w:rFonts w:ascii="宋体" w:hAnsi="宋体" w:eastAsia="宋体"/>
                <w:color w:val="263442"/>
                <w:sz w:val="17"/>
              </w:rPr>
              <w:t>主 LGD</w:t>
            </w:r>
          </w:p>
        </w:tc>
        <w:tc>
          <w:tcPr>
            <w:tcW w:w="6080" w:type="dxa"/>
            <w:tcMar>
              <w:top w:w="56" w:type="dxa"/>
              <w:left w:w="110" w:type="dxa"/>
              <w:bottom w:w="56" w:type="dxa"/>
              <w:right w:w="110" w:type="dxa"/>
              <w:start w:w="78" w:type="dxa"/>
              <w:end w:w="78" w:type="dxa"/>
            </w:tcMar>
            <w:vAlign w:val="center"/>
            <w:shd w:val="clear" w:color="auto" w:fill="F7F9FB"/>
          </w:tcPr>
          <w:p w14:paraId="325E6F65">
            <w:pPr>
              <w:keepLines/>
              <w:spacing w:after="0" w:line="240" w:lineRule="auto" w:before="0"/>
              <w:ind w:firstLine="0"/>
              <w:jc w:val="center"/>
              <w:rPr>
                <w:rFonts w:hint="eastAsia"/>
              </w:rPr>
            </w:pPr>
            <w:r>
              <w:rPr>
                <w:rFonts w:ascii="宋体" w:hAnsi="宋体" w:eastAsia="宋体"/>
                <w:color w:val="263442"/>
                <w:sz w:val="17"/>
              </w:rPr>
              <w:t>1.0</w:t>
            </w:r>
          </w:p>
        </w:tc>
      </w:tr>
    </w:tbl>
    <w:p w14:paraId="300E2E9D">
      <w:pPr>
        <w:spacing w:after="20"/>
        <w:rPr>
          <w:rFonts w:hint="eastAsia"/>
        </w:rPr>
      </w:pPr>
    </w:p>
    <w:p w14:paraId="2B1F19DF">
      <w:pPr>
        <w:widowControl/>
        <w:spacing w:line="348" w:lineRule="auto" w:before="0" w:after="60"/>
        <w:ind w:firstLine="420"/>
        <w:jc w:val="both"/>
        <w:rPr>
          <w:rFonts w:hint="eastAsia"/>
        </w:rPr>
      </w:pPr>
      <w:r>
        <w:rPr>
          <w:rFonts w:ascii="宋体" w:hAnsi="宋体" w:eastAsia="宋体"/>
          <w:color w:val="263442"/>
          <w:sz w:val="21"/>
        </w:rPr>
        <w:t>复现环境为 Windows 11、Python 3.12.13。关键软件版本包括 NumPy 2.5.2、pandas 3.0.5、scikit-learn 1.9.0、SciPy 1.18.1、XGBoost 3.4.1、SHAP 0.52.0 和 matplotlib 3.11.1。模型主入口、6项测试和代码审计均在项目隔离环境中成功运行；环境、入口、测试与审计信息共同构成本文结果复核的既有材料索引。</w:t>
      </w:r>
    </w:p>
    <w:p w14:paraId="63305BDF">
      <w:pPr>
        <w:widowControl/>
        <w:spacing w:line="348" w:lineRule="auto" w:before="0" w:after="60"/>
        <w:ind w:firstLine="420"/>
        <w:jc w:val="both"/>
        <w:rPr>
          <w:rFonts w:hint="eastAsia"/>
        </w:rPr>
      </w:pPr>
      <w:r>
        <w:rPr>
          <w:rFonts w:ascii="宋体" w:hAnsi="宋体" w:eastAsia="宋体"/>
          <w:color w:val="263442"/>
          <w:sz w:val="21"/>
        </w:rPr>
        <w:t>固定输入经审计后，主入口依次读取题面及三个附件并构造源域和目标域特征；在源域内按表12所列随机种子与5折×5次重复分层交叉验证生成折外概率，在既有离散权重网格中选择融合权重。权重确定后，Logistic 与 XGBoost 均在完整源域样本上重新拟合；目标域仅调用该冻结模型输出评级概率和 CRI，不使用目标域标签重新训练。随后依据附件3给出的29个既有利率点计算单位效益，并按问题一、问题二和问题三的既有预算、额度、风险上限及压力参数依次形成名义组合和鲁棒组合输入。</w:t>
      </w:r>
    </w:p>
    <w:p w14:paraId="51416E60">
      <w:pPr>
        <w:widowControl/>
        <w:spacing w:line="348" w:lineRule="auto" w:before="0" w:after="60"/>
        <w:ind w:firstLine="420"/>
        <w:jc w:val="both"/>
        <w:rPr>
          <w:rFonts w:hint="eastAsia"/>
        </w:rPr>
      </w:pPr>
      <w:r>
        <w:rPr>
          <w:rFonts w:ascii="宋体" w:hAnsi="宋体" w:eastAsia="宋体"/>
          <w:color w:val="263442"/>
          <w:sz w:val="21"/>
        </w:rPr>
        <w:t>组合层采用 SciPy 的 scipy.optimize.milp 求解。名义组合与鲁棒组合分别使用既有目标和约束；只有求解器返回成功状态且存在解向量时，才写出授信额度、入选企业数、预算误差、风险项、求解状态和结果表。输入审计、运行命令、结果摘要及产物哈希分别见项目内 code/audit_inputs.py、REPRODUCE.md、results/summary.json 与 reports/code-audit/final/；其中结果 CSV 为论文中表格和图形的既有数据来源。</w:t>
      </w:r>
    </w:p>
    <w:p w14:paraId="56343616">
      <w:pPr>
        <w:spacing w:line="276" w:lineRule="auto" w:after="100"/>
        <w:ind w:firstLine="0" w:left="0" w:right="0"/>
        <w:jc w:val="left"/>
        <w:rPr>
          <w:rFonts w:hint="eastAsia"/>
        </w:rPr>
      </w:pPr>
      <w:r>
        <w:rPr>
          <w:rFonts w:ascii="等线" w:hAnsi="等线" w:eastAsia="等线"/>
          <w:color w:val="263442"/>
          <w:sz w:val="17"/>
        </w:rPr>
        <w:t>复现材料索引：输入为 inputs/附件1：123家有信贷记录企业的相关数据.xlsx、inputs/附件2：302家无信贷记录企业的相关数据.xlsx 与 inputs/附件3：银行贷款年利率与客户流失率关系的统计数据.xlsx；输入审计与数据处理、建模、求解和绘图的既有程序分别为 code/audit_inputs.py 与 code/main.py，运行步骤见 REPRODUCE.md，已有全量运行与审计记录见 reports/code-audit/final/audit.json 及 reports/code-audit/final/logs/。结果摘要、输入审计与产物哈希分别见 results/summary.json、results/input_audit.json；问题一、问题二和问题三的策略、预算/风险曲线与压力情景结果分别见 results/problem1_strategy.csv、results/problem1_budget_curve.csv、results/problem2_strategy.csv、results/problem2_risk_return_curve.csv、results/problem3_robust_strategy.csv、results/problem3_scenarios.csv，对应图形见 figures/ 下的 7 个 PDF 文件。迁移漂移、SHAP 和敏感性补充结果见 results/transfer_feature_shift.csv、results/shap_global.csv、results/shap_local_high_risk.csv、results/problem2_lgd_sensitivity.csv 与 results/problem3_stress_sensitivity.csv。</w:t>
      </w:r>
    </w:p>
    <w:p w14:paraId="2C0BC256">
      <w:pPr>
        <w:pStyle w:val="3"/>
        <w:keepNext/>
        <w:keepLines/>
        <w:spacing w:before="280" w:after="140"/>
        <w:ind w:firstLine="0"/>
      </w:pPr>
      <w:r>
        <w:rPr>
          <w:rFonts w:ascii="微软雅黑" w:hAnsi="微软雅黑" w:eastAsia="微软雅黑"/>
          <w:b/>
          <w:color w:val="17324D"/>
          <w:sz w:val="31"/>
        </w:rPr>
        <w:t>附录B  参考文献</w:t>
      </w:r>
    </w:p>
    <w:p w14:paraId="5A2B16A3">
      <w:pPr>
        <w:widowControl/>
        <w:spacing w:line="348" w:lineRule="auto" w:before="0" w:after="60"/>
        <w:ind w:left="420" w:firstLine="420"/>
        <w:jc w:val="both"/>
        <w:rPr>
          <w:rFonts w:hint="eastAsia"/>
        </w:rPr>
      </w:pPr>
      <w:r>
        <w:rPr>
          <w:rFonts w:ascii="宋体" w:hAnsi="宋体" w:eastAsia="宋体"/>
          <w:color w:val="263442"/>
          <w:sz w:val="21"/>
        </w:rPr>
        <w:t>[1] 全国大学生数学建模竞赛组委会. 2020年全国大学生数学建模竞赛C题：中小微企业的信贷决策, 2020.</w:t>
      </w:r>
    </w:p>
    <w:p w14:paraId="42104A4D">
      <w:pPr>
        <w:widowControl/>
        <w:spacing w:line="348" w:lineRule="auto" w:before="0" w:after="60"/>
        <w:ind w:left="420" w:firstLine="420"/>
        <w:jc w:val="both"/>
        <w:rPr>
          <w:rFonts w:hint="eastAsia"/>
        </w:rPr>
      </w:pPr>
      <w:r>
        <w:rPr>
          <w:rFonts w:ascii="宋体" w:hAnsi="宋体" w:eastAsia="宋体"/>
          <w:color w:val="263442"/>
          <w:sz w:val="21"/>
        </w:rPr>
        <w:t>[2] Chen T, Guestrin C. XGBoost: A Scalable Tree Boosting System. Proceedings of the 22nd ACM SIGKDD International Conference on Knowledge Discovery and Data Mining, 2016: 785-794. DOI: 10.1145/2939672.2939785.</w:t>
      </w:r>
    </w:p>
    <w:p w14:paraId="05FF32B5">
      <w:pPr>
        <w:widowControl/>
        <w:spacing w:line="348" w:lineRule="auto" w:before="0" w:after="60"/>
        <w:ind w:left="420" w:firstLine="420"/>
        <w:jc w:val="both"/>
        <w:rPr>
          <w:rFonts w:hint="eastAsia"/>
        </w:rPr>
      </w:pPr>
      <w:r>
        <w:rPr>
          <w:rFonts w:ascii="宋体" w:hAnsi="宋体" w:eastAsia="宋体"/>
          <w:color w:val="263442"/>
          <w:sz w:val="21"/>
        </w:rPr>
        <w:t>[3] Lundberg S M, Lee S I. A Unified Approach to Interpreting Model Predictions. Advances in Neural Information Processing Systems 30, 2017.</w:t>
      </w:r>
    </w:p>
    <w:p w14:paraId="2A490F37">
      <w:pPr>
        <w:widowControl/>
        <w:spacing w:line="348" w:lineRule="auto" w:before="0" w:after="60"/>
        <w:ind w:left="420" w:firstLine="420"/>
        <w:jc w:val="both"/>
        <w:rPr>
          <w:rFonts w:hint="eastAsia"/>
        </w:rPr>
      </w:pPr>
      <w:r>
        <w:rPr>
          <w:rFonts w:ascii="宋体" w:hAnsi="宋体" w:eastAsia="宋体"/>
          <w:color w:val="263442"/>
          <w:sz w:val="21"/>
        </w:rPr>
        <w:t>[4] Barlow R E, Bartholomew D J, Bremner J M, Brunk H D. Statistical Inference Under Order Restrictions. Wiley, 1972.</w:t>
      </w:r>
    </w:p>
    <w:p w14:paraId="4FD97311">
      <w:pPr>
        <w:widowControl/>
        <w:spacing w:line="348" w:lineRule="auto" w:before="0" w:after="60"/>
        <w:ind w:left="420" w:firstLine="420"/>
        <w:jc w:val="both"/>
        <w:rPr>
          <w:rFonts w:hint="eastAsia"/>
        </w:rPr>
      </w:pPr>
      <w:r>
        <w:rPr>
          <w:rFonts w:ascii="宋体" w:hAnsi="宋体" w:eastAsia="宋体"/>
          <w:color w:val="263442"/>
          <w:sz w:val="21"/>
        </w:rPr>
        <w:t>[5] Ben-David S, Blitzer J, Crammer K, et al. A Theory of Learning from Different Domains. Machine Learning, 2010, 79: 151-175. DOI: 10.1007/s10994-009-5152-4.</w:t>
      </w:r>
    </w:p>
    <w:p w14:paraId="642034F5">
      <w:pPr>
        <w:widowControl/>
        <w:spacing w:line="348" w:lineRule="auto" w:before="0" w:after="60"/>
        <w:ind w:left="420" w:firstLine="420"/>
        <w:jc w:val="both"/>
        <w:rPr>
          <w:rFonts w:hint="eastAsia"/>
        </w:rPr>
      </w:pPr>
      <w:r>
        <w:rPr>
          <w:rFonts w:ascii="宋体" w:hAnsi="宋体" w:eastAsia="宋体"/>
          <w:color w:val="263442"/>
          <w:sz w:val="21"/>
        </w:rPr>
        <w:t>[6] Bertsimas D, Sim M. The Price of Robustness. Operations Research, 2004, 52(1): 35-53. DOI: 10.1287/opre.1030.0065.</w:t>
      </w:r>
    </w:p>
    <w:p w14:paraId="429C766B">
      <w:pPr>
        <w:widowControl/>
        <w:spacing w:line="348" w:lineRule="auto" w:before="0" w:after="60"/>
        <w:ind w:left="420" w:firstLine="420"/>
        <w:jc w:val="both"/>
        <w:rPr>
          <w:rFonts w:hint="eastAsia"/>
        </w:rPr>
      </w:pPr>
      <w:r>
        <w:rPr>
          <w:rFonts w:ascii="宋体" w:hAnsi="宋体" w:eastAsia="宋体"/>
          <w:color w:val="263442"/>
          <w:sz w:val="21"/>
        </w:rPr>
        <w:t>[7] Hosmer D W, Lemeshow S, Sturdivant R X. Applied Logistic Regression. 3rd ed. Wiley, 2013.</w:t>
      </w:r>
    </w:p>
    <w:p w14:paraId="0777B16E">
      <w:pPr>
        <w:widowControl/>
        <w:spacing w:line="348" w:lineRule="auto" w:before="0" w:after="60"/>
        <w:ind w:left="420" w:firstLine="420"/>
        <w:jc w:val="both"/>
        <w:rPr>
          <w:rFonts w:hint="eastAsia"/>
        </w:rPr>
      </w:pPr>
      <w:r>
        <w:rPr>
          <w:rFonts w:ascii="宋体" w:hAnsi="宋体" w:eastAsia="宋体"/>
          <w:color w:val="263442"/>
          <w:sz w:val="21"/>
        </w:rPr>
        <w:t>[8] Agresti A. Categorical Data Analysis. 2nd ed. Wiley, 2002.</w:t>
      </w:r>
    </w:p>
    <w:sectPr>
      <w:headerReference r:id="rId7" w:type="first"/>
      <w:footerReference r:id="rId10" w:type="first"/>
      <w:headerReference r:id="rId5" w:type="default"/>
      <w:footerReference r:id="rId8" w:type="default"/>
      <w:headerReference r:id="rId6" w:type="even"/>
      <w:footerReference r:id="rId9" w:type="even"/>
      <w:pgSz w:w="11906" w:h="16838"/>
      <w:pgMar w:top="1332" w:right="1361" w:bottom="1276" w:left="1361" w:header="709" w:footer="68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A0D48">
    <w:pPr>
      <w:pStyle w:val="24"/>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F4F9B">
    <w:pPr>
      <w:pStyle w:val="24"/>
      <w:jc w:val="center"/>
      <w:rPr>
        <w:rFonts w:hint="eastAsia"/>
      </w:rPr>
    </w:pPr>
    <w:r>
      <w:rPr>
        <w:rFonts w:ascii="等线" w:hAnsi="等线" w:eastAsia="等线"/>
        <w:color w:val="536273"/>
        <w:sz w:val="17"/>
      </w:rPr>
      <w:t xml:space="preserve">—  </w:t>
    </w:r>
    <w:r>
      <w:rPr>
        <w:rFonts w:ascii="等线" w:hAnsi="等线" w:eastAsia="等线"/>
        <w:color w:val="536273"/>
        <w:sz w:val="17"/>
      </w:rPr>
      <w:fldChar w:fldCharType="begin"/>
    </w:r>
    <w:r>
      <w:rPr>
        <w:rFonts w:ascii="等线" w:hAnsi="等线" w:eastAsia="等线"/>
        <w:color w:val="536273"/>
        <w:sz w:val="17"/>
      </w:rPr>
      <w:instrText xml:space="preserve">PAGE</w:instrText>
    </w:r>
    <w:r>
      <w:rPr>
        <w:rFonts w:ascii="等线" w:hAnsi="等线" w:eastAsia="等线"/>
        <w:color w:val="536273"/>
        <w:sz w:val="17"/>
      </w:rPr>
      <w:fldChar w:fldCharType="separate"/>
    </w:r>
    <w:r>
      <w:rPr>
        <w:rFonts w:ascii="等线" w:hAnsi="等线" w:eastAsia="等线"/>
        <w:color w:val="536273"/>
        <w:sz w:val="17"/>
      </w:rPr>
      <w:t>1</w:t>
    </w:r>
    <w:r>
      <w:rPr>
        <w:rFonts w:ascii="等线" w:hAnsi="等线" w:eastAsia="等线"/>
        <w:color w:val="536273"/>
        <w:sz w:val="17"/>
      </w:rPr>
      <w:fldChar w:fldCharType="end"/>
    </w:r>
    <w:r>
      <w:rPr>
        <w:rFonts w:ascii="等线" w:hAnsi="等线" w:eastAsia="等线"/>
        <w:color w:val="536273"/>
        <w:sz w:val="17"/>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54DB7">
    <w:pPr>
      <w:pStyle w:val="24"/>
      <w:rPr>
        <w:rFonts w:hint="eastAsia"/>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CFFE4">
    <w:pPr>
      <w:pStyle w:val="25"/>
      <w:jc w:val="right"/>
      <w:rPr>
        <w:rFonts w:hint="eastAsia"/>
      </w:rPr>
    </w:pPr>
    <w:r>
      <w:rPr>
        <w:rFonts w:ascii="微软雅黑" w:hAnsi="微软雅黑" w:eastAsia="微软雅黑"/>
        <w:color w:val="536273"/>
        <w:sz w:val="17"/>
      </w:rPr>
      <w:t>中小微企业的信贷决策</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EB937">
    <w:pPr>
      <w:pStyle w:val="25"/>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D998F">
    <w:pPr>
      <w:pStyle w:val="25"/>
      <w:rPr>
        <w:rFonts w:hint="eastAsia"/>
      </w:rPr>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C5505"/>
    <w:rsid w:val="00A435ED"/>
    <w:rsid w:val="00AA1D8D"/>
    <w:rsid w:val="00B11412"/>
    <w:rsid w:val="00B47730"/>
    <w:rsid w:val="00CB0664"/>
    <w:rsid w:val="00EB519D"/>
    <w:rsid w:val="00FC693F"/>
    <w:rsid w:val="0BAF5689"/>
    <w:rsid w:val="109126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348" w:lineRule="auto"/>
      <w:ind w:firstLine="420"/>
      <w:jc w:val="both"/>
    </w:pPr>
    <w:rPr>
      <w:rFonts w:ascii="宋体" w:hAnsi="宋体" w:eastAsia="宋体" w:cstheme="minorBidi"/>
      <w:b w:val="0"/>
      <w:color w:val="263442"/>
      <w:sz w:val="21"/>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ascii="微软雅黑" w:hAnsi="微软雅黑" w:eastAsia="微软雅黑"/>
      <w:b/>
      <w:bCs/>
      <w:color w:val="17324D"/>
      <w:sz w:val="31"/>
      <w:szCs w:val="28"/>
    </w:rPr>
  </w:style>
  <w:style w:type="paragraph" w:styleId="4">
    <w:name w:val="heading 2"/>
    <w:basedOn w:val="1"/>
    <w:next w:val="1"/>
    <w:link w:val="139"/>
    <w:unhideWhenUsed/>
    <w:qFormat/>
    <w:uiPriority w:val="9"/>
    <w:pPr>
      <w:keepNext/>
      <w:keepLines/>
      <w:spacing w:before="220" w:after="100"/>
      <w:outlineLvl w:val="1"/>
    </w:pPr>
    <w:rPr>
      <w:rFonts w:asciiTheme="majorHAnsi" w:hAnsiTheme="majorHAnsi" w:eastAsiaTheme="majorEastAsia" w:cstheme="majorBidi" w:ascii="微软雅黑" w:hAnsi="微软雅黑" w:eastAsia="微软雅黑"/>
      <w:b/>
      <w:bCs/>
      <w:color w:val="2878B5"/>
      <w:sz w:val="25"/>
      <w:szCs w:val="26"/>
    </w:rPr>
  </w:style>
  <w:style w:type="paragraph" w:styleId="5">
    <w:name w:val="heading 3"/>
    <w:basedOn w:val="1"/>
    <w:next w:val="1"/>
    <w:link w:val="140"/>
    <w:unhideWhenUsed/>
    <w:qFormat/>
    <w:uiPriority w:val="9"/>
    <w:pPr>
      <w:keepNext/>
      <w:keepLines/>
      <w:spacing w:before="160"/>
      <w:outlineLvl w:val="2"/>
    </w:pPr>
    <w:rPr>
      <w:rFonts w:asciiTheme="majorHAnsi" w:hAnsiTheme="majorHAnsi" w:eastAsiaTheme="majorEastAsia" w:cstheme="majorBidi"/>
      <w:b/>
      <w:bCs/>
      <w:color w:val="17324D"/>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Next/>
      <w:spacing w:before="60" w:after="160" w:line="240" w:lineRule="auto"/>
      <w:jc w:val="center"/>
    </w:pPr>
    <w:rPr>
      <w:rFonts w:ascii="宋体" w:hAnsi="宋体" w:eastAsia="宋体"/>
      <w:b w:val="0"/>
      <w:bCs/>
      <w:color w:val="536273"/>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footer" Target="footer2.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4722</Words>
  <Characters>5477</Characters>
  <Lines>108</Lines>
  <Paragraphs>30</Paragraphs>
  <TotalTime>1</TotalTime>
  <ScaleCrop>false</ScaleCrop>
  <LinksUpToDate>false</LinksUpToDate>
  <CharactersWithSpaces>5754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数学建模团队</dc:creator>
  <dc:description>V8.2：基于V8.1的版式与图形表达优化；模型数据与结论保持不变。</dc:description>
  <cp:keywords>信用风险迁移, XGBoost, 鲁棒优化, SHAP</cp:keywords>
  <cp:lastModifiedBy>Coisini-</cp:lastModifiedBy>
  <dcterms:modified xsi:type="dcterms:W3CDTF">2026-09-04T02:45:27Z</dcterms:modified>
  <dc:subject>2020年全国大学生数学建模竞赛C题</dc:subject>
  <dc:title>中小微企业的信贷决策——证据约束视觉优化版</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eyJoZGlkIjoiYThmNjBkMzRkYWI3OWNiZTMzZWNhZDJjMDdhODVlZDkiLCJ1c2VySWQiOiIxMTk2OTgxMDY3In0=</vt:lpwstr>
  </property>
  <property fmtid="{D5CDD505-2E9C-101B-9397-08002B2CF9AE}" pid="3" name="KSOProductBuildVer">
    <vt:lpwstr>2052-12.1.0.28043</vt:lpwstr>
  </property>
  <property fmtid="{D5CDD505-2E9C-101B-9397-08002B2CF9AE}" pid="4" name="ICV">
    <vt:lpwstr>8FC03CD97B574427BB7C65AC81D4FAE2_12</vt:lpwstr>
  </property>
</Properties>
</file>