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8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八字紫微排盘产品 PRD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1. 文档信息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文档名称：八字紫微排盘产品 PRD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需求来源：客户于 2026 年 8 月 16 日的微信沟通及配套截图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当前平台：H5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当前状态：需求初稿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2. 项目概述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开发一款提供八字和紫微斗数排盘、命理解读或分析文字的产品。产品需要支持出生信息录入、历法和时辰处理、排盘结果展示，以及涉及详细解读时的支付功能。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客户没有现成的八字和紫微排盘算法或代码，相关排盘算法需要从零开发。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3. 用户输入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用户输入出生信息后进行排盘，至少包括：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出生日期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出生时间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出生地点或用于真太阳时换算的地点信息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性别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阳历或农历选择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早子时、晚子时处理选择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闰月相关信息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4. 八字功能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4.1 八字排盘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计算八字四柱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展示年柱、月柱、日柱、时柱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展示各柱对应的天干和地支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展示十神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展示大运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展示流年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展示神煞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4.2 八字分析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根据八字排盘结果生成命理解读或分析文字。截图中出现的分析方向包括：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财富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婚姻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运程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性格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健康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具体分析内容以客户后续确认的算法和解读规则为准。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5. 紫微斗数功能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5.1 紫微排盘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安排紫微十二宫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展示主星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展示辅星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展示四化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展示大限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展示大运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展示流年</w:t>
      </w:r>
    </w:p>
    <w:p>
      <w:pPr>
        <w:pStyle w:val="Heading2"/>
        <w:spacing w:before="180" w:after="80"/>
      </w:pPr>
      <w:r>
        <w:rPr>
          <w:rFonts w:ascii="Microsoft YaHei" w:hAnsi="Microsoft YaHei" w:eastAsia="Microsoft YaHei"/>
          <w:b/>
          <w:color w:val="000000"/>
          <w:sz w:val="25"/>
        </w:rPr>
        <w:t>5.2 紫微分析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根据紫微排盘结果生成命理解读或分析文字。分析结果可与财富、婚姻、运程、性格、健康等方向关联，具体内容以客户确认的规则为准。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6. 时间和历法处理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排盘前需要处理以下情况：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真太阳时换算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早子时和晚子时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闰月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阳历和农历转换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上述处理结果需要进入后续八字和紫微排盘计算，并在结果中体现最终采用的时间口径。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7. 排盘结果展示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结果页面至少需要覆盖：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八字四柱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十神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紫微十二宫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主星和辅星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四化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大运、大限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流年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神煞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命理解读或分析文字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截图中体现了完整展示、分页展示和交互式查看等可能形式，但客户尚未确定最终展示方式，待确认后定稿。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8. 支付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产品涉及支付。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详细解读或分析文字可以作为需要支付后查看的内容，具体支付节点和内容范围待客户确认。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9. AI 大数据接入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客户提出“如果可以也可以接 AI 大数据”。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AI 大数据接入为可选需求，不作为当前基础排盘功能的必要前置条件。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是否接入、接入范围及其对应的分析内容待客户确认。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10. 平台范围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最终交付平台：H5。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本期不包含 APP 和微信小程序的独立交付。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11. 算法实现范围</w:t>
      </w:r>
    </w:p>
    <w:p>
      <w:pPr>
        <w:spacing w:after="100"/>
      </w:pPr>
      <w:r>
        <w:rPr>
          <w:rFonts w:ascii="Microsoft YaHei" w:hAnsi="Microsoft YaHei" w:eastAsia="Microsoft YaHei"/>
          <w:color w:val="000000"/>
        </w:rPr>
        <w:t>相关算法从零开发，至少包括：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真太阳时换算、早晚子时和闰月处理。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八字四柱、十神、大运、流年和神煞计算。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紫微十二宫安星、主星、辅星、四化、大限、大运和流年计算。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color w:val="000000"/>
        </w:rPr>
        <w:t>使用客户确认的规则或样例核验排盘结果。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12. 验收标准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用户可以录入出生信息并发起排盘。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系统可以完成真太阳时、早晚子时、闰月和阳历/农历相关处理。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系统可以展示八字四柱、十神、大运、流年和神煞。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系统可以展示紫微十二宫、主星、辅星、四化、大限、大运和流年。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系统可以展示命理解读或分析文字。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涉及支付的内容可以按照确认后的支付规则查看。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从零开发的排盘结果需通过客户确认的规则或样例核验。</w:t>
      </w:r>
    </w:p>
    <w:p>
      <w:pPr>
        <w:pStyle w:val="Heading1"/>
        <w:spacing w:before="180" w:after="80"/>
      </w:pPr>
      <w:r>
        <w:rPr>
          <w:rFonts w:ascii="Microsoft YaHei" w:hAnsi="Microsoft YaHei" w:eastAsia="Microsoft YaHei"/>
          <w:b/>
          <w:color w:val="000000"/>
          <w:sz w:val="30"/>
        </w:rPr>
        <w:t>13. 待确认事项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H5 页面范围和适配要求。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排盘结果采用完整页面、分页页面还是交互式查看。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哪些解读或分析内容需要支付后查看。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000000"/>
        </w:rPr>
        <w:t>是否接入 AI 大数据，以及具体接入范围。</w:t>
      </w:r>
    </w:p>
    <w:sectPr w:rsidR="00FC693F" w:rsidRPr="0006063C" w:rsidSect="00034616"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000000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