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b.cycle Sales → BigQuery Sync (mtek-sales-to-bigquery.yml)</w:t>
      </w:r>
    </w:p>
    <w:p>
      <w:pPr>
        <w:spacing w:after="240"/>
      </w:pPr>
      <w:r>
        <w:rPr>
          <w:i/>
          <w:iCs/>
          <w:color w:val="555555"/>
        </w:rPr>
        <w:t xml:space="preserve">Technical Architecture, Configuration &amp; Debugging Guide</w:t>
      </w:r>
    </w:p>
    <w:p>
      <w:pPr>
        <w:spacing w:after="120"/>
      </w:pPr>
      <w:r>
        <w:rPr>
          <w:color w:val="777777"/>
          <w:sz w:val="20"/>
          <w:szCs w:val="20"/>
        </w:rPr>
        <w:t xml:space="preserve">Version: v1.1 — July 28, 2026</w:t>
      </w:r>
    </w:p>
    <w:p>
      <w:pPr>
        <w:pStyle w:val="Heading2"/>
        <w:spacing w:after="120" w:before="240"/>
      </w:pPr>
      <w:r>
        <w:t xml:space="preserve">1. System Purpose</w:t>
      </w:r>
    </w:p>
    <w:p>
      <w:pPr>
        <w:spacing w:after="120"/>
      </w:pPr>
      <w:r>
        <w:t xml:space="preserve">Replaces b.cycle's manual weekly process of downloading an Orders report from MarianaTek and uploading it into BigQuery. Pulls the same report via MarianaTek's Reports API and appends new order lines directly into the existing SalesMTEK table on a weekly schedule.</w:t>
      </w:r>
    </w:p>
    <w:p>
      <w:pPr>
        <w:pStyle w:val="Heading2"/>
        <w:spacing w:after="120" w:before="240"/>
      </w:pPr>
      <w:r>
        <w:t xml:space="preserve">2. High-Level Execution Summary</w:t>
      </w:r>
    </w:p>
    <w:p>
      <w:pPr>
        <w:pStyle w:val="ListParagraph"/>
        <w:numPr>
          <w:ilvl w:val="0"/>
          <w:numId w:val="1"/>
        </w:numPr>
        <w:spacing w:after="60"/>
      </w:pPr>
      <w:r>
        <w:t xml:space="preserve">GitHub Action runs on a Monday 07:00 UTC schedule, or manually via workflow_dispatch.</w:t>
      </w:r>
    </w:p>
    <w:p>
      <w:pPr>
        <w:pStyle w:val="ListParagraph"/>
        <w:numPr>
          <w:ilvl w:val="0"/>
          <w:numId w:val="1"/>
        </w:numPr>
        <w:spacing w:after="60"/>
      </w:pPr>
      <w:r>
        <w:t xml:space="preserve">Queries BigQuery for the latest transaction_date already in SalesMTEK.</w:t>
      </w:r>
    </w:p>
    <w:p>
      <w:pPr>
        <w:pStyle w:val="ListParagraph"/>
        <w:numPr>
          <w:ilvl w:val="0"/>
          <w:numId w:val="1"/>
        </w:numPr>
        <w:spacing w:after="60"/>
      </w:pPr>
      <w:r>
        <w:t xml:space="preserve">Fetches the MarianaTek "Orders - UTC" report in 7-day windows starting from that date, looping until caught up to yesterday.</w:t>
      </w:r>
    </w:p>
    <w:p>
      <w:pPr>
        <w:pStyle w:val="ListParagraph"/>
        <w:numPr>
          <w:ilvl w:val="0"/>
          <w:numId w:val="1"/>
        </w:numPr>
        <w:spacing w:after="60"/>
      </w:pPr>
      <w:r>
        <w:t xml:space="preserve">Maps each report row 1:1 (by position) onto SalesMTEK's 35 columns.</w:t>
      </w:r>
    </w:p>
    <w:p>
      <w:pPr>
        <w:pStyle w:val="ListParagraph"/>
        <w:numPr>
          <w:ilvl w:val="0"/>
          <w:numId w:val="1"/>
        </w:numPr>
        <w:spacing w:after="60"/>
      </w:pPr>
      <w:r>
        <w:t xml:space="preserve">Filters out any line already present under the composite dedup key (section 6).</w:t>
      </w:r>
    </w:p>
    <w:p>
      <w:pPr>
        <w:pStyle w:val="ListParagraph"/>
        <w:numPr>
          <w:ilvl w:val="0"/>
          <w:numId w:val="1"/>
        </w:numPr>
        <w:spacing w:after="60"/>
      </w:pPr>
      <w:r>
        <w:t xml:space="preserve">Inserts new rows in batches of 500, then posts a summary to #bigquery-updates.</w:t>
      </w:r>
    </w:p>
    <w:p>
      <w:pPr>
        <w:pStyle w:val="Heading2"/>
        <w:spacing w:after="120" w:before="240"/>
      </w:pPr>
      <w:r>
        <w:t xml:space="preserve">3. MarianaTek Reports API Integration</w:t>
      </w:r>
    </w:p>
    <w:p>
      <w:pPr>
        <w:spacing w:after="120"/>
      </w:pPr>
      <w:r>
        <w:t xml:space="preserve">This automation pulls data via MarianaTek's asynchronous table-report API, not a raw list-record endpoint. Report data is shaped like an export (headers array + rows array of arrays), matching what would otherwise be manually downloaded and uploaded.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Base URL</w:t>
            </w:r>
          </w:p>
        </w:tc>
        <w:tc>
          <w:tcPr>
            <w:tcW w:type="dxa" w:w="6560"/>
          </w:tcPr>
          <w:p>
            <w:r>
              <w:rPr>
                <w:b w:val="false"/>
                <w:bCs w:val="false"/>
              </w:rPr>
              <w:t xml:space="preserve">https://bcycle.marianatek.com</w:t>
            </w:r>
          </w:p>
        </w:tc>
      </w:tr>
      <w:tr>
        <w:tc>
          <w:tcPr>
            <w:tcW w:type="dxa" w:w="3200"/>
          </w:tcPr>
          <w:p>
            <w:r>
              <w:rPr>
                <w:b w:val="false"/>
                <w:bCs w:val="false"/>
              </w:rPr>
              <w:t xml:space="preserve">Report ID / Slug</w:t>
            </w:r>
          </w:p>
        </w:tc>
        <w:tc>
          <w:tcPr>
            <w:tcW w:type="dxa" w:w="6560"/>
          </w:tcPr>
          <w:p>
            <w:r>
              <w:rPr>
                <w:b w:val="false"/>
                <w:bCs w:val="false"/>
              </w:rPr>
              <w:t xml:space="preserve">353 / orders-utc</w:t>
            </w:r>
          </w:p>
        </w:tc>
      </w:tr>
      <w:tr>
        <w:tc>
          <w:tcPr>
            <w:tcW w:type="dxa" w:w="3200"/>
          </w:tcPr>
          <w:p>
            <w:r>
              <w:rPr>
                <w:b w:val="false"/>
                <w:bCs w:val="false"/>
              </w:rPr>
              <w:t xml:space="preserve">Date filter params</w:t>
            </w:r>
          </w:p>
        </w:tc>
        <w:tc>
          <w:tcPr>
            <w:tcW w:type="dxa" w:w="6560"/>
          </w:tcPr>
          <w:p>
            <w:r>
              <w:rPr>
                <w:b w:val="false"/>
                <w:bCs w:val="false"/>
              </w:rPr>
              <w:t xml:space="preserve">min_transaction_date=&lt;date&gt;&amp;max_transaction_date=&lt;date&gt;</w:t>
            </w:r>
          </w:p>
        </w:tc>
      </w:tr>
      <w:tr>
        <w:tc>
          <w:tcPr>
            <w:tcW w:type="dxa" w:w="3200"/>
          </w:tcPr>
          <w:p>
            <w:r>
              <w:rPr>
                <w:b w:val="false"/>
                <w:bCs w:val="false"/>
              </w:rPr>
              <w:t xml:space="preserve">Auth</w:t>
            </w:r>
          </w:p>
        </w:tc>
        <w:tc>
          <w:tcPr>
            <w:tcW w:type="dxa" w:w="6560"/>
          </w:tcPr>
          <w:p>
            <w:r>
              <w:rPr>
                <w:b w:val="false"/>
                <w:bCs w:val="false"/>
              </w:rPr>
              <w:t xml:space="preserve">Authorization: Bearer &lt;token&gt; (Accept: application/vnd.api+json)</w:t>
            </w:r>
          </w:p>
        </w:tc>
      </w:tr>
    </w:tbl>
    <w:p>
      <w:pPr>
        <w:spacing w:after="120"/>
      </w:pPr>
      <w:r>
        <w:t xml:space="preserve"/>
      </w:r>
    </w:p>
    <w:p>
      <w:pPr>
        <w:spacing w:after="120"/>
      </w:pPr>
      <w:r>
        <w:rPr>
          <w:b/>
          <w:bCs/>
        </w:rPr>
        <w:t xml:space="preserve">Async job flow:</w:t>
      </w:r>
    </w:p>
    <w:p>
      <w:pPr>
        <w:pStyle w:val="ListParagraph"/>
        <w:numPr>
          <w:ilvl w:val="0"/>
          <w:numId w:val="1"/>
        </w:numPr>
        <w:spacing w:after="60"/>
      </w:pPr>
      <w:r>
        <w:t xml:space="preserve">GET https://bcycle.marianatek.com/api/async_table_report_data?id=353&amp;slug=orders-utc&amp;min_transaction_date=&lt;date&gt;&amp;max_transaction_date=&lt;date&gt;&amp;page_size=500 → returns a job id.</w:t>
      </w:r>
    </w:p>
    <w:p>
      <w:pPr>
        <w:pStyle w:val="ListParagraph"/>
        <w:numPr>
          <w:ilvl w:val="0"/>
          <w:numId w:val="1"/>
        </w:numPr>
        <w:spacing w:after="60"/>
      </w:pPr>
      <w:r>
        <w:t xml:space="preserve">Poll GET https://bcycle.marianatek.com/api/async_table_report_data/job_status?id=&lt;jobId&gt; every 2s until status: "complete".</w:t>
      </w:r>
    </w:p>
    <w:p>
      <w:pPr>
        <w:pStyle w:val="ListParagraph"/>
        <w:numPr>
          <w:ilvl w:val="0"/>
          <w:numId w:val="1"/>
        </w:numPr>
        <w:spacing w:after="60"/>
      </w:pPr>
      <w:r>
        <w:t xml:space="preserve">The completed response includes a presigned S3 URL (s3_link) holding the report JSON ({name, id, headers, rows, total_records}).</w:t>
      </w:r>
    </w:p>
    <w:p>
      <w:pPr>
        <w:pStyle w:val="ListParagraph"/>
        <w:numPr>
          <w:ilvl w:val="0"/>
          <w:numId w:val="1"/>
        </w:numPr>
        <w:spacing w:after="60"/>
      </w:pPr>
      <w:r>
        <w:t xml:space="preserve">Critical: the presigned S3 URL expires within minutes of the job completing — it must be fetched immediately in the same script execution, not handed off or logged for later retrieval.</w:t>
      </w:r>
    </w:p>
    <w:p>
      <w:pPr>
        <w:pStyle w:val="Heading2"/>
        <w:spacing w:after="120" w:before="240"/>
      </w:pPr>
      <w:r>
        <w:t xml:space="preserve">4. BigQuery Target &amp; Schema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Project</w:t>
            </w:r>
          </w:p>
        </w:tc>
        <w:tc>
          <w:tcPr>
            <w:tcW w:type="dxa" w:w="6560"/>
          </w:tcPr>
          <w:p>
            <w:r>
              <w:rPr>
                <w:b w:val="false"/>
                <w:bCs w:val="false"/>
              </w:rPr>
              <w:t xml:space="preserve">root-cargo-453703-k7</w:t>
            </w:r>
          </w:p>
        </w:tc>
      </w:tr>
      <w:tr>
        <w:tc>
          <w:tcPr>
            <w:tcW w:type="dxa" w:w="3200"/>
          </w:tcPr>
          <w:p>
            <w:r>
              <w:rPr>
                <w:b w:val="false"/>
                <w:bCs w:val="false"/>
              </w:rPr>
              <w:t xml:space="preserve">Dataset.Table</w:t>
            </w:r>
          </w:p>
        </w:tc>
        <w:tc>
          <w:tcPr>
            <w:tcW w:type="dxa" w:w="6560"/>
          </w:tcPr>
          <w:p>
            <w:r>
              <w:rPr>
                <w:b w:val="false"/>
                <w:bCs w:val="false"/>
              </w:rPr>
              <w:t xml:space="preserve">root-cargo-453703-k7.SalesZF.SalesMTEK</w:t>
            </w:r>
          </w:p>
        </w:tc>
      </w:tr>
      <w:tr>
        <w:tc>
          <w:tcPr>
            <w:tcW w:type="dxa" w:w="3200"/>
          </w:tcPr>
          <w:p>
            <w:r>
              <w:rPr>
                <w:b w:val="false"/>
                <w:bCs w:val="false"/>
              </w:rPr>
              <w:t xml:space="preserve">Column count</w:t>
            </w:r>
          </w:p>
        </w:tc>
        <w:tc>
          <w:tcPr>
            <w:tcW w:type="dxa" w:w="6560"/>
          </w:tcPr>
          <w:p>
            <w:r>
              <w:rPr>
                <w:b w:val="false"/>
                <w:bCs w:val="false"/>
              </w:rPr>
              <w:t xml:space="preserve">35</w:t>
            </w:r>
          </w:p>
        </w:tc>
      </w:tr>
      <w:tr>
        <w:tc>
          <w:tcPr>
            <w:tcW w:type="dxa" w:w="3200"/>
          </w:tcPr>
          <w:p>
            <w:r>
              <w:rPr>
                <w:b w:val="false"/>
                <w:bCs w:val="false"/>
              </w:rPr>
              <w:t xml:space="preserve">Column typing</w:t>
            </w:r>
          </w:p>
        </w:tc>
        <w:tc>
          <w:tcPr>
            <w:tcW w:type="dxa" w:w="6560"/>
          </w:tcPr>
          <w:p>
            <w:r>
              <w:rPr>
                <w:b w:val="false"/>
                <w:bCs w:val="false"/>
              </w:rPr>
              <w:t xml:space="preserve">All-STRING (including money fields) — CAST to FLOAT64 required for math in downstream queries.</w:t>
            </w:r>
          </w:p>
        </w:tc>
      </w:tr>
    </w:tbl>
    <w:p>
      <w:pPr>
        <w:spacing w:after="120"/>
      </w:pPr>
      <w:r>
        <w:t xml:space="preserve"/>
      </w:r>
    </w:p>
    <w:p>
      <w:pPr>
        <w:spacing w:after="120"/>
      </w:pPr>
      <w:r>
        <w:rPr>
          <w:b/>
          <w:bCs/>
        </w:rPr>
        <w:t xml:space="preserve">Report headers (in order):</w:t>
      </w:r>
    </w:p>
    <w:p>
      <w:pPr>
        <w:shd w:fill="F2F2F2" w:val="clear"/>
        <w:spacing w:after="60"/>
      </w:pPr>
      <w:r>
        <w:rPr>
          <w:rFonts w:ascii="Consolas" w:cs="Consolas" w:eastAsia="Consolas" w:hAnsi="Consolas"/>
          <w:sz w:val="20"/>
          <w:szCs w:val="20"/>
        </w:rPr>
        <w:t xml:space="preserve">Order Number, Order Status, Order Date (UTC), Order Time (UTC), Order Device, Processed by System?, Customer ID, Customer Email, Customer Name, Company Name, Broker ID, Broker Email, Broker Name, Product, Product ID, Variant ID, Product Barcode, Product SKU, Product Color, Product Size, Product Type, Vendor, Sub Category, Line Status, Transaction Date, Currency, Line Quantity, Line Subtotal, Original Price, Line Tax, Line Total, Order Payment Method(s), Purchase Location, Fulfillment Location, Fulfillment Region</w:t>
      </w:r>
    </w:p>
    <w:p>
      <w:pPr>
        <w:spacing w:after="120"/>
      </w:pPr>
      <w:r>
        <w:rPr>
          <w:b/>
          <w:bCs/>
        </w:rPr>
        <w:t xml:space="preserve">Schema notes:</w:t>
      </w:r>
    </w:p>
    <w:p>
      <w:pPr>
        <w:pStyle w:val="ListParagraph"/>
        <w:numPr>
          <w:ilvl w:val="0"/>
          <w:numId w:val="1"/>
        </w:numPr>
        <w:spacing w:after="60"/>
      </w:pPr>
      <w:r>
        <w:t xml:space="preserve">Unlike FirstTimersMTEK, this table's 35 columns map cleanly 1:1 onto the report's 35 headers, in order, with no missing or corrupted columns.</w:t>
      </w:r>
    </w:p>
    <w:p>
      <w:pPr>
        <w:pStyle w:val="ListParagraph"/>
        <w:numPr>
          <w:ilvl w:val="0"/>
          <w:numId w:val="1"/>
        </w:numPr>
        <w:spacing w:after="60"/>
      </w:pPr>
      <w:r>
        <w:t xml:space="preserve">order_date_utc and transaction_date are written as M/D/YYYY strings (matching existing convention), converted from the API's ISO date.</w:t>
      </w:r>
    </w:p>
    <w:p>
      <w:pPr>
        <w:pStyle w:val="ListParagraph"/>
        <w:numPr>
          <w:ilvl w:val="0"/>
          <w:numId w:val="1"/>
        </w:numPr>
        <w:spacing w:after="60"/>
      </w:pPr>
      <w:r>
        <w:t xml:space="preserve">order_time_utc is written in 12-hour non-zero-padded-hour format (e.g. 12:03 AM), matching existing data.</w:t>
      </w:r>
    </w:p>
    <w:p>
      <w:pPr>
        <w:pStyle w:val="Heading2"/>
        <w:spacing w:after="120" w:before="240"/>
      </w:pPr>
      <w:r>
        <w:t xml:space="preserve">5. Sync Window &amp; Catch-Up Logic</w:t>
      </w:r>
    </w:p>
    <w:p>
      <w:pPr>
        <w:spacing w:after="120"/>
      </w:pPr>
      <w:r>
        <w:t xml:space="preserve">Each run queries BigQuery for the latest transaction_date already present in the target table, then walks forward from that date in windows of at most 7 day(s) at a time — fetching, deduping, and inserting one chunk before starting the next — until it reaches yesterday (UTC). Today's data is treated as incomplete and is never pulled. If the sync has fallen behind (e.g. a missed run), a single execution will process multiple chunks back-to-back rather than waiting for subsequent scheduled runs to catch up.</w:t>
      </w:r>
    </w:p>
    <w:p>
      <w:pPr>
        <w:pStyle w:val="ListParagraph"/>
        <w:numPr>
          <w:ilvl w:val="0"/>
          <w:numId w:val="1"/>
        </w:numPr>
        <w:spacing w:after="60"/>
      </w:pPr>
      <w:r>
        <w:t xml:space="preserve">Chunk size for this table: 7 day(s) (see script constant MAX_WINDOW_DAYS).</w:t>
      </w:r>
    </w:p>
    <w:p>
      <w:pPr>
        <w:pStyle w:val="ListParagraph"/>
        <w:numPr>
          <w:ilvl w:val="0"/>
          <w:numId w:val="1"/>
        </w:numPr>
        <w:spacing w:after="60"/>
      </w:pPr>
      <w:r>
        <w:t xml:space="preserve">The chunk cap exists because a single wide report fetch or a single BigQuery insert call can exceed API/size limits at high data volumes (see section 8).</w:t>
      </w:r>
    </w:p>
    <w:p>
      <w:pPr>
        <w:pStyle w:val="Heading2"/>
        <w:spacing w:after="120" w:before="240"/>
      </w:pPr>
      <w:r>
        <w:t xml:space="preserve">6. Deduplication Strategy</w:t>
      </w:r>
    </w:p>
    <w:p>
      <w:pPr>
        <w:spacing w:after="120"/>
      </w:pPr>
      <w:r>
        <w:rPr>
          <w:b/>
          <w:bCs/>
        </w:rPr>
        <w:t xml:space="preserve">Dedup key: </w:t>
      </w:r>
    </w:p>
    <w:p>
      <w:pPr>
        <w:shd w:fill="F2F2F2" w:val="clear"/>
        <w:spacing w:after="60"/>
      </w:pPr>
      <w:r>
        <w:rPr>
          <w:rFonts w:ascii="Consolas" w:cs="Consolas" w:eastAsia="Consolas" w:hAnsi="Consolas"/>
          <w:sz w:val="20"/>
          <w:szCs w:val="20"/>
        </w:rPr>
        <w:t xml:space="preserve">order_number + product_id + variant_id + transaction_date + line_status + line_quantity</w:t>
      </w:r>
    </w:p>
    <w:p>
      <w:pPr>
        <w:pStyle w:val="ListParagraph"/>
        <w:numPr>
          <w:ilvl w:val="0"/>
          <w:numId w:val="1"/>
        </w:numPr>
        <w:spacing w:after="60"/>
      </w:pPr>
      <w:r>
        <w:t xml:space="preserve">The report has no standalone line-item ID. A repeat purchase of the same item in one order increments Line Quantity rather than adding a new line — but a refund creates a SECOND line sharing the same order/product/variant, sometimes on a later transaction_date and sometimes the same day, distinguished only by line_status ("Completed" vs "Refunded") and the sign of line_quantity.</w:t>
      </w:r>
    </w:p>
    <w:p>
      <w:pPr>
        <w:pStyle w:val="ListParagraph"/>
        <w:numPr>
          <w:ilvl w:val="0"/>
          <w:numId w:val="1"/>
        </w:numPr>
        <w:spacing w:after="60"/>
      </w:pPr>
      <w:r>
        <w:t xml:space="preserve">IMPORTANT — bug found during live verification: the original key (order_number + product_id + variant_id only) is not unique enough. During the first live run, 10 refund rows were silently dropped because their original purchase (inserted in an earlier chunk of the same run) already occupied that key in the in-memory "seen this run" set. Fixed by extending the key to the full 6 fields above; the 10 missing rows were backfilled and re-verified. See GitHub Action Updates for the incident record.</w:t>
      </w:r>
    </w:p>
    <w:p>
      <w:pPr>
        <w:pStyle w:val="ListParagraph"/>
        <w:numPr>
          <w:ilvl w:val="0"/>
          <w:numId w:val="1"/>
        </w:numPr>
        <w:spacing w:after="60"/>
      </w:pPr>
      <w:r>
        <w:t xml:space="preserve">A safety-net re-query of existing keys is scoped to a window a few days wider than the current fetch window, to catch reruns landing on the same dates.</w:t>
      </w:r>
    </w:p>
    <w:p>
      <w:pPr>
        <w:pStyle w:val="Heading2"/>
        <w:spacing w:after="120" w:before="240"/>
      </w:pPr>
      <w:r>
        <w:t xml:space="preserve">7. Environment Variables &amp; Secrets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Variable</w:t>
            </w:r>
          </w:p>
        </w:tc>
        <w:tc>
          <w:tcPr>
            <w:tcW w:type="dxa" w:w="6560"/>
            <w:shd w:fill="E8E8E8" w:val="clear"/>
          </w:tcPr>
          <w:p>
            <w:r>
              <w:rPr>
                <w:b/>
                <w:bCs/>
              </w:rPr>
              <w:t xml:space="preserve">Purpose</w:t>
            </w:r>
          </w:p>
        </w:tc>
      </w:tr>
      <w:tr>
        <w:tc>
          <w:tcPr>
            <w:tcW w:type="dxa" w:w="3200"/>
          </w:tcPr>
          <w:p>
            <w:r>
              <w:rPr>
                <w:b w:val="false"/>
                <w:bCs w:val="false"/>
              </w:rPr>
              <w:t xml:space="preserve">MTEK_BASE_URL</w:t>
            </w:r>
          </w:p>
        </w:tc>
        <w:tc>
          <w:tcPr>
            <w:tcW w:type="dxa" w:w="6560"/>
          </w:tcPr>
          <w:p>
            <w:r>
              <w:rPr>
                <w:b w:val="false"/>
                <w:bCs w:val="false"/>
              </w:rPr>
              <w:t xml:space="preserve">https://bcycle.marianatek.com (hardcoded in the workflow)</w:t>
            </w:r>
          </w:p>
        </w:tc>
      </w:tr>
      <w:tr>
        <w:tc>
          <w:tcPr>
            <w:tcW w:type="dxa" w:w="3200"/>
          </w:tcPr>
          <w:p>
            <w:r>
              <w:rPr>
                <w:b w:val="false"/>
                <w:bCs w:val="false"/>
              </w:rPr>
              <w:t xml:space="preserve">MTEK_API_TOKEN</w:t>
            </w:r>
          </w:p>
        </w:tc>
        <w:tc>
          <w:tcPr>
            <w:tcW w:type="dxa" w:w="6560"/>
          </w:tcPr>
          <w:p>
            <w:r>
              <w:rPr>
                <w:b w:val="false"/>
                <w:bCs w:val="false"/>
              </w:rPr>
              <w:t xml:space="preserve">MarianaTek bearer token (GitHub secret)</w:t>
            </w:r>
          </w:p>
        </w:tc>
      </w:tr>
      <w:tr>
        <w:tc>
          <w:tcPr>
            <w:tcW w:type="dxa" w:w="3200"/>
          </w:tcPr>
          <w:p>
            <w:r>
              <w:rPr>
                <w:b w:val="false"/>
                <w:bCs w:val="false"/>
              </w:rPr>
              <w:t xml:space="preserve">SLACK_BIGQUERY_UPDATES_WEBHOOK_URL</w:t>
            </w:r>
          </w:p>
        </w:tc>
        <w:tc>
          <w:tcPr>
            <w:tcW w:type="dxa" w:w="6560"/>
          </w:tcPr>
          <w:p>
            <w:r>
              <w:rPr>
                <w:b w:val="false"/>
                <w:bCs w:val="false"/>
              </w:rPr>
              <w:t xml:space="preserve">Slack incoming webhook for #bigquery-updates (GitHub secret)</w:t>
            </w:r>
          </w:p>
        </w:tc>
      </w:tr>
      <w:tr>
        <w:tc>
          <w:tcPr>
            <w:tcW w:type="dxa" w:w="3200"/>
          </w:tcPr>
          <w:p>
            <w:r>
              <w:rPr>
                <w:b w:val="false"/>
                <w:bCs w:val="false"/>
              </w:rPr>
              <w:t xml:space="preserve">DRY_RUN</w:t>
            </w:r>
          </w:p>
        </w:tc>
        <w:tc>
          <w:tcPr>
            <w:tcW w:type="dxa" w:w="6560"/>
          </w:tcPr>
          <w:p>
            <w:r>
              <w:rPr>
                <w:b w:val="false"/>
                <w:bCs w:val="false"/>
              </w:rPr>
              <w:t xml:space="preserve">Set by the workflow based on trigger type — see section 9</w:t>
            </w:r>
          </w:p>
        </w:tc>
      </w:tr>
      <w:tr>
        <w:tc>
          <w:tcPr>
            <w:tcW w:type="dxa" w:w="3200"/>
          </w:tcPr>
          <w:p>
            <w:r>
              <w:rPr>
                <w:b w:val="false"/>
                <w:bCs w:val="false"/>
              </w:rPr>
              <w:t xml:space="preserve">SYNC_MIN_DATE / SYNC_MAX_DATE</w:t>
            </w:r>
          </w:p>
        </w:tc>
        <w:tc>
          <w:tcPr>
            <w:tcW w:type="dxa" w:w="6560"/>
          </w:tcPr>
          <w:p>
            <w:r>
              <w:rPr>
                <w:b w:val="false"/>
                <w:bCs w:val="false"/>
              </w:rPr>
              <w:t xml:space="preserve">Optional manual override for a single explicit date window (testing only)</w:t>
            </w:r>
          </w:p>
        </w:tc>
      </w:tr>
    </w:tbl>
    <w:p>
      <w:pPr>
        <w:pStyle w:val="Heading2"/>
        <w:spacing w:after="120" w:before="240"/>
      </w:pPr>
      <w:r>
        <w:t xml:space="preserve">8. Known Issues / Data Quality Notes</w:t>
      </w:r>
    </w:p>
    <w:p>
      <w:pPr>
        <w:pStyle w:val="ListParagraph"/>
        <w:numPr>
          <w:ilvl w:val="0"/>
          <w:numId w:val="1"/>
        </w:numPr>
        <w:spacing w:after="60"/>
      </w:pPr>
      <w:r>
        <w:t xml:space="preserve">~1,474 pre-existing duplicate rows (under order_number+product_id+variant_id) already existed in the historical baseline data before this automation was ever run — not introduced by this pipeline, not yet cleaned up.</w:t>
      </w:r>
    </w:p>
    <w:p>
      <w:pPr>
        <w:spacing w:after="120"/>
      </w:pPr>
      <w:r>
        <w:rPr>
          <w:b/>
          <w:bCs/>
        </w:rPr>
        <w:t xml:space="preserve">Insert batching:</w:t>
      </w:r>
    </w:p>
    <w:p>
      <w:pPr>
        <w:spacing w:after="120"/>
      </w:pPr>
      <w:r>
        <w:t xml:space="preserve">BigQuery's tabledata.insertAll has an approximate 10MB request size limit. A single large chunk (thousands of wide rows) can exceed this and fail with HTTP 413. All six sync scripts in this repo (b.cycle and SPINCO) insert in batches of 500 rows via scripts/lib/bigquery.mjs — this was discovered and fixed during the SPINCO Reservations build (see GitHub Action Updates).</w:t>
      </w:r>
    </w:p>
    <w:p>
      <w:pPr>
        <w:pStyle w:val="Heading2"/>
        <w:spacing w:after="120" w:before="240"/>
      </w:pPr>
      <w:r>
        <w:t xml:space="preserve">9. GitHub Actions Behavior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200"/>
        <w:gridCol w:w="6560"/>
      </w:tblGrid>
      <w:tr>
        <w:tc>
          <w:tcPr>
            <w:tcW w:type="dxa" w:w="3200"/>
            <w:shd w:fill="E8E8E8" w:val="clear"/>
          </w:tcPr>
          <w:p>
            <w:r>
              <w:rPr>
                <w:b/>
                <w:bCs/>
              </w:rPr>
              <w:t xml:space="preserve">Setting</w:t>
            </w:r>
          </w:p>
        </w:tc>
        <w:tc>
          <w:tcPr>
            <w:tcW w:type="dxa" w:w="6560"/>
            <w:shd w:fill="E8E8E8" w:val="clear"/>
          </w:tcPr>
          <w:p>
            <w:r>
              <w:rPr>
                <w:b/>
                <w:bCs/>
              </w:rPr>
              <w:t xml:space="preserve">Value</w:t>
            </w:r>
          </w:p>
        </w:tc>
      </w:tr>
      <w:tr>
        <w:tc>
          <w:tcPr>
            <w:tcW w:type="dxa" w:w="3200"/>
          </w:tcPr>
          <w:p>
            <w:r>
              <w:rPr>
                <w:b w:val="false"/>
                <w:bCs w:val="false"/>
              </w:rPr>
              <w:t xml:space="preserve">Workflow file</w:t>
            </w:r>
          </w:p>
        </w:tc>
        <w:tc>
          <w:tcPr>
            <w:tcW w:type="dxa" w:w="6560"/>
          </w:tcPr>
          <w:p>
            <w:r>
              <w:rPr>
                <w:b w:val="false"/>
                <w:bCs w:val="false"/>
              </w:rPr>
              <w:t xml:space="preserve">.github/workflows/mtek-sales-to-bigquery.yml</w:t>
            </w:r>
          </w:p>
        </w:tc>
      </w:tr>
      <w:tr>
        <w:tc>
          <w:tcPr>
            <w:tcW w:type="dxa" w:w="3200"/>
          </w:tcPr>
          <w:p>
            <w:r>
              <w:rPr>
                <w:b w:val="false"/>
                <w:bCs w:val="false"/>
              </w:rPr>
              <w:t xml:space="preserve">Script file</w:t>
            </w:r>
          </w:p>
        </w:tc>
        <w:tc>
          <w:tcPr>
            <w:tcW w:type="dxa" w:w="6560"/>
          </w:tcPr>
          <w:p>
            <w:r>
              <w:rPr>
                <w:b w:val="false"/>
                <w:bCs w:val="false"/>
              </w:rPr>
              <w:t xml:space="preserve">scripts/mtek-sales-to-bigquery.mjs</w:t>
            </w:r>
          </w:p>
        </w:tc>
      </w:tr>
      <w:tr>
        <w:tc>
          <w:tcPr>
            <w:tcW w:type="dxa" w:w="3200"/>
          </w:tcPr>
          <w:p>
            <w:r>
              <w:rPr>
                <w:b w:val="false"/>
                <w:bCs w:val="false"/>
              </w:rPr>
              <w:t xml:space="preserve">Schedule</w:t>
            </w:r>
          </w:p>
        </w:tc>
        <w:tc>
          <w:tcPr>
            <w:tcW w:type="dxa" w:w="6560"/>
          </w:tcPr>
          <w:p>
            <w:r>
              <w:rPr>
                <w:b w:val="false"/>
                <w:bCs w:val="false"/>
              </w:rPr>
              <w:t xml:space="preserve">cron: "0 7 * * 1" — every Monday 07:00 UTC (fixed, not DST-adjusted)</w:t>
            </w:r>
          </w:p>
        </w:tc>
      </w:tr>
      <w:tr>
        <w:tc>
          <w:tcPr>
            <w:tcW w:type="dxa" w:w="3200"/>
          </w:tcPr>
          <w:p>
            <w:r>
              <w:rPr>
                <w:b w:val="false"/>
                <w:bCs w:val="false"/>
              </w:rPr>
              <w:t xml:space="preserve">Manual trigger</w:t>
            </w:r>
          </w:p>
        </w:tc>
        <w:tc>
          <w:tcPr>
            <w:tcW w:type="dxa" w:w="6560"/>
          </w:tcPr>
          <w:p>
            <w:r>
              <w:rPr>
                <w:b w:val="false"/>
                <w:bCs w:val="false"/>
              </w:rPr>
              <w:t xml:space="preserve">workflow_dispatch with a dry_run boolean input, default true</w:t>
            </w:r>
          </w:p>
        </w:tc>
      </w:tr>
      <w:tr>
        <w:tc>
          <w:tcPr>
            <w:tcW w:type="dxa" w:w="3200"/>
          </w:tcPr>
          <w:p>
            <w:r>
              <w:rPr>
                <w:b w:val="false"/>
                <w:bCs w:val="false"/>
              </w:rPr>
              <w:t xml:space="preserve">Scheduled-run behavior</w:t>
            </w:r>
          </w:p>
        </w:tc>
        <w:tc>
          <w:tcPr>
            <w:tcW w:type="dxa" w:w="6560"/>
          </w:tcPr>
          <w:p>
            <w:r>
              <w:rPr>
                <w:b w:val="false"/>
                <w:bCs w:val="false"/>
              </w:rPr>
              <w:t xml:space="preserve">Always DRY_RUN=false (writes for real)</w:t>
            </w:r>
          </w:p>
        </w:tc>
      </w:tr>
      <w:tr>
        <w:tc>
          <w:tcPr>
            <w:tcW w:type="dxa" w:w="3200"/>
          </w:tcPr>
          <w:p>
            <w:r>
              <w:rPr>
                <w:b w:val="false"/>
                <w:bCs w:val="false"/>
              </w:rPr>
              <w:t xml:space="preserve">Manual-run behavior</w:t>
            </w:r>
          </w:p>
        </w:tc>
        <w:tc>
          <w:tcPr>
            <w:tcW w:type="dxa" w:w="6560"/>
          </w:tcPr>
          <w:p>
            <w:r>
              <w:rPr>
                <w:b w:val="false"/>
                <w:bCs w:val="false"/>
              </w:rPr>
              <w:t xml:space="preserve">Honors the dry_run input; defaults to a safe dry run</w:t>
            </w:r>
          </w:p>
        </w:tc>
      </w:tr>
    </w:tbl>
    <w:p>
      <w:pPr>
        <w:spacing w:after="120"/>
      </w:pPr>
      <w:r>
        <w:rPr>
          <w:b/>
          <w:bCs/>
        </w:rPr>
        <w:t xml:space="preserve">Required secrets:</w:t>
      </w:r>
    </w:p>
    <w:p>
      <w:pPr>
        <w:pStyle w:val="ListParagraph"/>
        <w:numPr>
          <w:ilvl w:val="0"/>
          <w:numId w:val="1"/>
        </w:numPr>
        <w:spacing w:after="60"/>
      </w:pPr>
      <w:r>
        <w:t xml:space="preserve">MTEK_API_TOKEN</w:t>
      </w:r>
    </w:p>
    <w:p>
      <w:pPr>
        <w:pStyle w:val="ListParagraph"/>
        <w:numPr>
          <w:ilvl w:val="0"/>
          <w:numId w:val="1"/>
        </w:numPr>
        <w:spacing w:after="60"/>
      </w:pPr>
      <w:r>
        <w:t xml:space="preserve">GCP_BQ_SERVICE_ACCOUNT_KEY</w:t>
      </w:r>
    </w:p>
    <w:p>
      <w:pPr>
        <w:pStyle w:val="ListParagraph"/>
        <w:numPr>
          <w:ilvl w:val="0"/>
          <w:numId w:val="1"/>
        </w:numPr>
        <w:spacing w:after="60"/>
      </w:pPr>
      <w:r>
        <w:t xml:space="preserve">SLACK_BIGQUERY_UPDATES_WEBHOOK_URL</w:t>
      </w:r>
    </w:p>
    <w:p>
      <w:pPr>
        <w:pStyle w:val="Heading2"/>
        <w:spacing w:after="120" w:before="240"/>
      </w:pPr>
      <w:r>
        <w:t xml:space="preserve">10. Slack Notifications</w:t>
      </w:r>
    </w:p>
    <w:p>
      <w:pPr>
        <w:spacing w:after="120"/>
      </w:pPr>
      <w:r>
        <w:rPr>
          <w:b/>
          <w:bCs/>
        </w:rPr>
        <w:t xml:space="preserve">On success:</w:t>
      </w:r>
    </w:p>
    <w:p>
      <w:pPr>
        <w:spacing w:after="120"/>
      </w:pPr>
      <w:r>
        <w:t xml:space="preserve">After every real (non-dry-run) insert — once per chunk, so a multi-chunk catch-up run posts multiple messages — the script posts to #bigquery-updates via an incoming webhook (SLACK_BIGQUERY_UPDATES_WEBHOOK_URL). Message format:</w:t>
      </w:r>
    </w:p>
    <w:p>
      <w:pPr>
        <w:shd w:fill="F2F2F2" w:val="clear"/>
        <w:spacing w:after="60"/>
      </w:pPr>
      <w:r>
        <w:rPr>
          <w:rFonts w:ascii="Consolas" w:cs="Consolas" w:eastAsia="Consolas" w:hAnsi="Consolas"/>
          <w:sz w:val="20"/>
          <w:szCs w:val="20"/>
        </w:rPr>
        <w:t xml:space="preserve">b.cycle - Sales added from July 21 to July 27: 1840 rows</w:t>
      </w:r>
    </w:p>
    <w:p>
      <w:pPr>
        <w:spacing w:after="120"/>
      </w:pPr>
      <w:r>
        <w:rPr>
          <w:b/>
          <w:bCs/>
        </w:rPr>
        <w:t xml:space="preserve">On failure:</w:t>
      </w:r>
    </w:p>
    <w:p>
      <w:pPr>
        <w:spacing w:after="120"/>
      </w:pPr>
      <w:r>
        <w:t xml:space="preserve">If main() throws for any reason — a MarianaTek report header shape change, a BigQuery auth error, a network failure, anything uncaught — the script also posts a failure notice to the same channel before exiting non-zero, gated on the same non-dry-run check as the success messages (so manual dry-run test runs stay quiet). Message format:</w:t>
      </w:r>
    </w:p>
    <w:p>
      <w:pPr>
        <w:shd w:fill="F2F2F2" w:val="clear"/>
        <w:spacing w:after="60"/>
      </w:pPr>
      <w:r>
        <w:rPr>
          <w:rFonts w:ascii="Consolas" w:cs="Consolas" w:eastAsia="Consolas" w:hAnsi="Consolas"/>
          <w:sz w:val="20"/>
          <w:szCs w:val="20"/>
        </w:rPr>
        <w:t xml:space="preserve">⚠️ b.cycle - Sales sync failed: Report headers changed shape — refusing to guess. Got: [...]</w:t>
      </w:r>
    </w:p>
    <w:p>
      <w:pPr>
        <w:spacing w:after="120"/>
      </w:pPr>
      <w:r>
        <w:t xml:space="preserve">If the Slack post itself fails (e.g. the webhook is down), that failure is caught separately and logged — it does not swallow the original error or change the script's exit code, so the GitHub Actions run still fails loudly either way.</w:t>
      </w:r>
    </w:p>
    <w:p>
      <w:pPr>
        <w:spacing w:after="120"/>
      </w:pPr>
      <w:r>
        <w:t xml:space="preserve">If the webhook secret is unset, the script logs the message instead of sending it and continues without failing.</w:t>
      </w:r>
    </w:p>
    <w:p>
      <w:pPr>
        <w:pStyle w:val="Heading2"/>
        <w:spacing w:after="120" w:before="240"/>
      </w:pPr>
      <w:r>
        <w:t xml:space="preserve">11. Troubleshooting Guide</w:t>
      </w:r>
    </w:p>
    <w:p>
      <w:pPr>
        <w:spacing w:after="120"/>
      </w:pPr>
      <w:r>
        <w:rPr>
          <w:b/>
          <w:bCs/>
        </w:rPr>
        <w:t xml:space="preserve">Issue: A refund appears missing from BigQuery</w:t>
      </w:r>
    </w:p>
    <w:p>
      <w:pPr>
        <w:spacing w:after="120"/>
      </w:pPr>
      <w:r>
        <w:t xml:space="preserve">Fix: Check whether the refund's dedup key genuinely differs from its original purchase (transaction_date/line_status/line_quantity). Re-run with SYNC_MIN_DATE/SYNC_MAX_DATE covering the suspect range in dry-run mode first to see what the script thinks is already present.</w:t>
      </w:r>
    </w:p>
    <w:p>
      <w:pPr>
        <w:spacing w:after="120"/>
      </w:pPr>
      <w:r>
        <w:rPr>
          <w:b/>
          <w:bCs/>
        </w:rPr>
        <w:t xml:space="preserve">Issue: Duplicate-looking rows in BigQuery</w:t>
      </w:r>
    </w:p>
    <w:p>
      <w:pPr>
        <w:spacing w:after="120"/>
      </w:pPr>
      <w:r>
        <w:t xml:space="preserve">Fix: Check line_status and transaction_date before assuming it's an error — a purchase + same-day refund will legitimately produce two rows sharing most fields.</w:t>
      </w:r>
    </w:p>
    <w:p>
      <w:pPr>
        <w:spacing w:after="120"/>
      </w:pPr>
      <w:r>
        <w:rPr>
          <w:b/>
          <w:bCs/>
        </w:rPr>
        <w:t xml:space="preserve">Issue: headers mismatch error at startup</w:t>
      </w:r>
    </w:p>
    <w:p>
      <w:pPr>
        <w:spacing w:after="120"/>
      </w:pPr>
      <w:r>
        <w:t xml:space="preserve">Fix: the script hard-fails rather than guessing if MarianaTek changes the report's column shape — compare the error's reported headers against the EXPECTED_HEADERS constant in the script and update both the constant and the row mapper together. As of v1.1 this failure also posts a warning to #bigquery-updates (see section 10), so you don't have to check the Actions tab to notice it.</w:t>
      </w:r>
    </w:p>
    <w:p>
      <w:pPr>
        <w:pStyle w:val="Heading2"/>
        <w:spacing w:after="120" w:before="240"/>
      </w:pPr>
      <w:r>
        <w:t xml:space="preserve">12. Manual Testing</w:t>
      </w:r>
    </w:p>
    <w:p>
      <w:pPr>
        <w:spacing w:after="120"/>
      </w:pPr>
      <w:r>
        <w:t xml:space="preserve">Run locally with a real BigQuery credential and MTEK token (never commit these):</w:t>
      </w:r>
    </w:p>
    <w:p>
      <w:pPr>
        <w:shd w:fill="F2F2F2" w:val="clear"/>
        <w:spacing w:after="60"/>
      </w:pPr>
      <w:r>
        <w:rPr>
          <w:rFonts w:ascii="Consolas" w:cs="Consolas" w:eastAsia="Consolas" w:hAnsi="Consolas"/>
          <w:sz w:val="20"/>
          <w:szCs w:val="20"/>
        </w:rPr>
        <w:t xml:space="preserve">GOOGLE_APPLICATION_CREDENTIALS=.gcp-bq-key.json node --env-file=.env scripts/mtek-sales-to-bigquery.mjs</w:t>
      </w:r>
    </w:p>
    <w:p>
      <w:pPr>
        <w:spacing w:after="120"/>
      </w:pPr>
      <w:r>
        <w:t xml:space="preserve">Defaults to DRY_RUN=true (prints what would be inserted, writes nothing). Add DRY_RUN=false to write for real, or SYNC_MIN_DATE / SYNC_MAX_DATE to target an explicit date window instead of the auto-detected catch-up range.</w:t>
      </w:r>
    </w:p>
    <w:p>
      <w:pPr>
        <w:pStyle w:val="Heading2"/>
        <w:spacing w:after="120" w:before="240"/>
      </w:pPr>
      <w:r>
        <w:t xml:space="preserve">13. Summary</w:t>
      </w:r>
    </w:p>
    <w:p>
      <w:pPr>
        <w:spacing w:after="120"/>
      </w:pPr>
      <w:r>
        <w:t xml:space="preserve">Automates b.cycle's weekly Sales report → BigQuery upload. The most complex of the three b.cycle syncs due to refund handling; the dedup key required two rounds of live-data verification to get right (see GitHub Action Updates for the fix history) and should not be simplified without re-checking against real refund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2026-07-28T22:30:05.985Z</dcterms:created>
  <dcterms:modified xsi:type="dcterms:W3CDTF">2026-07-28T22:30:05.985Z</dcterms:modified>
</cp:coreProperties>
</file>

<file path=docProps/custom.xml><?xml version="1.0" encoding="utf-8"?>
<Properties xmlns="http://schemas.openxmlformats.org/officeDocument/2006/custom-properties" xmlns:vt="http://schemas.openxmlformats.org/officeDocument/2006/docPropsVTypes"/>
</file>