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SPINCO First Timers → BigQuery Sync (spinco-first-timers-to-bigquery.yml)</w:t>
      </w:r>
    </w:p>
    <w:p>
      <w:pPr>
        <w:spacing w:after="240"/>
      </w:pPr>
      <w:r>
        <w:rPr>
          <w:i/>
          <w:iCs/>
          <w:color w:val="555555"/>
        </w:rPr>
        <w:t xml:space="preserve">Technical Architecture, Configuration &amp; Debugging Guide</w:t>
      </w:r>
    </w:p>
    <w:p>
      <w:pPr>
        <w:spacing w:after="120"/>
      </w:pPr>
      <w:r>
        <w:rPr>
          <w:color w:val="777777"/>
          <w:sz w:val="20"/>
          <w:szCs w:val="20"/>
        </w:rPr>
        <w:t xml:space="preserve">Version: v1.1 — July 28, 2026</w:t>
      </w:r>
    </w:p>
    <w:p>
      <w:pPr>
        <w:pStyle w:val="Heading2"/>
        <w:spacing w:after="120" w:before="240"/>
      </w:pPr>
      <w:r>
        <w:t xml:space="preserve">1. System Purpose</w:t>
      </w:r>
    </w:p>
    <w:p>
      <w:pPr>
        <w:spacing w:after="120"/>
      </w:pPr>
      <w:r>
        <w:t xml:space="preserve">SPINCO counterpart to the b.cycle First Timers sync — a separate company on the same MarianaTek-style platform, different BigQuery dataset. Pulls SPINCO's First Timers report via MarianaTek's Reports API and appends new rows into the existing SPINCO.`First Timers` table on a weekly schedule.</w:t>
      </w:r>
    </w:p>
    <w:p>
      <w:pPr>
        <w:pStyle w:val="Heading2"/>
        <w:spacing w:after="120" w:before="240"/>
      </w:pPr>
      <w:r>
        <w:t xml:space="preserve">2. High-Level Execution Summary</w:t>
      </w:r>
    </w:p>
    <w:p>
      <w:pPr>
        <w:pStyle w:val="ListParagraph"/>
        <w:numPr>
          <w:ilvl w:val="0"/>
          <w:numId w:val="1"/>
        </w:numPr>
        <w:spacing w:after="60"/>
      </w:pPr>
      <w:r>
        <w:t xml:space="preserve">GitHub Action runs on a Monday 07:00 UTC schedule, or manually via workflow_dispatch.</w:t>
      </w:r>
    </w:p>
    <w:p>
      <w:pPr>
        <w:pStyle w:val="ListParagraph"/>
        <w:numPr>
          <w:ilvl w:val="0"/>
          <w:numId w:val="1"/>
        </w:numPr>
        <w:spacing w:after="60"/>
      </w:pPr>
      <w:r>
        <w:t xml:space="preserve">Queries BigQuery for the latest First Class Date already in SPINCO.`First Timers`.</w:t>
      </w:r>
    </w:p>
    <w:p>
      <w:pPr>
        <w:pStyle w:val="ListParagraph"/>
        <w:numPr>
          <w:ilvl w:val="0"/>
          <w:numId w:val="1"/>
        </w:numPr>
        <w:spacing w:after="60"/>
      </w:pPr>
      <w:r>
        <w:t xml:space="preserve">Fetches SPINCO's "First Timers" report in 2-day windows starting from that date, looping until caught up to yesterday.</w:t>
      </w:r>
    </w:p>
    <w:p>
      <w:pPr>
        <w:pStyle w:val="ListParagraph"/>
        <w:numPr>
          <w:ilvl w:val="0"/>
          <w:numId w:val="1"/>
        </w:numPr>
        <w:spacing w:after="60"/>
      </w:pPr>
      <w:r>
        <w:t xml:space="preserve">Maps each report row onto the table's real typed columns (no string conversion needed, unlike b.cycle's version of this table).</w:t>
      </w:r>
    </w:p>
    <w:p>
      <w:pPr>
        <w:pStyle w:val="ListParagraph"/>
        <w:numPr>
          <w:ilvl w:val="0"/>
          <w:numId w:val="1"/>
        </w:numPr>
        <w:spacing w:after="60"/>
      </w:pPr>
      <w:r>
        <w:t xml:space="preserve">Filters out any Customer ID already present.</w:t>
      </w:r>
    </w:p>
    <w:p>
      <w:pPr>
        <w:pStyle w:val="ListParagraph"/>
        <w:numPr>
          <w:ilvl w:val="0"/>
          <w:numId w:val="1"/>
        </w:numPr>
        <w:spacing w:after="60"/>
      </w:pPr>
      <w:r>
        <w:t xml:space="preserve">Inserts new rows in batches of 500, then posts a summary to #bigquery-updates.</w:t>
      </w:r>
    </w:p>
    <w:p>
      <w:pPr>
        <w:pStyle w:val="Heading2"/>
        <w:spacing w:after="120" w:before="240"/>
      </w:pPr>
      <w:r>
        <w:t xml:space="preserve">3. MarianaTek Reports API Integration</w:t>
      </w:r>
    </w:p>
    <w:p>
      <w:pPr>
        <w:spacing w:after="120"/>
      </w:pPr>
      <w:r>
        <w:t xml:space="preserve">This automation pulls data via MarianaTek's asynchronous table-report API, not a raw list-record endpoint. Report data is shaped like an export (headers array + rows array of arrays), matching what would otherwise be manually downloaded and uploaded.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Setting</w:t>
            </w:r>
          </w:p>
        </w:tc>
        <w:tc>
          <w:tcPr>
            <w:tcW w:type="dxa" w:w="6560"/>
            <w:shd w:fill="E8E8E8" w:val="clear"/>
          </w:tcPr>
          <w:p>
            <w:r>
              <w:rPr>
                <w:b/>
                <w:bCs/>
              </w:rPr>
              <w:t xml:space="preserve">Value</w:t>
            </w:r>
          </w:p>
        </w:tc>
      </w:tr>
      <w:tr>
        <w:tc>
          <w:tcPr>
            <w:tcW w:type="dxa" w:w="3200"/>
          </w:tcPr>
          <w:p>
            <w:r>
              <w:rPr>
                <w:b w:val="false"/>
                <w:bCs w:val="false"/>
              </w:rPr>
              <w:t xml:space="preserve">Base URL</w:t>
            </w:r>
          </w:p>
        </w:tc>
        <w:tc>
          <w:tcPr>
            <w:tcW w:type="dxa" w:w="6560"/>
          </w:tcPr>
          <w:p>
            <w:r>
              <w:rPr>
                <w:b w:val="false"/>
                <w:bCs w:val="false"/>
              </w:rPr>
              <w:t xml:space="preserve">https://spinco.marianatek.com</w:t>
            </w:r>
          </w:p>
        </w:tc>
      </w:tr>
      <w:tr>
        <w:tc>
          <w:tcPr>
            <w:tcW w:type="dxa" w:w="3200"/>
          </w:tcPr>
          <w:p>
            <w:r>
              <w:rPr>
                <w:b w:val="false"/>
                <w:bCs w:val="false"/>
              </w:rPr>
              <w:t xml:space="preserve">Report ID / Slug</w:t>
            </w:r>
          </w:p>
        </w:tc>
        <w:tc>
          <w:tcPr>
            <w:tcW w:type="dxa" w:w="6560"/>
          </w:tcPr>
          <w:p>
            <w:r>
              <w:rPr>
                <w:b w:val="false"/>
                <w:bCs w:val="false"/>
              </w:rPr>
              <w:t xml:space="preserve">317 / first-timers</w:t>
            </w:r>
          </w:p>
        </w:tc>
      </w:tr>
      <w:tr>
        <w:tc>
          <w:tcPr>
            <w:tcW w:type="dxa" w:w="3200"/>
          </w:tcPr>
          <w:p>
            <w:r>
              <w:rPr>
                <w:b w:val="false"/>
                <w:bCs w:val="false"/>
              </w:rPr>
              <w:t xml:space="preserve">Date filter params</w:t>
            </w:r>
          </w:p>
        </w:tc>
        <w:tc>
          <w:tcPr>
            <w:tcW w:type="dxa" w:w="6560"/>
          </w:tcPr>
          <w:p>
            <w:r>
              <w:rPr>
                <w:b w:val="false"/>
                <w:bCs w:val="false"/>
              </w:rPr>
              <w:t xml:space="preserve">min_first_class_date_day=&lt;date&gt;&amp;max_first_class_date_day=&lt;date&gt;</w:t>
            </w:r>
          </w:p>
        </w:tc>
      </w:tr>
      <w:tr>
        <w:tc>
          <w:tcPr>
            <w:tcW w:type="dxa" w:w="3200"/>
          </w:tcPr>
          <w:p>
            <w:r>
              <w:rPr>
                <w:b w:val="false"/>
                <w:bCs w:val="false"/>
              </w:rPr>
              <w:t xml:space="preserve">Auth</w:t>
            </w:r>
          </w:p>
        </w:tc>
        <w:tc>
          <w:tcPr>
            <w:tcW w:type="dxa" w:w="6560"/>
          </w:tcPr>
          <w:p>
            <w:r>
              <w:rPr>
                <w:b w:val="false"/>
                <w:bCs w:val="false"/>
              </w:rPr>
              <w:t xml:space="preserve">Authorization: Bearer &lt;token&gt; (Accept: application/vnd.api+json)</w:t>
            </w:r>
          </w:p>
        </w:tc>
      </w:tr>
    </w:tbl>
    <w:p>
      <w:pPr>
        <w:spacing w:after="120"/>
      </w:pPr>
      <w:r>
        <w:t xml:space="preserve"/>
      </w:r>
    </w:p>
    <w:p>
      <w:pPr>
        <w:spacing w:after="120"/>
      </w:pPr>
      <w:r>
        <w:rPr>
          <w:b/>
          <w:bCs/>
        </w:rPr>
        <w:t xml:space="preserve">Async job flow:</w:t>
      </w:r>
    </w:p>
    <w:p>
      <w:pPr>
        <w:pStyle w:val="ListParagraph"/>
        <w:numPr>
          <w:ilvl w:val="0"/>
          <w:numId w:val="1"/>
        </w:numPr>
        <w:spacing w:after="60"/>
      </w:pPr>
      <w:r>
        <w:t xml:space="preserve">GET https://spinco.marianatek.com/api/async_table_report_data?id=317&amp;slug=first-timers&amp;min_first_class_date_day=&lt;date&gt;&amp;max_first_class_date_day=&lt;date&gt;&amp;page_size=500 → returns a job id.</w:t>
      </w:r>
    </w:p>
    <w:p>
      <w:pPr>
        <w:pStyle w:val="ListParagraph"/>
        <w:numPr>
          <w:ilvl w:val="0"/>
          <w:numId w:val="1"/>
        </w:numPr>
        <w:spacing w:after="60"/>
      </w:pPr>
      <w:r>
        <w:t xml:space="preserve">Poll GET https://spinco.marianatek.com/api/async_table_report_data/job_status?id=&lt;jobId&gt; every 2s until status: "complete".</w:t>
      </w:r>
    </w:p>
    <w:p>
      <w:pPr>
        <w:pStyle w:val="ListParagraph"/>
        <w:numPr>
          <w:ilvl w:val="0"/>
          <w:numId w:val="1"/>
        </w:numPr>
        <w:spacing w:after="60"/>
      </w:pPr>
      <w:r>
        <w:t xml:space="preserve">The completed response includes a presigned S3 URL (s3_link) holding the report JSON ({name, id, headers, rows, total_records}).</w:t>
      </w:r>
    </w:p>
    <w:p>
      <w:pPr>
        <w:pStyle w:val="ListParagraph"/>
        <w:numPr>
          <w:ilvl w:val="0"/>
          <w:numId w:val="1"/>
        </w:numPr>
        <w:spacing w:after="60"/>
      </w:pPr>
      <w:r>
        <w:t xml:space="preserve">Critical: the presigned S3 URL expires within minutes of the job completing — it must be fetched immediately in the same script execution, not handed off or logged for later retrieval.</w:t>
      </w:r>
    </w:p>
    <w:p>
      <w:pPr>
        <w:pStyle w:val="Heading2"/>
        <w:spacing w:after="120" w:before="240"/>
      </w:pPr>
      <w:r>
        <w:t xml:space="preserve">4. BigQuery Target &amp; Schema Mapping</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Setting</w:t>
            </w:r>
          </w:p>
        </w:tc>
        <w:tc>
          <w:tcPr>
            <w:tcW w:type="dxa" w:w="6560"/>
            <w:shd w:fill="E8E8E8" w:val="clear"/>
          </w:tcPr>
          <w:p>
            <w:r>
              <w:rPr>
                <w:b/>
                <w:bCs/>
              </w:rPr>
              <w:t xml:space="preserve">Value</w:t>
            </w:r>
          </w:p>
        </w:tc>
      </w:tr>
      <w:tr>
        <w:tc>
          <w:tcPr>
            <w:tcW w:type="dxa" w:w="3200"/>
          </w:tcPr>
          <w:p>
            <w:r>
              <w:rPr>
                <w:b w:val="false"/>
                <w:bCs w:val="false"/>
              </w:rPr>
              <w:t xml:space="preserve">Project</w:t>
            </w:r>
          </w:p>
        </w:tc>
        <w:tc>
          <w:tcPr>
            <w:tcW w:type="dxa" w:w="6560"/>
          </w:tcPr>
          <w:p>
            <w:r>
              <w:rPr>
                <w:b w:val="false"/>
                <w:bCs w:val="false"/>
              </w:rPr>
              <w:t xml:space="preserve">root-cargo-453703-k7</w:t>
            </w:r>
          </w:p>
        </w:tc>
      </w:tr>
      <w:tr>
        <w:tc>
          <w:tcPr>
            <w:tcW w:type="dxa" w:w="3200"/>
          </w:tcPr>
          <w:p>
            <w:r>
              <w:rPr>
                <w:b w:val="false"/>
                <w:bCs w:val="false"/>
              </w:rPr>
              <w:t xml:space="preserve">Dataset.Table</w:t>
            </w:r>
          </w:p>
        </w:tc>
        <w:tc>
          <w:tcPr>
            <w:tcW w:type="dxa" w:w="6560"/>
          </w:tcPr>
          <w:p>
            <w:r>
              <w:rPr>
                <w:b w:val="false"/>
                <w:bCs w:val="false"/>
              </w:rPr>
              <w:t xml:space="preserve">root-cargo-453703-k7.SPINCO.`First Timers`</w:t>
            </w:r>
          </w:p>
        </w:tc>
      </w:tr>
      <w:tr>
        <w:tc>
          <w:tcPr>
            <w:tcW w:type="dxa" w:w="3200"/>
          </w:tcPr>
          <w:p>
            <w:r>
              <w:rPr>
                <w:b w:val="false"/>
                <w:bCs w:val="false"/>
              </w:rPr>
              <w:t xml:space="preserve">Column count</w:t>
            </w:r>
          </w:p>
        </w:tc>
        <w:tc>
          <w:tcPr>
            <w:tcW w:type="dxa" w:w="6560"/>
          </w:tcPr>
          <w:p>
            <w:r>
              <w:rPr>
                <w:b w:val="false"/>
                <w:bCs w:val="false"/>
              </w:rPr>
              <w:t xml:space="preserve">13</w:t>
            </w:r>
          </w:p>
        </w:tc>
      </w:tr>
      <w:tr>
        <w:tc>
          <w:tcPr>
            <w:tcW w:type="dxa" w:w="3200"/>
          </w:tcPr>
          <w:p>
            <w:r>
              <w:rPr>
                <w:b w:val="false"/>
                <w:bCs w:val="false"/>
              </w:rPr>
              <w:t xml:space="preserve">Column typing</w:t>
            </w:r>
          </w:p>
        </w:tc>
        <w:tc>
          <w:tcPr>
            <w:tcW w:type="dxa" w:w="6560"/>
          </w:tcPr>
          <w:p>
            <w:r>
              <w:rPr>
                <w:b w:val="false"/>
                <w:bCs w:val="false"/>
              </w:rPr>
              <w:t xml:space="preserve">Real typed columns (DATE/BOOLEAN/INTEGER) — confirmed by report ID 317 returning report name "First Timers" on SPINCO's tenant, same numeric report ID as b.cycle by coincidence of MarianaTek's report catalog, but a genuinely different tenant/base URL.</w:t>
            </w:r>
          </w:p>
        </w:tc>
      </w:tr>
    </w:tbl>
    <w:p>
      <w:pPr>
        <w:spacing w:after="120"/>
      </w:pPr>
      <w:r>
        <w:t xml:space="preserve"/>
      </w:r>
    </w:p>
    <w:p>
      <w:pPr>
        <w:spacing w:after="120"/>
      </w:pPr>
      <w:r>
        <w:rPr>
          <w:b/>
          <w:bCs/>
        </w:rPr>
        <w:t xml:space="preserve">Report headers (in order):</w:t>
      </w:r>
    </w:p>
    <w:p>
      <w:pPr>
        <w:shd w:fill="F2F2F2" w:val="clear"/>
        <w:spacing w:after="60"/>
      </w:pPr>
      <w:r>
        <w:rPr>
          <w:rFonts w:ascii="Consolas" w:cs="Consolas" w:eastAsia="Consolas" w:hAnsi="Consolas"/>
          <w:sz w:val="20"/>
          <w:szCs w:val="20"/>
        </w:rPr>
        <w:t xml:space="preserve">Customer, Customer ID, Customer Email, Customer Phone Number, Join Date, First Class Date, Class Start Time, Class Location, Class Type, Class Category, Instructor Name, Guest Reservation?, Pay With Type</w:t>
      </w:r>
    </w:p>
    <w:p>
      <w:pPr>
        <w:spacing w:after="120"/>
      </w:pPr>
      <w:r>
        <w:rPr>
          <w:b/>
          <w:bCs/>
        </w:rPr>
        <w:t xml:space="preserve">Schema notes:</w:t>
      </w:r>
    </w:p>
    <w:p>
      <w:pPr>
        <w:pStyle w:val="ListParagraph"/>
        <w:numPr>
          <w:ilvl w:val="0"/>
          <w:numId w:val="1"/>
        </w:numPr>
        <w:spacing w:after="60"/>
      </w:pPr>
      <w:r>
        <w:t xml:space="preserve">Unlike b.cycle's FirstTimersMTEK (messy CSV-import legacy table), SPINCO's `First Timers` table has no CSV-junk-row problem — it was built with a real schema from the start.</w:t>
      </w:r>
    </w:p>
    <w:p>
      <w:pPr>
        <w:pStyle w:val="ListParagraph"/>
        <w:numPr>
          <w:ilvl w:val="0"/>
          <w:numId w:val="1"/>
        </w:numPr>
        <w:spacing w:after="60"/>
      </w:pPr>
      <w:r>
        <w:t xml:space="preserve">Join Date and First Class Date are truncated from the API's ISO datetime and inserted directly as real DATE values.</w:t>
      </w:r>
    </w:p>
    <w:p>
      <w:pPr>
        <w:pStyle w:val="ListParagraph"/>
        <w:numPr>
          <w:ilvl w:val="0"/>
          <w:numId w:val="1"/>
        </w:numPr>
        <w:spacing w:after="60"/>
      </w:pPr>
      <w:r>
        <w:t xml:space="preserve">Guest Reservation_ (BigQuery's normalization of "Guest Reservation?") receives the API's real boolean value unchanged.</w:t>
      </w:r>
    </w:p>
    <w:p>
      <w:pPr>
        <w:pStyle w:val="ListParagraph"/>
        <w:numPr>
          <w:ilvl w:val="0"/>
          <w:numId w:val="1"/>
        </w:numPr>
        <w:spacing w:after="60"/>
      </w:pPr>
      <w:r>
        <w:t xml:space="preserve">Class Start Time is converted to 12-hour non-zero-padded-hour format (e.g. 6:00 AM) to match existing data.</w:t>
      </w:r>
    </w:p>
    <w:p>
      <w:pPr>
        <w:pStyle w:val="Heading2"/>
        <w:spacing w:after="120" w:before="240"/>
      </w:pPr>
      <w:r>
        <w:t xml:space="preserve">5. Sync Window &amp; Catch-Up Logic</w:t>
      </w:r>
    </w:p>
    <w:p>
      <w:pPr>
        <w:spacing w:after="120"/>
      </w:pPr>
      <w:r>
        <w:t xml:space="preserve">Each run queries BigQuery for the latest First Class Date already present in the target table, then walks forward from that date in windows of at most 2 day(s) at a time — fetching, deduping, and inserting one chunk before starting the next — until it reaches yesterday (UTC). Today's data is treated as incomplete and is never pulled. If the sync has fallen behind (e.g. a missed run), a single execution will process multiple chunks back-to-back rather than waiting for subsequent scheduled runs to catch up.</w:t>
      </w:r>
    </w:p>
    <w:p>
      <w:pPr>
        <w:pStyle w:val="ListParagraph"/>
        <w:numPr>
          <w:ilvl w:val="0"/>
          <w:numId w:val="1"/>
        </w:numPr>
        <w:spacing w:after="60"/>
      </w:pPr>
      <w:r>
        <w:t xml:space="preserve">Chunk size for this table: 2 day(s) (see script constant MAX_WINDOW_DAYS).</w:t>
      </w:r>
    </w:p>
    <w:p>
      <w:pPr>
        <w:pStyle w:val="ListParagraph"/>
        <w:numPr>
          <w:ilvl w:val="0"/>
          <w:numId w:val="1"/>
        </w:numPr>
        <w:spacing w:after="60"/>
      </w:pPr>
      <w:r>
        <w:t xml:space="preserve">The chunk cap exists because a single wide report fetch or a single BigQuery insert call can exceed API/size limits at high data volumes (see section 8).</w:t>
      </w:r>
    </w:p>
    <w:p>
      <w:pPr>
        <w:pStyle w:val="Heading2"/>
        <w:spacing w:after="120" w:before="240"/>
      </w:pPr>
      <w:r>
        <w:t xml:space="preserve">6. Deduplication Strategy</w:t>
      </w:r>
    </w:p>
    <w:p>
      <w:pPr>
        <w:spacing w:after="120"/>
      </w:pPr>
      <w:r>
        <w:rPr>
          <w:b/>
          <w:bCs/>
        </w:rPr>
        <w:t xml:space="preserve">Dedup key: </w:t>
      </w:r>
    </w:p>
    <w:p>
      <w:pPr>
        <w:shd w:fill="F2F2F2" w:val="clear"/>
        <w:spacing w:after="60"/>
      </w:pPr>
      <w:r>
        <w:rPr>
          <w:rFonts w:ascii="Consolas" w:cs="Consolas" w:eastAsia="Consolas" w:hAnsi="Consolas"/>
          <w:sz w:val="20"/>
          <w:szCs w:val="20"/>
        </w:rPr>
        <w:t xml:space="preserve">Customer ID</w:t>
      </w:r>
    </w:p>
    <w:p>
      <w:pPr>
        <w:pStyle w:val="ListParagraph"/>
        <w:numPr>
          <w:ilvl w:val="0"/>
          <w:numId w:val="1"/>
        </w:numPr>
        <w:spacing w:after="60"/>
      </w:pPr>
      <w:r>
        <w:t xml:space="preserve">Same logic as b.cycle's version: a customer should only ever appear once as a first-timer.</w:t>
      </w:r>
    </w:p>
    <w:p>
      <w:pPr>
        <w:pStyle w:val="ListParagraph"/>
        <w:numPr>
          <w:ilvl w:val="0"/>
          <w:numId w:val="1"/>
        </w:numPr>
        <w:spacing w:after="60"/>
      </w:pPr>
      <w:r>
        <w:t xml:space="preserve">SPINCO uses a 2-day chunk size (vs. b.cycle's 7) because of its much higher weekly data volume — see section 5.</w:t>
      </w:r>
    </w:p>
    <w:p>
      <w:pPr>
        <w:pStyle w:val="Heading2"/>
        <w:spacing w:after="120" w:before="240"/>
      </w:pPr>
      <w:r>
        <w:t xml:space="preserve">7. Environment Variables &amp; Secrets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Variable</w:t>
            </w:r>
          </w:p>
        </w:tc>
        <w:tc>
          <w:tcPr>
            <w:tcW w:type="dxa" w:w="6560"/>
            <w:shd w:fill="E8E8E8" w:val="clear"/>
          </w:tcPr>
          <w:p>
            <w:r>
              <w:rPr>
                <w:b/>
                <w:bCs/>
              </w:rPr>
              <w:t xml:space="preserve">Purpose</w:t>
            </w:r>
          </w:p>
        </w:tc>
      </w:tr>
      <w:tr>
        <w:tc>
          <w:tcPr>
            <w:tcW w:type="dxa" w:w="3200"/>
          </w:tcPr>
          <w:p>
            <w:r>
              <w:rPr>
                <w:b w:val="false"/>
                <w:bCs w:val="false"/>
              </w:rPr>
              <w:t xml:space="preserve">MTEK_SPINCO_BASE_URL</w:t>
            </w:r>
          </w:p>
        </w:tc>
        <w:tc>
          <w:tcPr>
            <w:tcW w:type="dxa" w:w="6560"/>
          </w:tcPr>
          <w:p>
            <w:r>
              <w:rPr>
                <w:b w:val="false"/>
                <w:bCs w:val="false"/>
              </w:rPr>
              <w:t xml:space="preserve">https://spinco.marianatek.com (hardcoded in the workflow)</w:t>
            </w:r>
          </w:p>
        </w:tc>
      </w:tr>
      <w:tr>
        <w:tc>
          <w:tcPr>
            <w:tcW w:type="dxa" w:w="3200"/>
          </w:tcPr>
          <w:p>
            <w:r>
              <w:rPr>
                <w:b w:val="false"/>
                <w:bCs w:val="false"/>
              </w:rPr>
              <w:t xml:space="preserve">MTEK_SPINCO_API_TOKEN</w:t>
            </w:r>
          </w:p>
        </w:tc>
        <w:tc>
          <w:tcPr>
            <w:tcW w:type="dxa" w:w="6560"/>
          </w:tcPr>
          <w:p>
            <w:r>
              <w:rPr>
                <w:b w:val="false"/>
                <w:bCs w:val="false"/>
              </w:rPr>
              <w:t xml:space="preserve">MarianaTek bearer token for SPINCO's tenant (GitHub secret) — separate token from b.cycle's, since these are different MarianaTek accounts</w:t>
            </w:r>
          </w:p>
        </w:tc>
      </w:tr>
      <w:tr>
        <w:tc>
          <w:tcPr>
            <w:tcW w:type="dxa" w:w="3200"/>
          </w:tcPr>
          <w:p>
            <w:r>
              <w:rPr>
                <w:b w:val="false"/>
                <w:bCs w:val="false"/>
              </w:rPr>
              <w:t xml:space="preserve">SLACK_BIGQUERY_UPDATES_WEBHOOK_URL</w:t>
            </w:r>
          </w:p>
        </w:tc>
        <w:tc>
          <w:tcPr>
            <w:tcW w:type="dxa" w:w="6560"/>
          </w:tcPr>
          <w:p>
            <w:r>
              <w:rPr>
                <w:b w:val="false"/>
                <w:bCs w:val="false"/>
              </w:rPr>
              <w:t xml:space="preserve">Slack incoming webhook for #bigquery-updates (GitHub secret, shared with b.cycle)</w:t>
            </w:r>
          </w:p>
        </w:tc>
      </w:tr>
      <w:tr>
        <w:tc>
          <w:tcPr>
            <w:tcW w:type="dxa" w:w="3200"/>
          </w:tcPr>
          <w:p>
            <w:r>
              <w:rPr>
                <w:b w:val="false"/>
                <w:bCs w:val="false"/>
              </w:rPr>
              <w:t xml:space="preserve">DRY_RUN</w:t>
            </w:r>
          </w:p>
        </w:tc>
        <w:tc>
          <w:tcPr>
            <w:tcW w:type="dxa" w:w="6560"/>
          </w:tcPr>
          <w:p>
            <w:r>
              <w:rPr>
                <w:b w:val="false"/>
                <w:bCs w:val="false"/>
              </w:rPr>
              <w:t xml:space="preserve">Set by the workflow based on trigger type — see section 9</w:t>
            </w:r>
          </w:p>
        </w:tc>
      </w:tr>
      <w:tr>
        <w:tc>
          <w:tcPr>
            <w:tcW w:type="dxa" w:w="3200"/>
          </w:tcPr>
          <w:p>
            <w:r>
              <w:rPr>
                <w:b w:val="false"/>
                <w:bCs w:val="false"/>
              </w:rPr>
              <w:t xml:space="preserve">SYNC_MIN_DATE / SYNC_MAX_DATE</w:t>
            </w:r>
          </w:p>
        </w:tc>
        <w:tc>
          <w:tcPr>
            <w:tcW w:type="dxa" w:w="6560"/>
          </w:tcPr>
          <w:p>
            <w:r>
              <w:rPr>
                <w:b w:val="false"/>
                <w:bCs w:val="false"/>
              </w:rPr>
              <w:t xml:space="preserve">Optional manual override for a single explicit date window (testing only)</w:t>
            </w:r>
          </w:p>
        </w:tc>
      </w:tr>
    </w:tbl>
    <w:p>
      <w:pPr>
        <w:pStyle w:val="Heading2"/>
        <w:spacing w:after="120" w:before="240"/>
      </w:pPr>
      <w:r>
        <w:t xml:space="preserve">8. Known Issues / Data Quality Notes</w:t>
      </w:r>
    </w:p>
    <w:p>
      <w:pPr>
        <w:spacing w:after="120"/>
      </w:pPr>
      <w:r>
        <w:t xml:space="preserve">None identified during initial build and live verification.</w:t>
      </w:r>
    </w:p>
    <w:p>
      <w:pPr>
        <w:spacing w:after="120"/>
      </w:pPr>
      <w:r>
        <w:rPr>
          <w:b/>
          <w:bCs/>
        </w:rPr>
        <w:t xml:space="preserve">Insert batching:</w:t>
      </w:r>
    </w:p>
    <w:p>
      <w:pPr>
        <w:spacing w:after="120"/>
      </w:pPr>
      <w:r>
        <w:t xml:space="preserve">BigQuery's tabledata.insertAll has an approximate 10MB request size limit. A single large chunk (thousands of wide rows) can exceed this and fail with HTTP 413. All six sync scripts in this repo (b.cycle and SPINCO) insert in batches of 500 rows via scripts/lib/bigquery.mjs — this was discovered and fixed during the SPINCO Reservations build (see GitHub Action Updates).</w:t>
      </w:r>
    </w:p>
    <w:p>
      <w:pPr>
        <w:pStyle w:val="Heading2"/>
        <w:spacing w:after="120" w:before="240"/>
      </w:pPr>
      <w:r>
        <w:t xml:space="preserve">9. GitHub Actions Behavior</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Setting</w:t>
            </w:r>
          </w:p>
        </w:tc>
        <w:tc>
          <w:tcPr>
            <w:tcW w:type="dxa" w:w="6560"/>
            <w:shd w:fill="E8E8E8" w:val="clear"/>
          </w:tcPr>
          <w:p>
            <w:r>
              <w:rPr>
                <w:b/>
                <w:bCs/>
              </w:rPr>
              <w:t xml:space="preserve">Value</w:t>
            </w:r>
          </w:p>
        </w:tc>
      </w:tr>
      <w:tr>
        <w:tc>
          <w:tcPr>
            <w:tcW w:type="dxa" w:w="3200"/>
          </w:tcPr>
          <w:p>
            <w:r>
              <w:rPr>
                <w:b w:val="false"/>
                <w:bCs w:val="false"/>
              </w:rPr>
              <w:t xml:space="preserve">Workflow file</w:t>
            </w:r>
          </w:p>
        </w:tc>
        <w:tc>
          <w:tcPr>
            <w:tcW w:type="dxa" w:w="6560"/>
          </w:tcPr>
          <w:p>
            <w:r>
              <w:rPr>
                <w:b w:val="false"/>
                <w:bCs w:val="false"/>
              </w:rPr>
              <w:t xml:space="preserve">.github/workflows/spinco-first-timers-to-bigquery.yml</w:t>
            </w:r>
          </w:p>
        </w:tc>
      </w:tr>
      <w:tr>
        <w:tc>
          <w:tcPr>
            <w:tcW w:type="dxa" w:w="3200"/>
          </w:tcPr>
          <w:p>
            <w:r>
              <w:rPr>
                <w:b w:val="false"/>
                <w:bCs w:val="false"/>
              </w:rPr>
              <w:t xml:space="preserve">Script file</w:t>
            </w:r>
          </w:p>
        </w:tc>
        <w:tc>
          <w:tcPr>
            <w:tcW w:type="dxa" w:w="6560"/>
          </w:tcPr>
          <w:p>
            <w:r>
              <w:rPr>
                <w:b w:val="false"/>
                <w:bCs w:val="false"/>
              </w:rPr>
              <w:t xml:space="preserve">scripts/spinco-first-timers-to-bigquery.mjs</w:t>
            </w:r>
          </w:p>
        </w:tc>
      </w:tr>
      <w:tr>
        <w:tc>
          <w:tcPr>
            <w:tcW w:type="dxa" w:w="3200"/>
          </w:tcPr>
          <w:p>
            <w:r>
              <w:rPr>
                <w:b w:val="false"/>
                <w:bCs w:val="false"/>
              </w:rPr>
              <w:t xml:space="preserve">Schedule</w:t>
            </w:r>
          </w:p>
        </w:tc>
        <w:tc>
          <w:tcPr>
            <w:tcW w:type="dxa" w:w="6560"/>
          </w:tcPr>
          <w:p>
            <w:r>
              <w:rPr>
                <w:b w:val="false"/>
                <w:bCs w:val="false"/>
              </w:rPr>
              <w:t xml:space="preserve">cron: "0 7 * * 1" — every Monday 07:00 UTC (fixed, not DST-adjusted)</w:t>
            </w:r>
          </w:p>
        </w:tc>
      </w:tr>
      <w:tr>
        <w:tc>
          <w:tcPr>
            <w:tcW w:type="dxa" w:w="3200"/>
          </w:tcPr>
          <w:p>
            <w:r>
              <w:rPr>
                <w:b w:val="false"/>
                <w:bCs w:val="false"/>
              </w:rPr>
              <w:t xml:space="preserve">Manual trigger</w:t>
            </w:r>
          </w:p>
        </w:tc>
        <w:tc>
          <w:tcPr>
            <w:tcW w:type="dxa" w:w="6560"/>
          </w:tcPr>
          <w:p>
            <w:r>
              <w:rPr>
                <w:b w:val="false"/>
                <w:bCs w:val="false"/>
              </w:rPr>
              <w:t xml:space="preserve">workflow_dispatch with a dry_run boolean input, default true</w:t>
            </w:r>
          </w:p>
        </w:tc>
      </w:tr>
      <w:tr>
        <w:tc>
          <w:tcPr>
            <w:tcW w:type="dxa" w:w="3200"/>
          </w:tcPr>
          <w:p>
            <w:r>
              <w:rPr>
                <w:b w:val="false"/>
                <w:bCs w:val="false"/>
              </w:rPr>
              <w:t xml:space="preserve">Scheduled-run behavior</w:t>
            </w:r>
          </w:p>
        </w:tc>
        <w:tc>
          <w:tcPr>
            <w:tcW w:type="dxa" w:w="6560"/>
          </w:tcPr>
          <w:p>
            <w:r>
              <w:rPr>
                <w:b w:val="false"/>
                <w:bCs w:val="false"/>
              </w:rPr>
              <w:t xml:space="preserve">Always DRY_RUN=false (writes for real)</w:t>
            </w:r>
          </w:p>
        </w:tc>
      </w:tr>
      <w:tr>
        <w:tc>
          <w:tcPr>
            <w:tcW w:type="dxa" w:w="3200"/>
          </w:tcPr>
          <w:p>
            <w:r>
              <w:rPr>
                <w:b w:val="false"/>
                <w:bCs w:val="false"/>
              </w:rPr>
              <w:t xml:space="preserve">Manual-run behavior</w:t>
            </w:r>
          </w:p>
        </w:tc>
        <w:tc>
          <w:tcPr>
            <w:tcW w:type="dxa" w:w="6560"/>
          </w:tcPr>
          <w:p>
            <w:r>
              <w:rPr>
                <w:b w:val="false"/>
                <w:bCs w:val="false"/>
              </w:rPr>
              <w:t xml:space="preserve">Honors the dry_run input; defaults to a safe dry run</w:t>
            </w:r>
          </w:p>
        </w:tc>
      </w:tr>
    </w:tbl>
    <w:p>
      <w:pPr>
        <w:spacing w:after="120"/>
      </w:pPr>
      <w:r>
        <w:rPr>
          <w:b/>
          <w:bCs/>
        </w:rPr>
        <w:t xml:space="preserve">Required secrets:</w:t>
      </w:r>
    </w:p>
    <w:p>
      <w:pPr>
        <w:pStyle w:val="ListParagraph"/>
        <w:numPr>
          <w:ilvl w:val="0"/>
          <w:numId w:val="1"/>
        </w:numPr>
        <w:spacing w:after="60"/>
      </w:pPr>
      <w:r>
        <w:t xml:space="preserve">MTEK_SPINCO_API_TOKEN</w:t>
      </w:r>
    </w:p>
    <w:p>
      <w:pPr>
        <w:pStyle w:val="ListParagraph"/>
        <w:numPr>
          <w:ilvl w:val="0"/>
          <w:numId w:val="1"/>
        </w:numPr>
        <w:spacing w:after="60"/>
      </w:pPr>
      <w:r>
        <w:t xml:space="preserve">GCP_BQ_SERVICE_ACCOUNT_KEY</w:t>
      </w:r>
    </w:p>
    <w:p>
      <w:pPr>
        <w:pStyle w:val="ListParagraph"/>
        <w:numPr>
          <w:ilvl w:val="0"/>
          <w:numId w:val="1"/>
        </w:numPr>
        <w:spacing w:after="60"/>
      </w:pPr>
      <w:r>
        <w:t xml:space="preserve">SLACK_BIGQUERY_UPDATES_WEBHOOK_URL</w:t>
      </w:r>
    </w:p>
    <w:p>
      <w:pPr>
        <w:pStyle w:val="Heading2"/>
        <w:spacing w:after="120" w:before="240"/>
      </w:pPr>
      <w:r>
        <w:t xml:space="preserve">10. Slack Notifications</w:t>
      </w:r>
    </w:p>
    <w:p>
      <w:pPr>
        <w:spacing w:after="120"/>
      </w:pPr>
      <w:r>
        <w:rPr>
          <w:b/>
          <w:bCs/>
        </w:rPr>
        <w:t xml:space="preserve">On success:</w:t>
      </w:r>
    </w:p>
    <w:p>
      <w:pPr>
        <w:spacing w:after="120"/>
      </w:pPr>
      <w:r>
        <w:t xml:space="preserve">After every real (non-dry-run) insert — once per chunk, so a multi-chunk catch-up run posts multiple messages — the script posts to #bigquery-updates via an incoming webhook (SLACK_BIGQUERY_UPDATES_WEBHOOK_URL). Message format:</w:t>
      </w:r>
    </w:p>
    <w:p>
      <w:pPr>
        <w:shd w:fill="F2F2F2" w:val="clear"/>
        <w:spacing w:after="60"/>
      </w:pPr>
      <w:r>
        <w:rPr>
          <w:rFonts w:ascii="Consolas" w:cs="Consolas" w:eastAsia="Consolas" w:hAnsi="Consolas"/>
          <w:sz w:val="20"/>
          <w:szCs w:val="20"/>
        </w:rPr>
        <w:t xml:space="preserve">SPINCO - First Timers added from July 26 to July 27: 198 rows</w:t>
      </w:r>
    </w:p>
    <w:p>
      <w:pPr>
        <w:spacing w:after="120"/>
      </w:pPr>
      <w:r>
        <w:rPr>
          <w:b/>
          <w:bCs/>
        </w:rPr>
        <w:t xml:space="preserve">On failure:</w:t>
      </w:r>
    </w:p>
    <w:p>
      <w:pPr>
        <w:spacing w:after="120"/>
      </w:pPr>
      <w:r>
        <w:t xml:space="preserve">If main() throws for any reason — a MarianaTek report header shape change, a BigQuery auth error, a network failure, anything uncaught — the script also posts a failure notice to the same channel before exiting non-zero, gated on the same non-dry-run check as the success messages (so manual dry-run test runs stay quiet). Message format:</w:t>
      </w:r>
    </w:p>
    <w:p>
      <w:pPr>
        <w:shd w:fill="F2F2F2" w:val="clear"/>
        <w:spacing w:after="60"/>
      </w:pPr>
      <w:r>
        <w:rPr>
          <w:rFonts w:ascii="Consolas" w:cs="Consolas" w:eastAsia="Consolas" w:hAnsi="Consolas"/>
          <w:sz w:val="20"/>
          <w:szCs w:val="20"/>
        </w:rPr>
        <w:t xml:space="preserve">⚠️ SPINCO - First Timers sync failed: Report headers changed shape — refusing to guess. Got: [...]</w:t>
      </w:r>
    </w:p>
    <w:p>
      <w:pPr>
        <w:spacing w:after="120"/>
      </w:pPr>
      <w:r>
        <w:t xml:space="preserve">If the Slack post itself fails (e.g. the webhook is down), that failure is caught separately and logged — it does not swallow the original error or change the script's exit code, so the GitHub Actions run still fails loudly either way.</w:t>
      </w:r>
    </w:p>
    <w:p>
      <w:pPr>
        <w:spacing w:after="120"/>
      </w:pPr>
      <w:r>
        <w:t xml:space="preserve">If the webhook secret is unset, the script logs the message instead of sending it and continues without failing.</w:t>
      </w:r>
    </w:p>
    <w:p>
      <w:pPr>
        <w:pStyle w:val="Heading2"/>
        <w:spacing w:after="120" w:before="240"/>
      </w:pPr>
      <w:r>
        <w:t xml:space="preserve">11. Troubleshooting Guide</w:t>
      </w:r>
    </w:p>
    <w:p>
      <w:pPr>
        <w:spacing w:after="120"/>
      </w:pPr>
      <w:r>
        <w:rPr>
          <w:b/>
          <w:bCs/>
        </w:rPr>
        <w:t xml:space="preserve">Issue: Backtick errors in BigQuery queries against this table</w:t>
      </w:r>
    </w:p>
    <w:p>
      <w:pPr>
        <w:spacing w:after="120"/>
      </w:pPr>
      <w:r>
        <w:t xml:space="preserve">Fix: The table name has a space (`First Timers`) and must always be backtick-quoted: `root-cargo-453703-k7.SPINCO.\`First Timers\``.</w:t>
      </w:r>
    </w:p>
    <w:p>
      <w:pPr>
        <w:spacing w:after="120"/>
      </w:pPr>
      <w:r>
        <w:rPr>
          <w:b/>
          <w:bCs/>
        </w:rPr>
        <w:t xml:space="preserve">Issue: headers mismatch error at startup</w:t>
      </w:r>
    </w:p>
    <w:p>
      <w:pPr>
        <w:spacing w:after="120"/>
      </w:pPr>
      <w:r>
        <w:t xml:space="preserve">Fix: the script hard-fails rather than guessing if MarianaTek changes the report's column shape — compare the error's reported headers against the EXPECTED_HEADERS constant in the script and update both the constant and the row mapper together. As of v1.1 this failure also posts a warning to #bigquery-updates (see section 10), so you don't have to check the Actions tab to notice it.</w:t>
      </w:r>
    </w:p>
    <w:p>
      <w:pPr>
        <w:pStyle w:val="Heading2"/>
        <w:spacing w:after="120" w:before="240"/>
      </w:pPr>
      <w:r>
        <w:t xml:space="preserve">12. Manual Testing</w:t>
      </w:r>
    </w:p>
    <w:p>
      <w:pPr>
        <w:spacing w:after="120"/>
      </w:pPr>
      <w:r>
        <w:t xml:space="preserve">Run locally with a real BigQuery credential and MTEK token (never commit these):</w:t>
      </w:r>
    </w:p>
    <w:p>
      <w:pPr>
        <w:shd w:fill="F2F2F2" w:val="clear"/>
        <w:spacing w:after="60"/>
      </w:pPr>
      <w:r>
        <w:rPr>
          <w:rFonts w:ascii="Consolas" w:cs="Consolas" w:eastAsia="Consolas" w:hAnsi="Consolas"/>
          <w:sz w:val="20"/>
          <w:szCs w:val="20"/>
        </w:rPr>
        <w:t xml:space="preserve">GOOGLE_APPLICATION_CREDENTIALS=.gcp-bq-key.json node --env-file=.env scripts/spinco-first-timers-to-bigquery.mjs</w:t>
      </w:r>
    </w:p>
    <w:p>
      <w:pPr>
        <w:spacing w:after="120"/>
      </w:pPr>
      <w:r>
        <w:t xml:space="preserve">Defaults to DRY_RUN=true (prints what would be inserted, writes nothing). Add DRY_RUN=false to write for real, or SYNC_MIN_DATE / SYNC_MAX_DATE to target an explicit date window instead of the auto-detected catch-up range.</w:t>
      </w:r>
    </w:p>
    <w:p>
      <w:pPr>
        <w:pStyle w:val="Heading2"/>
        <w:spacing w:after="120" w:before="240"/>
      </w:pPr>
      <w:r>
        <w:t xml:space="preserve">13. Summary</w:t>
      </w:r>
    </w:p>
    <w:p>
      <w:pPr>
        <w:spacing w:after="120"/>
      </w:pPr>
      <w:r>
        <w:t xml:space="preserve">Automates SPINCO's weekly First Timers report → BigQuery upload, mirroring the b.cycle pattern but adapted for SPINCO's cleaner target schema and higher data volume (2-day chunking instead of 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2026-07-28T22:30:06.001Z</dcterms:created>
  <dcterms:modified xsi:type="dcterms:W3CDTF">2026-07-28T22:30:06.001Z</dcterms:modified>
</cp:coreProperties>
</file>

<file path=docProps/custom.xml><?xml version="1.0" encoding="utf-8"?>
<Properties xmlns="http://schemas.openxmlformats.org/officeDocument/2006/custom-properties" xmlns:vt="http://schemas.openxmlformats.org/officeDocument/2006/docPropsVTypes"/>
</file>