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SPINCO Reservations → BigQuery Sync (spinco-reservations-to-bigquery.yml)</w:t>
      </w:r>
    </w:p>
    <w:p>
      <w:pPr>
        <w:spacing w:after="240"/>
      </w:pPr>
      <w:r>
        <w:rPr>
          <w:i/>
          <w:iCs/>
          <w:color w:val="555555"/>
        </w:rPr>
        <w:t xml:space="preserve">Technical Architecture, Configuration &amp; Debugging Guide</w:t>
      </w:r>
    </w:p>
    <w:p>
      <w:pPr>
        <w:spacing w:after="120"/>
      </w:pPr>
      <w:r>
        <w:rPr>
          <w:color w:val="777777"/>
          <w:sz w:val="20"/>
          <w:szCs w:val="20"/>
        </w:rPr>
        <w:t xml:space="preserve">Version: v1.1 — July 28, 2026</w:t>
      </w:r>
    </w:p>
    <w:p>
      <w:pPr>
        <w:pStyle w:val="Heading2"/>
        <w:spacing w:after="120" w:before="240"/>
      </w:pPr>
      <w:r>
        <w:t xml:space="preserve">1. System Purpose</w:t>
      </w:r>
    </w:p>
    <w:p>
      <w:pPr>
        <w:spacing w:after="120"/>
      </w:pPr>
      <w:r>
        <w:t xml:space="preserve">SPINCO counterpart to the b.cycle Reservations sync. Pulls SPINCO's Reservations report via MarianaTek's Reports API and appends new rows into the existing SPINCO.reservations_raw_2025 table on a weekly schedule. Per explicit instruction, this table's shape stays exactly as-is (all-STRING, snake_case) since existing queries and skills depend on it — this was NOT redesigned as a cleaner table despite the option being raised.</w:t>
      </w:r>
    </w:p>
    <w:p>
      <w:pPr>
        <w:pStyle w:val="Heading2"/>
        <w:spacing w:after="120" w:before="240"/>
      </w:pPr>
      <w:r>
        <w:t xml:space="preserve">2. High-Level Execution Summary</w:t>
      </w:r>
    </w:p>
    <w:p>
      <w:pPr>
        <w:pStyle w:val="ListParagraph"/>
        <w:numPr>
          <w:ilvl w:val="0"/>
          <w:numId w:val="1"/>
        </w:numPr>
        <w:spacing w:after="60"/>
      </w:pPr>
      <w:r>
        <w:t xml:space="preserve">GitHub Action runs on a Monday 07:00 UTC schedule, or manually via workflow_dispatch.</w:t>
      </w:r>
    </w:p>
    <w:p>
      <w:pPr>
        <w:pStyle w:val="ListParagraph"/>
        <w:numPr>
          <w:ilvl w:val="0"/>
          <w:numId w:val="1"/>
        </w:numPr>
        <w:spacing w:after="60"/>
      </w:pPr>
      <w:r>
        <w:t xml:space="preserve">Queries BigQuery for the latest class_start_date already in reservations_raw_2025 (parsed — see section 4, the raw column is not directly sortable).</w:t>
      </w:r>
    </w:p>
    <w:p>
      <w:pPr>
        <w:pStyle w:val="ListParagraph"/>
        <w:numPr>
          <w:ilvl w:val="0"/>
          <w:numId w:val="1"/>
        </w:numPr>
        <w:spacing w:after="60"/>
      </w:pPr>
      <w:r>
        <w:t xml:space="preserve">Fetches SPINCO's "Reservations" report in 2-day windows starting from that date, looping until caught up to yesterday.</w:t>
      </w:r>
    </w:p>
    <w:p>
      <w:pPr>
        <w:pStyle w:val="ListParagraph"/>
        <w:numPr>
          <w:ilvl w:val="0"/>
          <w:numId w:val="1"/>
        </w:numPr>
        <w:spacing w:after="60"/>
      </w:pPr>
      <w:r>
        <w:t xml:space="preserve">Maps each report row 1:1 (by position) onto the table's 50 STRING columns, converting to match the table's existing string conventions.</w:t>
      </w:r>
    </w:p>
    <w:p>
      <w:pPr>
        <w:pStyle w:val="ListParagraph"/>
        <w:numPr>
          <w:ilvl w:val="0"/>
          <w:numId w:val="1"/>
        </w:numPr>
        <w:spacing w:after="60"/>
      </w:pPr>
      <w:r>
        <w:t xml:space="preserve">Filters out any reservation_id already present.</w:t>
      </w:r>
    </w:p>
    <w:p>
      <w:pPr>
        <w:pStyle w:val="ListParagraph"/>
        <w:numPr>
          <w:ilvl w:val="0"/>
          <w:numId w:val="1"/>
        </w:numPr>
        <w:spacing w:after="60"/>
      </w:pPr>
      <w:r>
        <w:t xml:space="preserve">Inserts new rows in batches of 500, then posts a summary to #bigquery-updates.</w:t>
      </w:r>
    </w:p>
    <w:p>
      <w:pPr>
        <w:pStyle w:val="Heading2"/>
        <w:spacing w:after="120" w:before="240"/>
      </w:pPr>
      <w:r>
        <w:t xml:space="preserve">3. MarianaTek Reports API Integration</w:t>
      </w:r>
    </w:p>
    <w:p>
      <w:pPr>
        <w:spacing w:after="120"/>
      </w:pPr>
      <w:r>
        <w:t xml:space="preserve">This automation pulls data via MarianaTek's asynchronous table-report API, not a raw list-record endpoint. Report data is shaped like an export (headers array + rows array of arrays), matching what would otherwise be manually downloaded and uploaded.</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200"/>
        <w:gridCol w:w="6560"/>
      </w:tblGrid>
      <w:tr>
        <w:tc>
          <w:tcPr>
            <w:tcW w:type="dxa" w:w="3200"/>
            <w:shd w:fill="E8E8E8" w:val="clear"/>
          </w:tcPr>
          <w:p>
            <w:r>
              <w:rPr>
                <w:b/>
                <w:bCs/>
              </w:rPr>
              <w:t xml:space="preserve">Setting</w:t>
            </w:r>
          </w:p>
        </w:tc>
        <w:tc>
          <w:tcPr>
            <w:tcW w:type="dxa" w:w="6560"/>
            <w:shd w:fill="E8E8E8" w:val="clear"/>
          </w:tcPr>
          <w:p>
            <w:r>
              <w:rPr>
                <w:b/>
                <w:bCs/>
              </w:rPr>
              <w:t xml:space="preserve">Value</w:t>
            </w:r>
          </w:p>
        </w:tc>
      </w:tr>
      <w:tr>
        <w:tc>
          <w:tcPr>
            <w:tcW w:type="dxa" w:w="3200"/>
          </w:tcPr>
          <w:p>
            <w:r>
              <w:rPr>
                <w:b w:val="false"/>
                <w:bCs w:val="false"/>
              </w:rPr>
              <w:t xml:space="preserve">Base URL</w:t>
            </w:r>
          </w:p>
        </w:tc>
        <w:tc>
          <w:tcPr>
            <w:tcW w:type="dxa" w:w="6560"/>
          </w:tcPr>
          <w:p>
            <w:r>
              <w:rPr>
                <w:b w:val="false"/>
                <w:bCs w:val="false"/>
              </w:rPr>
              <w:t xml:space="preserve">https://spinco.marianatek.com</w:t>
            </w:r>
          </w:p>
        </w:tc>
      </w:tr>
      <w:tr>
        <w:tc>
          <w:tcPr>
            <w:tcW w:type="dxa" w:w="3200"/>
          </w:tcPr>
          <w:p>
            <w:r>
              <w:rPr>
                <w:b w:val="false"/>
                <w:bCs w:val="false"/>
              </w:rPr>
              <w:t xml:space="preserve">Report ID / Slug</w:t>
            </w:r>
          </w:p>
        </w:tc>
        <w:tc>
          <w:tcPr>
            <w:tcW w:type="dxa" w:w="6560"/>
          </w:tcPr>
          <w:p>
            <w:r>
              <w:rPr>
                <w:b w:val="false"/>
                <w:bCs w:val="false"/>
              </w:rPr>
              <w:t xml:space="preserve">341 / reservations</w:t>
            </w:r>
          </w:p>
        </w:tc>
      </w:tr>
      <w:tr>
        <w:tc>
          <w:tcPr>
            <w:tcW w:type="dxa" w:w="3200"/>
          </w:tcPr>
          <w:p>
            <w:r>
              <w:rPr>
                <w:b w:val="false"/>
                <w:bCs w:val="false"/>
              </w:rPr>
              <w:t xml:space="preserve">Date filter params</w:t>
            </w:r>
          </w:p>
        </w:tc>
        <w:tc>
          <w:tcPr>
            <w:tcW w:type="dxa" w:w="6560"/>
          </w:tcPr>
          <w:p>
            <w:r>
              <w:rPr>
                <w:b w:val="false"/>
                <w:bCs w:val="false"/>
              </w:rPr>
              <w:t xml:space="preserve">min_start_date_day=&lt;date&gt;&amp;max_start_date_day=&lt;date&gt;</w:t>
            </w:r>
          </w:p>
        </w:tc>
      </w:tr>
      <w:tr>
        <w:tc>
          <w:tcPr>
            <w:tcW w:type="dxa" w:w="3200"/>
          </w:tcPr>
          <w:p>
            <w:r>
              <w:rPr>
                <w:b w:val="false"/>
                <w:bCs w:val="false"/>
              </w:rPr>
              <w:t xml:space="preserve">Auth</w:t>
            </w:r>
          </w:p>
        </w:tc>
        <w:tc>
          <w:tcPr>
            <w:tcW w:type="dxa" w:w="6560"/>
          </w:tcPr>
          <w:p>
            <w:r>
              <w:rPr>
                <w:b w:val="false"/>
                <w:bCs w:val="false"/>
              </w:rPr>
              <w:t xml:space="preserve">Authorization: Bearer &lt;token&gt; (Accept: application/vnd.api+json)</w:t>
            </w:r>
          </w:p>
        </w:tc>
      </w:tr>
    </w:tbl>
    <w:p>
      <w:pPr>
        <w:spacing w:after="120"/>
      </w:pPr>
      <w:r>
        <w:t xml:space="preserve"/>
      </w:r>
    </w:p>
    <w:p>
      <w:pPr>
        <w:spacing w:after="120"/>
      </w:pPr>
      <w:r>
        <w:rPr>
          <w:b/>
          <w:bCs/>
        </w:rPr>
        <w:t xml:space="preserve">Async job flow:</w:t>
      </w:r>
    </w:p>
    <w:p>
      <w:pPr>
        <w:pStyle w:val="ListParagraph"/>
        <w:numPr>
          <w:ilvl w:val="0"/>
          <w:numId w:val="1"/>
        </w:numPr>
        <w:spacing w:after="60"/>
      </w:pPr>
      <w:r>
        <w:t xml:space="preserve">GET https://spinco.marianatek.com/api/async_table_report_data?id=341&amp;slug=reservations&amp;min_start_date_day=&lt;date&gt;&amp;max_start_date_day=&lt;date&gt;&amp;page_size=500 → returns a job id.</w:t>
      </w:r>
    </w:p>
    <w:p>
      <w:pPr>
        <w:pStyle w:val="ListParagraph"/>
        <w:numPr>
          <w:ilvl w:val="0"/>
          <w:numId w:val="1"/>
        </w:numPr>
        <w:spacing w:after="60"/>
      </w:pPr>
      <w:r>
        <w:t xml:space="preserve">Poll GET https://spinco.marianatek.com/api/async_table_report_data/job_status?id=&lt;jobId&gt; every 2s until status: "complete".</w:t>
      </w:r>
    </w:p>
    <w:p>
      <w:pPr>
        <w:pStyle w:val="ListParagraph"/>
        <w:numPr>
          <w:ilvl w:val="0"/>
          <w:numId w:val="1"/>
        </w:numPr>
        <w:spacing w:after="60"/>
      </w:pPr>
      <w:r>
        <w:t xml:space="preserve">The completed response includes a presigned S3 URL (s3_link) holding the report JSON ({name, id, headers, rows, total_records}).</w:t>
      </w:r>
    </w:p>
    <w:p>
      <w:pPr>
        <w:pStyle w:val="ListParagraph"/>
        <w:numPr>
          <w:ilvl w:val="0"/>
          <w:numId w:val="1"/>
        </w:numPr>
        <w:spacing w:after="60"/>
      </w:pPr>
      <w:r>
        <w:t xml:space="preserve">Critical: the presigned S3 URL expires within minutes of the job completing — it must be fetched immediately in the same script execution, not handed off or logged for later retrieval.</w:t>
      </w:r>
    </w:p>
    <w:p>
      <w:pPr>
        <w:pStyle w:val="Heading2"/>
        <w:spacing w:after="120" w:before="240"/>
      </w:pPr>
      <w:r>
        <w:t xml:space="preserve">4. BigQuery Target &amp; Schema Mapping</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200"/>
        <w:gridCol w:w="6560"/>
      </w:tblGrid>
      <w:tr>
        <w:tc>
          <w:tcPr>
            <w:tcW w:type="dxa" w:w="3200"/>
            <w:shd w:fill="E8E8E8" w:val="clear"/>
          </w:tcPr>
          <w:p>
            <w:r>
              <w:rPr>
                <w:b/>
                <w:bCs/>
              </w:rPr>
              <w:t xml:space="preserve">Setting</w:t>
            </w:r>
          </w:p>
        </w:tc>
        <w:tc>
          <w:tcPr>
            <w:tcW w:type="dxa" w:w="6560"/>
            <w:shd w:fill="E8E8E8" w:val="clear"/>
          </w:tcPr>
          <w:p>
            <w:r>
              <w:rPr>
                <w:b/>
                <w:bCs/>
              </w:rPr>
              <w:t xml:space="preserve">Value</w:t>
            </w:r>
          </w:p>
        </w:tc>
      </w:tr>
      <w:tr>
        <w:tc>
          <w:tcPr>
            <w:tcW w:type="dxa" w:w="3200"/>
          </w:tcPr>
          <w:p>
            <w:r>
              <w:rPr>
                <w:b w:val="false"/>
                <w:bCs w:val="false"/>
              </w:rPr>
              <w:t xml:space="preserve">Project</w:t>
            </w:r>
          </w:p>
        </w:tc>
        <w:tc>
          <w:tcPr>
            <w:tcW w:type="dxa" w:w="6560"/>
          </w:tcPr>
          <w:p>
            <w:r>
              <w:rPr>
                <w:b w:val="false"/>
                <w:bCs w:val="false"/>
              </w:rPr>
              <w:t xml:space="preserve">root-cargo-453703-k7</w:t>
            </w:r>
          </w:p>
        </w:tc>
      </w:tr>
      <w:tr>
        <w:tc>
          <w:tcPr>
            <w:tcW w:type="dxa" w:w="3200"/>
          </w:tcPr>
          <w:p>
            <w:r>
              <w:rPr>
                <w:b w:val="false"/>
                <w:bCs w:val="false"/>
              </w:rPr>
              <w:t xml:space="preserve">Dataset.Table</w:t>
            </w:r>
          </w:p>
        </w:tc>
        <w:tc>
          <w:tcPr>
            <w:tcW w:type="dxa" w:w="6560"/>
          </w:tcPr>
          <w:p>
            <w:r>
              <w:rPr>
                <w:b w:val="false"/>
                <w:bCs w:val="false"/>
              </w:rPr>
              <w:t xml:space="preserve">root-cargo-453703-k7.SPINCO.reservations_raw_2025</w:t>
            </w:r>
          </w:p>
        </w:tc>
      </w:tr>
      <w:tr>
        <w:tc>
          <w:tcPr>
            <w:tcW w:type="dxa" w:w="3200"/>
          </w:tcPr>
          <w:p>
            <w:r>
              <w:rPr>
                <w:b w:val="false"/>
                <w:bCs w:val="false"/>
              </w:rPr>
              <w:t xml:space="preserve">Column count</w:t>
            </w:r>
          </w:p>
        </w:tc>
        <w:tc>
          <w:tcPr>
            <w:tcW w:type="dxa" w:w="6560"/>
          </w:tcPr>
          <w:p>
            <w:r>
              <w:rPr>
                <w:b w:val="false"/>
                <w:bCs w:val="false"/>
              </w:rPr>
              <w:t xml:space="preserve">50</w:t>
            </w:r>
          </w:p>
        </w:tc>
      </w:tr>
      <w:tr>
        <w:tc>
          <w:tcPr>
            <w:tcW w:type="dxa" w:w="3200"/>
          </w:tcPr>
          <w:p>
            <w:r>
              <w:rPr>
                <w:b w:val="false"/>
                <w:bCs w:val="false"/>
              </w:rPr>
              <w:t xml:space="preserve">Column typing</w:t>
            </w:r>
          </w:p>
        </w:tc>
        <w:tc>
          <w:tcPr>
            <w:tcW w:type="dxa" w:w="6560"/>
          </w:tcPr>
          <w:p>
            <w:r>
              <w:rPr>
                <w:b w:val="false"/>
                <w:bCs w:val="false"/>
              </w:rPr>
              <w:t xml:space="preserve">Every field is STRING-typed, including reservation_id, dates, and booleans — a rawer import than SPINCO's Sales or First Timers tables. Column names are lowercase snake_case (reservation_id, class_start_date, etc.), a different convention from every other table this project writes to.</w:t>
            </w:r>
          </w:p>
        </w:tc>
      </w:tr>
    </w:tbl>
    <w:p>
      <w:pPr>
        <w:spacing w:after="120"/>
      </w:pPr>
      <w:r>
        <w:t xml:space="preserve"/>
      </w:r>
    </w:p>
    <w:p>
      <w:pPr>
        <w:spacing w:after="120"/>
      </w:pPr>
      <w:r>
        <w:rPr>
          <w:b/>
          <w:bCs/>
        </w:rPr>
        <w:t xml:space="preserve">Report headers (in order):</w:t>
      </w:r>
    </w:p>
    <w:p>
      <w:pPr>
        <w:shd w:fill="F2F2F2" w:val="clear"/>
        <w:spacing w:after="60"/>
      </w:pPr>
      <w:r>
        <w:rPr>
          <w:rFonts w:ascii="Consolas" w:cs="Consolas" w:eastAsia="Consolas" w:hAnsi="Consolas"/>
          <w:sz w:val="20"/>
          <w:szCs w:val="20"/>
        </w:rPr>
        <w:t xml:space="preserve">Reservation ID, Reservation Type, Status, Creation Date, Updated Date, Cancelled Date, Unconverted Guest, Converted Guest, Guest, Guest Email, Credit Payment Origin, Credit, Package, Membership, Contract, Class ID, Class Start Date, Class Start Time, Class Day of Week, Class Custom Name, Class Is Public?, Class Tags, Class Is Free?, Class Type, Class Category, Class Duration (Minutes), Layout, Layout Format, Layout Capacity, Class Capacity, Classroom, Location, Region, Instructor ID(s), Instructor Employee ID(s), Instructor Names, Instructor Schedule Names, Class Has Substitute?, Customer ID, Customer Email, Customer Name, Company Name, Payer ID, Payer Email, Payer Name, Broker ID, Broker Email, Broker Name, Spot, Spot Type</w:t>
      </w:r>
    </w:p>
    <w:p>
      <w:pPr>
        <w:spacing w:after="120"/>
      </w:pPr>
      <w:r>
        <w:rPr>
          <w:b/>
          <w:bCs/>
        </w:rPr>
        <w:t xml:space="preserve">Schema notes:</w:t>
      </w:r>
    </w:p>
    <w:p>
      <w:pPr>
        <w:pStyle w:val="ListParagraph"/>
        <w:numPr>
          <w:ilvl w:val="0"/>
          <w:numId w:val="1"/>
        </w:numPr>
        <w:spacing w:after="60"/>
      </w:pPr>
      <w:r>
        <w:t xml:space="preserve">class_start_date (and creation_date/updated_date/cancelled_date) in the EXISTING data is a genuine mix of unpadded M/D/YYYY (e.g. "9/9/2025") and ISO YYYY-MM-DD strings — discovered live, and more inconsistent than the schema documentation on file described. A naive MAX() on this column is wrong (lexical string sort puts "9/..." after "0"-"8", so a query can silently look truncated); the sync script queries MAX(COALESCE(SAFE.PARSE_DATE('%m/%d/%Y', class_start_date), SAFE.PARSE_DATE('%Y-%m-%d', class_start_date))) to get the true chronological max, and confirmed zero unparseable rows across all ~4.05M existing rows under that COALESCE.</w:t>
      </w:r>
    </w:p>
    <w:p>
      <w:pPr>
        <w:pStyle w:val="ListParagraph"/>
        <w:numPr>
          <w:ilvl w:val="0"/>
          <w:numId w:val="1"/>
        </w:numPr>
        <w:spacing w:after="60"/>
      </w:pPr>
      <w:r>
        <w:t xml:space="preserve">New rows written by this script always use zero-padded M/D/YYYY (matching the documented convention referenced by existing queries), never ISO — so future MAX() queries using SAFE.PARSE_DATE('%m/%d/%Y', ...) alone will work correctly on anything this pipeline adds, even though older historical rows remain mixed.</w:t>
      </w:r>
    </w:p>
    <w:p>
      <w:pPr>
        <w:pStyle w:val="ListParagraph"/>
        <w:numPr>
          <w:ilvl w:val="0"/>
          <w:numId w:val="1"/>
        </w:numPr>
        <w:spacing w:after="60"/>
      </w:pPr>
      <w:r>
        <w:t xml:space="preserve">Boolean-shaped fields (unconverted_guest, converted_guest, guest, class_is_public, class_is_free, class_has_substitute) are written as the lowercase string "true"/"false" — the existing data was found to have BOTH "True" (capitalized) and "true" (lowercase) mixed for class_is_public specifically; new writes standardize on lowercase.</w:t>
      </w:r>
    </w:p>
    <w:p>
      <w:pPr>
        <w:pStyle w:val="ListParagraph"/>
        <w:numPr>
          <w:ilvl w:val="0"/>
          <w:numId w:val="1"/>
        </w:numPr>
        <w:spacing w:after="60"/>
      </w:pPr>
      <w:r>
        <w:t xml:space="preserve">class_start_time is converted to 12-hour non-zero-padded-hour format (e.g. 7:30 AM), matching existing data.</w:t>
      </w:r>
    </w:p>
    <w:p>
      <w:pPr>
        <w:pStyle w:val="ListParagraph"/>
        <w:numPr>
          <w:ilvl w:val="0"/>
          <w:numId w:val="1"/>
        </w:numPr>
        <w:spacing w:after="60"/>
      </w:pPr>
      <w:r>
        <w:t xml:space="preserve">reservation_id is confirmed unique across the whole table (same as b.cycle's typed Reservation ID) despite being stored as STRING here.</w:t>
      </w:r>
    </w:p>
    <w:p>
      <w:pPr>
        <w:pStyle w:val="Heading2"/>
        <w:spacing w:after="120" w:before="240"/>
      </w:pPr>
      <w:r>
        <w:t xml:space="preserve">5. Sync Window &amp; Catch-Up Logic</w:t>
      </w:r>
    </w:p>
    <w:p>
      <w:pPr>
        <w:spacing w:after="120"/>
      </w:pPr>
      <w:r>
        <w:t xml:space="preserve">Each run queries BigQuery for the latest class_start_date (parsed) already present in the target table, then walks forward from that date in windows of at most 2 day(s) at a time — fetching, deduping, and inserting one chunk before starting the next — until it reaches yesterday (UTC). Today's data is treated as incomplete and is never pulled. If the sync has fallen behind (e.g. a missed run), a single execution will process multiple chunks back-to-back rather than waiting for subsequent scheduled runs to catch up.</w:t>
      </w:r>
    </w:p>
    <w:p>
      <w:pPr>
        <w:pStyle w:val="ListParagraph"/>
        <w:numPr>
          <w:ilvl w:val="0"/>
          <w:numId w:val="1"/>
        </w:numPr>
        <w:spacing w:after="60"/>
      </w:pPr>
      <w:r>
        <w:t xml:space="preserve">Chunk size for this table: 2 day(s) (see script constant MAX_WINDOW_DAYS).</w:t>
      </w:r>
    </w:p>
    <w:p>
      <w:pPr>
        <w:pStyle w:val="ListParagraph"/>
        <w:numPr>
          <w:ilvl w:val="0"/>
          <w:numId w:val="1"/>
        </w:numPr>
        <w:spacing w:after="60"/>
      </w:pPr>
      <w:r>
        <w:t xml:space="preserve">The chunk cap exists because a single wide report fetch or a single BigQuery insert call can exceed API/size limits at high data volumes (see section 8).</w:t>
      </w:r>
    </w:p>
    <w:p>
      <w:pPr>
        <w:pStyle w:val="Heading2"/>
        <w:spacing w:after="120" w:before="240"/>
      </w:pPr>
      <w:r>
        <w:t xml:space="preserve">6. Deduplication Strategy</w:t>
      </w:r>
    </w:p>
    <w:p>
      <w:pPr>
        <w:spacing w:after="120"/>
      </w:pPr>
      <w:r>
        <w:rPr>
          <w:b/>
          <w:bCs/>
        </w:rPr>
        <w:t xml:space="preserve">Dedup key: </w:t>
      </w:r>
    </w:p>
    <w:p>
      <w:pPr>
        <w:shd w:fill="F2F2F2" w:val="clear"/>
        <w:spacing w:after="60"/>
      </w:pPr>
      <w:r>
        <w:rPr>
          <w:rFonts w:ascii="Consolas" w:cs="Consolas" w:eastAsia="Consolas" w:hAnsi="Consolas"/>
          <w:sz w:val="20"/>
          <w:szCs w:val="20"/>
        </w:rPr>
        <w:t xml:space="preserve">reservation_id</w:t>
      </w:r>
    </w:p>
    <w:p>
      <w:pPr>
        <w:pStyle w:val="ListParagraph"/>
        <w:numPr>
          <w:ilvl w:val="0"/>
          <w:numId w:val="1"/>
        </w:numPr>
        <w:spacing w:after="60"/>
      </w:pPr>
      <w:r>
        <w:t xml:space="preserve">Confirmed unique across the entire pre-existing ~4.05M-row baseline before this automation ever ran (zero duplicate reservation_id values), and re-confirmed after the live insert of ~82,663 rows.</w:t>
      </w:r>
    </w:p>
    <w:p>
      <w:pPr>
        <w:pStyle w:val="ListParagraph"/>
        <w:numPr>
          <w:ilvl w:val="0"/>
          <w:numId w:val="1"/>
        </w:numPr>
        <w:spacing w:after="60"/>
      </w:pPr>
      <w:r>
        <w:t xml:space="preserve">Same design tradeoff as b.cycle's Reservations: captured once per reservation, roughly a day after class start; later status edits in MarianaTek will not propagate back.</w:t>
      </w:r>
    </w:p>
    <w:p>
      <w:pPr>
        <w:pStyle w:val="Heading2"/>
        <w:spacing w:after="120" w:before="240"/>
      </w:pPr>
      <w:r>
        <w:t xml:space="preserve">7. Environment Variables &amp; Secrets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200"/>
        <w:gridCol w:w="6560"/>
      </w:tblGrid>
      <w:tr>
        <w:tc>
          <w:tcPr>
            <w:tcW w:type="dxa" w:w="3200"/>
            <w:shd w:fill="E8E8E8" w:val="clear"/>
          </w:tcPr>
          <w:p>
            <w:r>
              <w:rPr>
                <w:b/>
                <w:bCs/>
              </w:rPr>
              <w:t xml:space="preserve">Variable</w:t>
            </w:r>
          </w:p>
        </w:tc>
        <w:tc>
          <w:tcPr>
            <w:tcW w:type="dxa" w:w="6560"/>
            <w:shd w:fill="E8E8E8" w:val="clear"/>
          </w:tcPr>
          <w:p>
            <w:r>
              <w:rPr>
                <w:b/>
                <w:bCs/>
              </w:rPr>
              <w:t xml:space="preserve">Purpose</w:t>
            </w:r>
          </w:p>
        </w:tc>
      </w:tr>
      <w:tr>
        <w:tc>
          <w:tcPr>
            <w:tcW w:type="dxa" w:w="3200"/>
          </w:tcPr>
          <w:p>
            <w:r>
              <w:rPr>
                <w:b w:val="false"/>
                <w:bCs w:val="false"/>
              </w:rPr>
              <w:t xml:space="preserve">MTEK_SPINCO_BASE_URL</w:t>
            </w:r>
          </w:p>
        </w:tc>
        <w:tc>
          <w:tcPr>
            <w:tcW w:type="dxa" w:w="6560"/>
          </w:tcPr>
          <w:p>
            <w:r>
              <w:rPr>
                <w:b w:val="false"/>
                <w:bCs w:val="false"/>
              </w:rPr>
              <w:t xml:space="preserve">https://spinco.marianatek.com (hardcoded in the workflow)</w:t>
            </w:r>
          </w:p>
        </w:tc>
      </w:tr>
      <w:tr>
        <w:tc>
          <w:tcPr>
            <w:tcW w:type="dxa" w:w="3200"/>
          </w:tcPr>
          <w:p>
            <w:r>
              <w:rPr>
                <w:b w:val="false"/>
                <w:bCs w:val="false"/>
              </w:rPr>
              <w:t xml:space="preserve">MTEK_SPINCO_API_TOKEN</w:t>
            </w:r>
          </w:p>
        </w:tc>
        <w:tc>
          <w:tcPr>
            <w:tcW w:type="dxa" w:w="6560"/>
          </w:tcPr>
          <w:p>
            <w:r>
              <w:rPr>
                <w:b w:val="false"/>
                <w:bCs w:val="false"/>
              </w:rPr>
              <w:t xml:space="preserve">MarianaTek bearer token for SPINCO's tenant (GitHub secret)</w:t>
            </w:r>
          </w:p>
        </w:tc>
      </w:tr>
      <w:tr>
        <w:tc>
          <w:tcPr>
            <w:tcW w:type="dxa" w:w="3200"/>
          </w:tcPr>
          <w:p>
            <w:r>
              <w:rPr>
                <w:b w:val="false"/>
                <w:bCs w:val="false"/>
              </w:rPr>
              <w:t xml:space="preserve">SLACK_BIGQUERY_UPDATES_WEBHOOK_URL</w:t>
            </w:r>
          </w:p>
        </w:tc>
        <w:tc>
          <w:tcPr>
            <w:tcW w:type="dxa" w:w="6560"/>
          </w:tcPr>
          <w:p>
            <w:r>
              <w:rPr>
                <w:b w:val="false"/>
                <w:bCs w:val="false"/>
              </w:rPr>
              <w:t xml:space="preserve">Slack incoming webhook for #bigquery-updates (GitHub secret, shared with b.cycle)</w:t>
            </w:r>
          </w:p>
        </w:tc>
      </w:tr>
      <w:tr>
        <w:tc>
          <w:tcPr>
            <w:tcW w:type="dxa" w:w="3200"/>
          </w:tcPr>
          <w:p>
            <w:r>
              <w:rPr>
                <w:b w:val="false"/>
                <w:bCs w:val="false"/>
              </w:rPr>
              <w:t xml:space="preserve">DRY_RUN</w:t>
            </w:r>
          </w:p>
        </w:tc>
        <w:tc>
          <w:tcPr>
            <w:tcW w:type="dxa" w:w="6560"/>
          </w:tcPr>
          <w:p>
            <w:r>
              <w:rPr>
                <w:b w:val="false"/>
                <w:bCs w:val="false"/>
              </w:rPr>
              <w:t xml:space="preserve">Set by the workflow based on trigger type — see section 9</w:t>
            </w:r>
          </w:p>
        </w:tc>
      </w:tr>
      <w:tr>
        <w:tc>
          <w:tcPr>
            <w:tcW w:type="dxa" w:w="3200"/>
          </w:tcPr>
          <w:p>
            <w:r>
              <w:rPr>
                <w:b w:val="false"/>
                <w:bCs w:val="false"/>
              </w:rPr>
              <w:t xml:space="preserve">SYNC_MIN_DATE / SYNC_MAX_DATE</w:t>
            </w:r>
          </w:p>
        </w:tc>
        <w:tc>
          <w:tcPr>
            <w:tcW w:type="dxa" w:w="6560"/>
          </w:tcPr>
          <w:p>
            <w:r>
              <w:rPr>
                <w:b w:val="false"/>
                <w:bCs w:val="false"/>
              </w:rPr>
              <w:t xml:space="preserve">Optional manual override for a single explicit date window (testing only)</w:t>
            </w:r>
          </w:p>
        </w:tc>
      </w:tr>
    </w:tbl>
    <w:p>
      <w:pPr>
        <w:pStyle w:val="Heading2"/>
        <w:spacing w:after="120" w:before="240"/>
      </w:pPr>
      <w:r>
        <w:t xml:space="preserve">8. Known Issues / Data Quality Notes</w:t>
      </w:r>
    </w:p>
    <w:p>
      <w:pPr>
        <w:pStyle w:val="ListParagraph"/>
        <w:numPr>
          <w:ilvl w:val="0"/>
          <w:numId w:val="1"/>
        </w:numPr>
        <w:spacing w:after="60"/>
      </w:pPr>
      <w:r>
        <w:t xml:space="preserve">The initial live run hit BigQuery's ~10MB insertAll request size limit (HTTP 413) on a 7,800-row chunk — this table's much higher volume (up to ~8,900 rows per 2-day window) made the issue visible here first. Fixed by adding scripts/lib/bigquery.mjs (500-row batched inserts) and applying it to all six sync scripts across both companies. The run was safely resumed after the fix since the script re-derives its starting point from BigQuery's actual current state on every execution (idempotent by design) — no data was lost or duplicated across the interrupted/resumed run, confirmed by exact row-count arithmetic afterward.</w:t>
      </w:r>
    </w:p>
    <w:p>
      <w:pPr>
        <w:pStyle w:val="ListParagraph"/>
        <w:numPr>
          <w:ilvl w:val="0"/>
          <w:numId w:val="1"/>
        </w:numPr>
        <w:spacing w:after="60"/>
      </w:pPr>
      <w:r>
        <w:t xml:space="preserve">The existing table's historical date-format inconsistency (see schema notes) predates this automation and was not retroactively cleaned up — only new writes are held to the clean zero-padded convention.</w:t>
      </w:r>
    </w:p>
    <w:p>
      <w:pPr>
        <w:spacing w:after="120"/>
      </w:pPr>
      <w:r>
        <w:rPr>
          <w:b/>
          <w:bCs/>
        </w:rPr>
        <w:t xml:space="preserve">Insert batching:</w:t>
      </w:r>
    </w:p>
    <w:p>
      <w:pPr>
        <w:spacing w:after="120"/>
      </w:pPr>
      <w:r>
        <w:t xml:space="preserve">BigQuery's tabledata.insertAll has an approximate 10MB request size limit. A single large chunk (thousands of wide rows) can exceed this and fail with HTTP 413. All six sync scripts in this repo (b.cycle and SPINCO) insert in batches of 500 rows via scripts/lib/bigquery.mjs — this was discovered and fixed during the SPINCO Reservations build (see GitHub Action Updates).</w:t>
      </w:r>
    </w:p>
    <w:p>
      <w:pPr>
        <w:pStyle w:val="Heading2"/>
        <w:spacing w:after="120" w:before="240"/>
      </w:pPr>
      <w:r>
        <w:t xml:space="preserve">9. GitHub Actions Behavior</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200"/>
        <w:gridCol w:w="6560"/>
      </w:tblGrid>
      <w:tr>
        <w:tc>
          <w:tcPr>
            <w:tcW w:type="dxa" w:w="3200"/>
            <w:shd w:fill="E8E8E8" w:val="clear"/>
          </w:tcPr>
          <w:p>
            <w:r>
              <w:rPr>
                <w:b/>
                <w:bCs/>
              </w:rPr>
              <w:t xml:space="preserve">Setting</w:t>
            </w:r>
          </w:p>
        </w:tc>
        <w:tc>
          <w:tcPr>
            <w:tcW w:type="dxa" w:w="6560"/>
            <w:shd w:fill="E8E8E8" w:val="clear"/>
          </w:tcPr>
          <w:p>
            <w:r>
              <w:rPr>
                <w:b/>
                <w:bCs/>
              </w:rPr>
              <w:t xml:space="preserve">Value</w:t>
            </w:r>
          </w:p>
        </w:tc>
      </w:tr>
      <w:tr>
        <w:tc>
          <w:tcPr>
            <w:tcW w:type="dxa" w:w="3200"/>
          </w:tcPr>
          <w:p>
            <w:r>
              <w:rPr>
                <w:b w:val="false"/>
                <w:bCs w:val="false"/>
              </w:rPr>
              <w:t xml:space="preserve">Workflow file</w:t>
            </w:r>
          </w:p>
        </w:tc>
        <w:tc>
          <w:tcPr>
            <w:tcW w:type="dxa" w:w="6560"/>
          </w:tcPr>
          <w:p>
            <w:r>
              <w:rPr>
                <w:b w:val="false"/>
                <w:bCs w:val="false"/>
              </w:rPr>
              <w:t xml:space="preserve">.github/workflows/spinco-reservations-to-bigquery.yml</w:t>
            </w:r>
          </w:p>
        </w:tc>
      </w:tr>
      <w:tr>
        <w:tc>
          <w:tcPr>
            <w:tcW w:type="dxa" w:w="3200"/>
          </w:tcPr>
          <w:p>
            <w:r>
              <w:rPr>
                <w:b w:val="false"/>
                <w:bCs w:val="false"/>
              </w:rPr>
              <w:t xml:space="preserve">Script file</w:t>
            </w:r>
          </w:p>
        </w:tc>
        <w:tc>
          <w:tcPr>
            <w:tcW w:type="dxa" w:w="6560"/>
          </w:tcPr>
          <w:p>
            <w:r>
              <w:rPr>
                <w:b w:val="false"/>
                <w:bCs w:val="false"/>
              </w:rPr>
              <w:t xml:space="preserve">scripts/spinco-reservations-to-bigquery.mjs</w:t>
            </w:r>
          </w:p>
        </w:tc>
      </w:tr>
      <w:tr>
        <w:tc>
          <w:tcPr>
            <w:tcW w:type="dxa" w:w="3200"/>
          </w:tcPr>
          <w:p>
            <w:r>
              <w:rPr>
                <w:b w:val="false"/>
                <w:bCs w:val="false"/>
              </w:rPr>
              <w:t xml:space="preserve">Schedule</w:t>
            </w:r>
          </w:p>
        </w:tc>
        <w:tc>
          <w:tcPr>
            <w:tcW w:type="dxa" w:w="6560"/>
          </w:tcPr>
          <w:p>
            <w:r>
              <w:rPr>
                <w:b w:val="false"/>
                <w:bCs w:val="false"/>
              </w:rPr>
              <w:t xml:space="preserve">cron: "0 7 * * 1" — every Monday 07:00 UTC (fixed, not DST-adjusted)</w:t>
            </w:r>
          </w:p>
        </w:tc>
      </w:tr>
      <w:tr>
        <w:tc>
          <w:tcPr>
            <w:tcW w:type="dxa" w:w="3200"/>
          </w:tcPr>
          <w:p>
            <w:r>
              <w:rPr>
                <w:b w:val="false"/>
                <w:bCs w:val="false"/>
              </w:rPr>
              <w:t xml:space="preserve">Manual trigger</w:t>
            </w:r>
          </w:p>
        </w:tc>
        <w:tc>
          <w:tcPr>
            <w:tcW w:type="dxa" w:w="6560"/>
          </w:tcPr>
          <w:p>
            <w:r>
              <w:rPr>
                <w:b w:val="false"/>
                <w:bCs w:val="false"/>
              </w:rPr>
              <w:t xml:space="preserve">workflow_dispatch with a dry_run boolean input, default true</w:t>
            </w:r>
          </w:p>
        </w:tc>
      </w:tr>
      <w:tr>
        <w:tc>
          <w:tcPr>
            <w:tcW w:type="dxa" w:w="3200"/>
          </w:tcPr>
          <w:p>
            <w:r>
              <w:rPr>
                <w:b w:val="false"/>
                <w:bCs w:val="false"/>
              </w:rPr>
              <w:t xml:space="preserve">Scheduled-run behavior</w:t>
            </w:r>
          </w:p>
        </w:tc>
        <w:tc>
          <w:tcPr>
            <w:tcW w:type="dxa" w:w="6560"/>
          </w:tcPr>
          <w:p>
            <w:r>
              <w:rPr>
                <w:b w:val="false"/>
                <w:bCs w:val="false"/>
              </w:rPr>
              <w:t xml:space="preserve">Always DRY_RUN=false (writes for real)</w:t>
            </w:r>
          </w:p>
        </w:tc>
      </w:tr>
      <w:tr>
        <w:tc>
          <w:tcPr>
            <w:tcW w:type="dxa" w:w="3200"/>
          </w:tcPr>
          <w:p>
            <w:r>
              <w:rPr>
                <w:b w:val="false"/>
                <w:bCs w:val="false"/>
              </w:rPr>
              <w:t xml:space="preserve">Manual-run behavior</w:t>
            </w:r>
          </w:p>
        </w:tc>
        <w:tc>
          <w:tcPr>
            <w:tcW w:type="dxa" w:w="6560"/>
          </w:tcPr>
          <w:p>
            <w:r>
              <w:rPr>
                <w:b w:val="false"/>
                <w:bCs w:val="false"/>
              </w:rPr>
              <w:t xml:space="preserve">Honors the dry_run input; defaults to a safe dry run</w:t>
            </w:r>
          </w:p>
        </w:tc>
      </w:tr>
    </w:tbl>
    <w:p>
      <w:pPr>
        <w:spacing w:after="120"/>
      </w:pPr>
      <w:r>
        <w:rPr>
          <w:b/>
          <w:bCs/>
        </w:rPr>
        <w:t xml:space="preserve">Required secrets:</w:t>
      </w:r>
    </w:p>
    <w:p>
      <w:pPr>
        <w:pStyle w:val="ListParagraph"/>
        <w:numPr>
          <w:ilvl w:val="0"/>
          <w:numId w:val="1"/>
        </w:numPr>
        <w:spacing w:after="60"/>
      </w:pPr>
      <w:r>
        <w:t xml:space="preserve">MTEK_SPINCO_API_TOKEN</w:t>
      </w:r>
    </w:p>
    <w:p>
      <w:pPr>
        <w:pStyle w:val="ListParagraph"/>
        <w:numPr>
          <w:ilvl w:val="0"/>
          <w:numId w:val="1"/>
        </w:numPr>
        <w:spacing w:after="60"/>
      </w:pPr>
      <w:r>
        <w:t xml:space="preserve">GCP_BQ_SERVICE_ACCOUNT_KEY</w:t>
      </w:r>
    </w:p>
    <w:p>
      <w:pPr>
        <w:pStyle w:val="ListParagraph"/>
        <w:numPr>
          <w:ilvl w:val="0"/>
          <w:numId w:val="1"/>
        </w:numPr>
        <w:spacing w:after="60"/>
      </w:pPr>
      <w:r>
        <w:t xml:space="preserve">SLACK_BIGQUERY_UPDATES_WEBHOOK_URL</w:t>
      </w:r>
    </w:p>
    <w:p>
      <w:pPr>
        <w:pStyle w:val="Heading2"/>
        <w:spacing w:after="120" w:before="240"/>
      </w:pPr>
      <w:r>
        <w:t xml:space="preserve">10. Slack Notifications</w:t>
      </w:r>
    </w:p>
    <w:p>
      <w:pPr>
        <w:spacing w:after="120"/>
      </w:pPr>
      <w:r>
        <w:rPr>
          <w:b/>
          <w:bCs/>
        </w:rPr>
        <w:t xml:space="preserve">On success:</w:t>
      </w:r>
    </w:p>
    <w:p>
      <w:pPr>
        <w:spacing w:after="120"/>
      </w:pPr>
      <w:r>
        <w:t xml:space="preserve">After every real (non-dry-run) insert — once per chunk, so a multi-chunk catch-up run posts multiple messages — the script posts to #bigquery-updates via an incoming webhook (SLACK_BIGQUERY_UPDATES_WEBHOOK_URL). Message format:</w:t>
      </w:r>
    </w:p>
    <w:p>
      <w:pPr>
        <w:shd w:fill="F2F2F2" w:val="clear"/>
        <w:spacing w:after="60"/>
      </w:pPr>
      <w:r>
        <w:rPr>
          <w:rFonts w:ascii="Consolas" w:cs="Consolas" w:eastAsia="Consolas" w:hAnsi="Consolas"/>
          <w:sz w:val="20"/>
          <w:szCs w:val="20"/>
        </w:rPr>
        <w:t xml:space="preserve">SPINCO - Reservations added from July 26 to July 27: 7376 rows</w:t>
      </w:r>
    </w:p>
    <w:p>
      <w:pPr>
        <w:spacing w:after="120"/>
      </w:pPr>
      <w:r>
        <w:rPr>
          <w:b/>
          <w:bCs/>
        </w:rPr>
        <w:t xml:space="preserve">On failure:</w:t>
      </w:r>
    </w:p>
    <w:p>
      <w:pPr>
        <w:spacing w:after="120"/>
      </w:pPr>
      <w:r>
        <w:t xml:space="preserve">If main() throws for any reason — a MarianaTek report header shape change, a BigQuery auth error, a network failure, anything uncaught — the script also posts a failure notice to the same channel before exiting non-zero, gated on the same non-dry-run check as the success messages (so manual dry-run test runs stay quiet). Message format:</w:t>
      </w:r>
    </w:p>
    <w:p>
      <w:pPr>
        <w:shd w:fill="F2F2F2" w:val="clear"/>
        <w:spacing w:after="60"/>
      </w:pPr>
      <w:r>
        <w:rPr>
          <w:rFonts w:ascii="Consolas" w:cs="Consolas" w:eastAsia="Consolas" w:hAnsi="Consolas"/>
          <w:sz w:val="20"/>
          <w:szCs w:val="20"/>
        </w:rPr>
        <w:t xml:space="preserve">⚠️ SPINCO - Reservations sync failed: Report headers changed shape — refusing to guess. Got: [...]</w:t>
      </w:r>
    </w:p>
    <w:p>
      <w:pPr>
        <w:spacing w:after="120"/>
      </w:pPr>
      <w:r>
        <w:t xml:space="preserve">If the Slack post itself fails (e.g. the webhook is down), that failure is caught separately and logged — it does not swallow the original error or change the script's exit code, so the GitHub Actions run still fails loudly either way.</w:t>
      </w:r>
    </w:p>
    <w:p>
      <w:pPr>
        <w:spacing w:after="120"/>
      </w:pPr>
      <w:r>
        <w:t xml:space="preserve">If the webhook secret is unset, the script logs the message instead of sending it and continues without failing.</w:t>
      </w:r>
    </w:p>
    <w:p>
      <w:pPr>
        <w:pStyle w:val="Heading2"/>
        <w:spacing w:after="120" w:before="240"/>
      </w:pPr>
      <w:r>
        <w:t xml:space="preserve">11. Troubleshooting Guide</w:t>
      </w:r>
    </w:p>
    <w:p>
      <w:pPr>
        <w:spacing w:after="120"/>
      </w:pPr>
      <w:r>
        <w:rPr>
          <w:b/>
          <w:bCs/>
        </w:rPr>
        <w:t xml:space="preserve">Issue: HTTP 413 Request Entity Too Large on insert</w:t>
      </w:r>
    </w:p>
    <w:p>
      <w:pPr>
        <w:spacing w:after="120"/>
      </w:pPr>
      <w:r>
        <w:t xml:space="preserve">Fix: Should not recur — inserts are batched at 500 rows. If a chunk still fails, reduce the batch size in scripts/lib/bigquery.mjs or reduce MAX_WINDOW_DAYS for this script further below 2.</w:t>
      </w:r>
    </w:p>
    <w:p>
      <w:pPr>
        <w:spacing w:after="120"/>
      </w:pPr>
      <w:r>
        <w:rPr>
          <w:b/>
          <w:bCs/>
        </w:rPr>
        <w:t xml:space="preserve">Issue: A resumed run after a failure looks like it might double-count</w:t>
      </w:r>
    </w:p>
    <w:p>
      <w:pPr>
        <w:spacing w:after="120"/>
      </w:pPr>
      <w:r>
        <w:t xml:space="preserve">Fix: It won't — verify with SELECT COUNT(*) before and after; the script always re-derives its starting date from BigQuery's live state, and re-running is safe by design. Compare against the script's own per-chunk "Inserted N rows" log lines to reconstruct exactly what happened.</w:t>
      </w:r>
    </w:p>
    <w:p>
      <w:pPr>
        <w:spacing w:after="120"/>
      </w:pPr>
      <w:r>
        <w:rPr>
          <w:b/>
          <w:bCs/>
        </w:rPr>
        <w:t xml:space="preserve">Issue: MAX(class_start_date) looks wrong / truncated</w:t>
      </w:r>
    </w:p>
    <w:p>
      <w:pPr>
        <w:spacing w:after="120"/>
      </w:pPr>
      <w:r>
        <w:t xml:space="preserve">Fix: Never trust a plain MAX() on this column — it's a STRING with mixed formats. Use MAX(COALESCE(SAFE.PARSE_DATE('%m/%d/%Y', class_start_date), SAFE.PARSE_DATE('%Y-%m-%d', class_start_date))), same as the sync script itself.</w:t>
      </w:r>
    </w:p>
    <w:p>
      <w:pPr>
        <w:spacing w:after="120"/>
      </w:pPr>
      <w:r>
        <w:rPr>
          <w:b/>
          <w:bCs/>
        </w:rPr>
        <w:t xml:space="preserve">Issue: headers mismatch error at startup</w:t>
      </w:r>
    </w:p>
    <w:p>
      <w:pPr>
        <w:spacing w:after="120"/>
      </w:pPr>
      <w:r>
        <w:t xml:space="preserve">Fix: the script hard-fails rather than guessing if MarianaTek changes the report's column shape — compare the error's reported headers against the EXPECTED_HEADERS constant in the script and update both the constant and the row mapper together. As of v1.1 this failure also posts a warning to #bigquery-updates (see section 10), so you don't have to check the Actions tab to notice it.</w:t>
      </w:r>
    </w:p>
    <w:p>
      <w:pPr>
        <w:pStyle w:val="Heading2"/>
        <w:spacing w:after="120" w:before="240"/>
      </w:pPr>
      <w:r>
        <w:t xml:space="preserve">12. Manual Testing</w:t>
      </w:r>
    </w:p>
    <w:p>
      <w:pPr>
        <w:spacing w:after="120"/>
      </w:pPr>
      <w:r>
        <w:t xml:space="preserve">Run locally with a real BigQuery credential and MTEK token (never commit these):</w:t>
      </w:r>
    </w:p>
    <w:p>
      <w:pPr>
        <w:shd w:fill="F2F2F2" w:val="clear"/>
        <w:spacing w:after="60"/>
      </w:pPr>
      <w:r>
        <w:rPr>
          <w:rFonts w:ascii="Consolas" w:cs="Consolas" w:eastAsia="Consolas" w:hAnsi="Consolas"/>
          <w:sz w:val="20"/>
          <w:szCs w:val="20"/>
        </w:rPr>
        <w:t xml:space="preserve">GOOGLE_APPLICATION_CREDENTIALS=.gcp-bq-key.json node --env-file=.env scripts/spinco-reservations-to-bigquery.mjs</w:t>
      </w:r>
    </w:p>
    <w:p>
      <w:pPr>
        <w:spacing w:after="120"/>
      </w:pPr>
      <w:r>
        <w:t xml:space="preserve">Defaults to DRY_RUN=true (prints what would be inserted, writes nothing). Add DRY_RUN=false to write for real, or SYNC_MIN_DATE / SYNC_MAX_DATE to target an explicit date window instead of the auto-detected catch-up range.</w:t>
      </w:r>
    </w:p>
    <w:p>
      <w:pPr>
        <w:pStyle w:val="Heading2"/>
        <w:spacing w:after="120" w:before="240"/>
      </w:pPr>
      <w:r>
        <w:t xml:space="preserve">13. Summary</w:t>
      </w:r>
    </w:p>
    <w:p>
      <w:pPr>
        <w:spacing w:after="120"/>
      </w:pPr>
      <w:r>
        <w:t xml:space="preserve">Automates SPINCO's weekly Reservations report → BigQuery upload into reservations_raw_2025, deliberately preserving its existing messy-but-relied-upon schema rather than redesigning it. Surfaced and fixed a real request-size bug that benefits all six sync scripts, and uncovered (but did not "fix") a deeper historical date-format inconsistency already present in the table.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2026-07-28T22:30:06.022Z</dcterms:created>
  <dcterms:modified xsi:type="dcterms:W3CDTF">2026-07-28T22:30:06.022Z</dcterms:modified>
</cp:coreProperties>
</file>

<file path=docProps/custom.xml><?xml version="1.0" encoding="utf-8"?>
<Properties xmlns="http://schemas.openxmlformats.org/officeDocument/2006/custom-properties" xmlns:vt="http://schemas.openxmlformats.org/officeDocument/2006/docPropsVTypes"/>
</file>