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55B2" w:rsidRPr="005100FD" w:rsidRDefault="002655B2">
      <w:pPr>
        <w:rPr>
          <w:b/>
        </w:rPr>
      </w:pPr>
      <w:r w:rsidRPr="005100FD">
        <w:rPr>
          <w:b/>
        </w:rPr>
        <w:t>Mapy ryzyka związanego z występowaniem gradu w Polsce:</w:t>
      </w:r>
    </w:p>
    <w:p w:rsidR="002655B2" w:rsidRDefault="002655B2" w:rsidP="002655B2">
      <w:pPr>
        <w:jc w:val="center"/>
      </w:pPr>
      <w:r>
        <w:rPr>
          <w:noProof/>
        </w:rPr>
        <w:drawing>
          <wp:inline distT="0" distB="0" distL="0" distR="0">
            <wp:extent cx="3715128" cy="3794627"/>
            <wp:effectExtent l="0" t="0" r="0" b="317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renc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150" cy="379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5B2" w:rsidRDefault="002655B2">
      <w:r>
        <w:t xml:space="preserve">Średnia roczna liczba dni z gradem w Polsce w latach 1971-2000 (Lorenc 2005, Atlas klimatu Polski) </w:t>
      </w:r>
    </w:p>
    <w:p w:rsidR="002655B2" w:rsidRDefault="002655B2">
      <w:r>
        <w:t>- wokół tej mapy narosło sporo kontrowersji związanych z „</w:t>
      </w:r>
      <w:proofErr w:type="spellStart"/>
      <w:r>
        <w:t>cherry-pickingiem</w:t>
      </w:r>
      <w:proofErr w:type="spellEnd"/>
      <w:r>
        <w:t>” i autorską koncepcją interpolacji danych ze stacji meteorologicznych.</w:t>
      </w:r>
      <w:r w:rsidR="005100FD">
        <w:t xml:space="preserve"> Niemniej, jest to najczęściej wykorzystywana mapa rozkładu gradu w Polsce.</w:t>
      </w:r>
    </w:p>
    <w:p w:rsidR="002655B2" w:rsidRDefault="002655B2"/>
    <w:p w:rsidR="002655B2" w:rsidRDefault="002655B2"/>
    <w:p w:rsidR="002655B2" w:rsidRDefault="002655B2">
      <w:r>
        <w:br w:type="page"/>
      </w:r>
    </w:p>
    <w:p w:rsidR="002655B2" w:rsidRDefault="002655B2">
      <w:r>
        <w:lastRenderedPageBreak/>
        <w:t>Analogiczna mapa na danych z okresu 1971-2020:</w:t>
      </w:r>
    </w:p>
    <w:p w:rsidR="002655B2" w:rsidRDefault="002655B2">
      <w:r>
        <w:t>- wartości liczbowe przedstawiają średnią roczną liczbę dni z gradem na stacjach IMGW</w:t>
      </w:r>
    </w:p>
    <w:p w:rsidR="002655B2" w:rsidRDefault="002655B2">
      <w:r>
        <w:t xml:space="preserve">- kolorami wyznaczono prawdopodobne wartości w oparciu o model </w:t>
      </w:r>
      <w:proofErr w:type="spellStart"/>
      <w:r>
        <w:t>geostatystyczny</w:t>
      </w:r>
      <w:proofErr w:type="spellEnd"/>
      <w:r>
        <w:t xml:space="preserve"> biorący dodatkowo pod uwagę uwarunkowania fizjograficzne terenu</w:t>
      </w:r>
    </w:p>
    <w:p w:rsidR="002655B2" w:rsidRDefault="002655B2"/>
    <w:p w:rsidR="002655B2" w:rsidRDefault="002655B2">
      <w:r>
        <w:rPr>
          <w:noProof/>
        </w:rPr>
        <w:drawing>
          <wp:inline distT="0" distB="0" distL="0" distR="0">
            <wp:extent cx="5005070" cy="3818021"/>
            <wp:effectExtent l="0" t="0" r="0" b="508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pa2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54" r="13059" b="13580"/>
                    <a:stretch/>
                  </pic:blipFill>
                  <pic:spPr bwMode="auto">
                    <a:xfrm>
                      <a:off x="0" y="0"/>
                      <a:ext cx="5005144" cy="3818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00FD" w:rsidRDefault="005100FD" w:rsidP="002655B2"/>
    <w:p w:rsidR="002655B2" w:rsidRDefault="002655B2" w:rsidP="002655B2">
      <w:r>
        <w:t>Ryzyko wystąpienia dużego (tj. &gt; 2 cm) gradu w Polsce na podstawie modelu ML z danych numerycznych modeli prognozy pogody, danych radarowych oraz danych satelitarnych. Do interpolacji użyto danych oddalonych nie dalej niż ok. 150 km od miejsc najwyższej wiarygodności danych radarowych</w:t>
      </w:r>
      <w:r w:rsidR="007D7B4D">
        <w:t>. Dane za lata 2008-2017</w:t>
      </w:r>
    </w:p>
    <w:p w:rsidR="002655B2" w:rsidRDefault="002655B2"/>
    <w:p w:rsidR="002655B2" w:rsidRDefault="002655B2" w:rsidP="007D7B4D">
      <w:pPr>
        <w:jc w:val="center"/>
      </w:pPr>
      <w:r>
        <w:rPr>
          <w:noProof/>
        </w:rPr>
        <w:drawing>
          <wp:inline distT="0" distB="0" distL="0" distR="0">
            <wp:extent cx="3060700" cy="27559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pa_model_ML_duzy_grad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5B2" w:rsidRDefault="002655B2"/>
    <w:p w:rsidR="007D7B4D" w:rsidRDefault="007D7B4D">
      <w:r>
        <w:lastRenderedPageBreak/>
        <w:t>Zmienność czasowa dużego gradu w Polsce 2008-2017:</w:t>
      </w:r>
    </w:p>
    <w:p w:rsidR="007D7B4D" w:rsidRDefault="007D7B4D"/>
    <w:p w:rsidR="007D7B4D" w:rsidRDefault="007D7B4D">
      <w:r w:rsidRPr="007D7B4D">
        <w:drawing>
          <wp:inline distT="0" distB="0" distL="0" distR="0" wp14:anchorId="6DAFD756" wp14:editId="02175633">
            <wp:extent cx="5756910" cy="3169285"/>
            <wp:effectExtent l="0" t="0" r="0" b="571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0FD" w:rsidRDefault="005100FD"/>
    <w:p w:rsidR="005100FD" w:rsidRPr="005100FD" w:rsidRDefault="005100FD" w:rsidP="005100FD">
      <w:r w:rsidRPr="005100FD">
        <w:rPr>
          <w:lang w:val="en-US"/>
        </w:rPr>
        <w:t>Application of machine learning to large hail prediction-The importance of radar reflectivity, lightning occurrence and convective parameters derived from ERA5</w:t>
      </w:r>
      <w:r>
        <w:rPr>
          <w:lang w:val="en-US"/>
        </w:rPr>
        <w:t xml:space="preserve">. </w:t>
      </w:r>
      <w:bookmarkStart w:id="0" w:name="_GoBack"/>
      <w:bookmarkEnd w:id="0"/>
      <w:r>
        <w:t xml:space="preserve">B Czernecki, M </w:t>
      </w:r>
      <w:proofErr w:type="spellStart"/>
      <w:r>
        <w:t>Taszarek</w:t>
      </w:r>
      <w:proofErr w:type="spellEnd"/>
      <w:r>
        <w:t xml:space="preserve">, M </w:t>
      </w:r>
      <w:proofErr w:type="spellStart"/>
      <w:r>
        <w:t>Marosz</w:t>
      </w:r>
      <w:proofErr w:type="spellEnd"/>
      <w:r>
        <w:t xml:space="preserve">, M Półrolniczak, L </w:t>
      </w:r>
      <w:proofErr w:type="spellStart"/>
      <w:r>
        <w:t>Kolendowicz</w:t>
      </w:r>
      <w:proofErr w:type="spellEnd"/>
      <w:r>
        <w:t xml:space="preserve">, </w:t>
      </w:r>
      <w:proofErr w:type="spellStart"/>
      <w:r>
        <w:t>Atmospheric</w:t>
      </w:r>
      <w:proofErr w:type="spellEnd"/>
      <w:r>
        <w:t xml:space="preserve"> </w:t>
      </w:r>
      <w:proofErr w:type="spellStart"/>
      <w:r>
        <w:t>Research</w:t>
      </w:r>
      <w:proofErr w:type="spellEnd"/>
      <w:r>
        <w:t xml:space="preserve"> 227, 249-262</w:t>
      </w:r>
    </w:p>
    <w:p w:rsidR="002655B2" w:rsidRDefault="002655B2"/>
    <w:p w:rsidR="002655B2" w:rsidRDefault="002655B2">
      <w:r>
        <w:br w:type="page"/>
      </w:r>
    </w:p>
    <w:p w:rsidR="002655B2" w:rsidRDefault="002655B2"/>
    <w:p w:rsidR="002655B2" w:rsidRDefault="002655B2"/>
    <w:p w:rsidR="000F1739" w:rsidRPr="005100FD" w:rsidRDefault="000F1739">
      <w:pPr>
        <w:rPr>
          <w:b/>
        </w:rPr>
      </w:pPr>
      <w:r w:rsidRPr="005100FD">
        <w:rPr>
          <w:b/>
        </w:rPr>
        <w:t>Scenariuszowe zmiany środowisk gradowych i konwekcyjnych w Europie:</w:t>
      </w:r>
    </w:p>
    <w:p w:rsidR="000F1739" w:rsidRDefault="000F1739"/>
    <w:p w:rsidR="000F1739" w:rsidRPr="000F1739" w:rsidRDefault="000F1739">
      <w:r>
        <w:t>- obecnie obserwowane zmiany dla środowisk gradowych w Polsce nie są istotne statystycznie:</w:t>
      </w:r>
    </w:p>
    <w:p w:rsidR="000F1739" w:rsidRPr="000F1739" w:rsidRDefault="000F1739" w:rsidP="000F1739">
      <w:pPr>
        <w:rPr>
          <w:rFonts w:ascii="Times New Roman" w:eastAsia="Times New Roman" w:hAnsi="Times New Roman" w:cs="Times New Roman"/>
          <w:lang w:eastAsia="pl-PL"/>
        </w:rPr>
      </w:pPr>
    </w:p>
    <w:p w:rsidR="000F1739" w:rsidRPr="000F1739" w:rsidRDefault="000F1739" w:rsidP="000F1739">
      <w:pPr>
        <w:rPr>
          <w:rFonts w:ascii="Times New Roman" w:eastAsia="Times New Roman" w:hAnsi="Times New Roman" w:cs="Times New Roman"/>
          <w:lang w:eastAsia="pl-PL"/>
        </w:rPr>
      </w:pPr>
      <w:r w:rsidRPr="000F1739">
        <w:rPr>
          <w:rFonts w:ascii="Times New Roman" w:eastAsia="Times New Roman" w:hAnsi="Times New Roman" w:cs="Times New Roman"/>
          <w:lang w:eastAsia="pl-PL"/>
        </w:rPr>
        <w:fldChar w:fldCharType="begin"/>
      </w:r>
      <w:r w:rsidRPr="000F1739">
        <w:rPr>
          <w:rFonts w:ascii="Times New Roman" w:eastAsia="Times New Roman" w:hAnsi="Times New Roman" w:cs="Times New Roman"/>
          <w:lang w:eastAsia="pl-PL"/>
        </w:rPr>
        <w:instrText xml:space="preserve"> INCLUDEPICTURE "https://www.eea.europa.eu/data-and-maps/figures/observed-median-annual-and-trend/map2-13-50530-observed-median.eps/Map%203.12%20CCIV%2050530-Observed-median-annual-v4.eps.75dpi.gif/download" \* MERGEFORMATINET </w:instrText>
      </w:r>
      <w:r w:rsidRPr="000F1739">
        <w:rPr>
          <w:rFonts w:ascii="Times New Roman" w:eastAsia="Times New Roman" w:hAnsi="Times New Roman" w:cs="Times New Roman"/>
          <w:lang w:eastAsia="pl-PL"/>
        </w:rPr>
        <w:fldChar w:fldCharType="separate"/>
      </w:r>
      <w:r w:rsidRPr="000F1739">
        <w:rPr>
          <w:rFonts w:ascii="Times New Roman" w:eastAsia="Times New Roman" w:hAnsi="Times New Roman" w:cs="Times New Roman"/>
          <w:noProof/>
          <w:lang w:eastAsia="pl-PL"/>
        </w:rPr>
        <w:drawing>
          <wp:inline distT="0" distB="0" distL="0" distR="0">
            <wp:extent cx="5756910" cy="3354070"/>
            <wp:effectExtent l="0" t="0" r="0" b="0"/>
            <wp:docPr id="1" name="Obraz 1" descr="https://www.eea.europa.eu/data-and-maps/figures/observed-median-annual-and-trend/map2-13-50530-observed-median.eps/Map%203.12%20CCIV%2050530-Observed-median-annual-v4.eps.75dpi.gif/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eea.europa.eu/data-and-maps/figures/observed-median-annual-and-trend/map2-13-50530-observed-median.eps/Map%203.12%20CCIV%2050530-Observed-median-annual-v4.eps.75dpi.gif/downloa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1739">
        <w:rPr>
          <w:rFonts w:ascii="Times New Roman" w:eastAsia="Times New Roman" w:hAnsi="Times New Roman" w:cs="Times New Roman"/>
          <w:lang w:eastAsia="pl-PL"/>
        </w:rPr>
        <w:fldChar w:fldCharType="end"/>
      </w:r>
    </w:p>
    <w:p w:rsidR="000F1739" w:rsidRDefault="000F1739"/>
    <w:p w:rsidR="000F1739" w:rsidRPr="000F1739" w:rsidRDefault="000F1739" w:rsidP="000F1739">
      <w:pPr>
        <w:rPr>
          <w:rFonts w:ascii="Times New Roman" w:eastAsia="Times New Roman" w:hAnsi="Times New Roman" w:cs="Times New Roman"/>
          <w:lang w:eastAsia="pl-PL"/>
        </w:rPr>
      </w:pPr>
      <w:r w:rsidRPr="000F1739">
        <w:rPr>
          <w:lang w:val="en-US"/>
        </w:rPr>
        <w:t>Based on the logistic hail model (Mohr, Kunz, and Geyer, 2015) and reanalysis data from NCEP-NCAR (</w:t>
      </w:r>
      <w:proofErr w:type="spellStart"/>
      <w:r w:rsidRPr="000F1739">
        <w:rPr>
          <w:lang w:val="en-US"/>
        </w:rPr>
        <w:t>Kalnay</w:t>
      </w:r>
      <w:proofErr w:type="spellEnd"/>
      <w:r w:rsidRPr="000F1739">
        <w:rPr>
          <w:lang w:val="en-US"/>
        </w:rPr>
        <w:t>, et al., 1996). Trends with significance below the 5% level are cross-hatched. Note that significant trends are only found for values below -5 PHI over the period.</w:t>
      </w:r>
      <w:r>
        <w:rPr>
          <w:lang w:val="en-US"/>
        </w:rPr>
        <w:t xml:space="preserve"> </w:t>
      </w:r>
      <w:r w:rsidRPr="000F1739">
        <w:rPr>
          <w:rFonts w:ascii="Times New Roman" w:eastAsia="Times New Roman" w:hAnsi="Times New Roman" w:cs="Times New Roman"/>
          <w:sz w:val="20"/>
          <w:szCs w:val="20"/>
          <w:lang w:val="en-US" w:eastAsia="pl-PL"/>
        </w:rPr>
        <w:t xml:space="preserve">Mohr, S., M. Kunz, and K. </w:t>
      </w:r>
      <w:proofErr w:type="spellStart"/>
      <w:r w:rsidRPr="000F1739">
        <w:rPr>
          <w:rFonts w:ascii="Times New Roman" w:eastAsia="Times New Roman" w:hAnsi="Times New Roman" w:cs="Times New Roman"/>
          <w:sz w:val="20"/>
          <w:szCs w:val="20"/>
          <w:lang w:val="en-US" w:eastAsia="pl-PL"/>
        </w:rPr>
        <w:t>Keuler</w:t>
      </w:r>
      <w:proofErr w:type="spellEnd"/>
      <w:r w:rsidRPr="000F1739">
        <w:rPr>
          <w:rFonts w:ascii="Times New Roman" w:eastAsia="Times New Roman" w:hAnsi="Times New Roman" w:cs="Times New Roman"/>
          <w:sz w:val="20"/>
          <w:szCs w:val="20"/>
          <w:lang w:val="en-US" w:eastAsia="pl-PL"/>
        </w:rPr>
        <w:t>, 2015: Development and application of a logistic model to estimate the past and future hail</w:t>
      </w:r>
      <w:r>
        <w:rPr>
          <w:rFonts w:ascii="Times New Roman" w:eastAsia="Times New Roman" w:hAnsi="Times New Roman" w:cs="Times New Roman"/>
          <w:lang w:val="en-US" w:eastAsia="pl-PL"/>
        </w:rPr>
        <w:t xml:space="preserve"> </w:t>
      </w:r>
      <w:r w:rsidRPr="000F1739">
        <w:rPr>
          <w:rFonts w:ascii="Times New Roman" w:eastAsia="Times New Roman" w:hAnsi="Times New Roman" w:cs="Times New Roman"/>
          <w:sz w:val="20"/>
          <w:szCs w:val="20"/>
          <w:lang w:val="en-US" w:eastAsia="pl-PL"/>
        </w:rPr>
        <w:t xml:space="preserve">potential in Germany. J. </w:t>
      </w:r>
      <w:proofErr w:type="spellStart"/>
      <w:r w:rsidRPr="000F1739">
        <w:rPr>
          <w:rFonts w:ascii="Times New Roman" w:eastAsia="Times New Roman" w:hAnsi="Times New Roman" w:cs="Times New Roman"/>
          <w:sz w:val="20"/>
          <w:szCs w:val="20"/>
          <w:lang w:val="en-US" w:eastAsia="pl-PL"/>
        </w:rPr>
        <w:t>Geophys</w:t>
      </w:r>
      <w:proofErr w:type="spellEnd"/>
      <w:r w:rsidRPr="000F1739">
        <w:rPr>
          <w:rFonts w:ascii="Times New Roman" w:eastAsia="Times New Roman" w:hAnsi="Times New Roman" w:cs="Times New Roman"/>
          <w:sz w:val="20"/>
          <w:szCs w:val="20"/>
          <w:lang w:val="en-US" w:eastAsia="pl-PL"/>
        </w:rPr>
        <w:t xml:space="preserve">. </w:t>
      </w:r>
      <w:r w:rsidRPr="000F1739">
        <w:rPr>
          <w:rFonts w:ascii="Times New Roman" w:eastAsia="Times New Roman" w:hAnsi="Times New Roman" w:cs="Times New Roman"/>
          <w:sz w:val="20"/>
          <w:szCs w:val="20"/>
          <w:lang w:eastAsia="pl-PL"/>
        </w:rPr>
        <w:t xml:space="preserve">Res. </w:t>
      </w:r>
      <w:proofErr w:type="spellStart"/>
      <w:r w:rsidRPr="000F1739">
        <w:rPr>
          <w:rFonts w:ascii="Times New Roman" w:eastAsia="Times New Roman" w:hAnsi="Times New Roman" w:cs="Times New Roman"/>
          <w:sz w:val="20"/>
          <w:szCs w:val="20"/>
          <w:lang w:eastAsia="pl-PL"/>
        </w:rPr>
        <w:t>Atmos</w:t>
      </w:r>
      <w:proofErr w:type="spellEnd"/>
      <w:r w:rsidRPr="000F1739">
        <w:rPr>
          <w:rFonts w:ascii="Times New Roman" w:eastAsia="Times New Roman" w:hAnsi="Times New Roman" w:cs="Times New Roman"/>
          <w:sz w:val="20"/>
          <w:szCs w:val="20"/>
          <w:lang w:eastAsia="pl-PL"/>
        </w:rPr>
        <w:t>., 120, 3939–3956. doi:10.1002/2014JD022959.</w:t>
      </w:r>
    </w:p>
    <w:p w:rsidR="000F1739" w:rsidRPr="000F1739" w:rsidRDefault="000F1739" w:rsidP="000F1739">
      <w:pPr>
        <w:pStyle w:val="callout"/>
      </w:pPr>
      <w:r w:rsidRPr="000F1739">
        <w:t xml:space="preserve"> </w:t>
      </w:r>
    </w:p>
    <w:p w:rsidR="000F1739" w:rsidRPr="000F1739" w:rsidRDefault="000F1739"/>
    <w:p w:rsidR="000F1739" w:rsidRPr="000F1739" w:rsidRDefault="000F1739">
      <w:r w:rsidRPr="000F1739">
        <w:br w:type="page"/>
      </w:r>
    </w:p>
    <w:p w:rsidR="000F1739" w:rsidRDefault="000F1739">
      <w:r>
        <w:lastRenderedPageBreak/>
        <w:t>Scenariuszowe zmiany warunków związanych z niestabilnością atmosferyczną w projekcjach klimatycznych.</w:t>
      </w:r>
    </w:p>
    <w:p w:rsidR="000F1739" w:rsidRDefault="000F1739">
      <w:r>
        <w:t xml:space="preserve">- trendy istotne statystycznie tylko w przypadku realizacji pesymistycznego scenariusza globalnych emisji gazów </w:t>
      </w:r>
      <w:proofErr w:type="spellStart"/>
      <w:r>
        <w:t>szklarnowych</w:t>
      </w:r>
      <w:proofErr w:type="spellEnd"/>
      <w:r>
        <w:t xml:space="preserve"> (RCP 8.5</w:t>
      </w:r>
      <w:r w:rsidR="000F6BC6">
        <w:t xml:space="preserve"> / SSP 585</w:t>
      </w:r>
      <w:r>
        <w:t>)</w:t>
      </w:r>
    </w:p>
    <w:p w:rsidR="000F1739" w:rsidRDefault="000F1739">
      <w:r w:rsidRPr="000F1739">
        <w:drawing>
          <wp:inline distT="0" distB="0" distL="0" distR="0" wp14:anchorId="7A6657FC" wp14:editId="362BE304">
            <wp:extent cx="5358063" cy="7577883"/>
            <wp:effectExtent l="0" t="0" r="1905" b="444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4326" cy="7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BC6" w:rsidRPr="005100FD" w:rsidRDefault="000F1739">
      <w:pPr>
        <w:rPr>
          <w:rFonts w:ascii="Times New Roman" w:eastAsia="Times New Roman" w:hAnsi="Times New Roman" w:cs="Times New Roman"/>
          <w:sz w:val="2"/>
          <w:szCs w:val="14"/>
          <w:lang w:val="en-US" w:eastAsia="pl-PL"/>
        </w:rPr>
      </w:pPr>
      <w:proofErr w:type="gramStart"/>
      <w:r w:rsidRPr="000F1739">
        <w:rPr>
          <w:rFonts w:ascii="Times New Roman" w:eastAsia="Times New Roman" w:hAnsi="Times New Roman" w:cs="Times New Roman"/>
          <w:sz w:val="14"/>
          <w:szCs w:val="14"/>
          <w:lang w:val="en-US" w:eastAsia="pl-PL"/>
        </w:rPr>
        <w:t>F</w:t>
      </w:r>
      <w:r w:rsidRPr="000F1739">
        <w:rPr>
          <w:rFonts w:ascii="Times New Roman" w:eastAsia="Times New Roman" w:hAnsi="Times New Roman" w:cs="Times New Roman"/>
          <w:sz w:val="11"/>
          <w:szCs w:val="11"/>
          <w:lang w:val="en-US" w:eastAsia="pl-PL"/>
        </w:rPr>
        <w:t xml:space="preserve">IG </w:t>
      </w:r>
      <w:r w:rsidRPr="000F1739">
        <w:rPr>
          <w:rFonts w:ascii="Times New Roman" w:eastAsia="Times New Roman" w:hAnsi="Times New Roman" w:cs="Times New Roman"/>
          <w:sz w:val="14"/>
          <w:szCs w:val="14"/>
          <w:lang w:val="en-US" w:eastAsia="pl-PL"/>
        </w:rPr>
        <w:t>.</w:t>
      </w:r>
      <w:proofErr w:type="gramEnd"/>
      <w:r w:rsidRPr="000F1739">
        <w:rPr>
          <w:rFonts w:ascii="Times New Roman" w:eastAsia="Times New Roman" w:hAnsi="Times New Roman" w:cs="Times New Roman"/>
          <w:sz w:val="14"/>
          <w:szCs w:val="14"/>
          <w:lang w:val="en-US" w:eastAsia="pl-PL"/>
        </w:rPr>
        <w:t xml:space="preserve"> 5. Ensemble mean value of annual number of unstable environments for (a) the historical 1971–2000 period, and the mean change in the number of environments between the future and historical</w:t>
      </w:r>
      <w:r>
        <w:rPr>
          <w:rFonts w:ascii="Times New Roman" w:eastAsia="Times New Roman" w:hAnsi="Times New Roman" w:cs="Times New Roman"/>
          <w:lang w:val="en-US" w:eastAsia="pl-PL"/>
        </w:rPr>
        <w:t xml:space="preserve"> </w:t>
      </w:r>
      <w:r w:rsidRPr="000F1739">
        <w:rPr>
          <w:rFonts w:ascii="Times New Roman" w:eastAsia="Times New Roman" w:hAnsi="Times New Roman" w:cs="Times New Roman"/>
          <w:sz w:val="14"/>
          <w:szCs w:val="14"/>
          <w:lang w:val="en-US" w:eastAsia="pl-PL"/>
        </w:rPr>
        <w:t>period for the periods (b) 2021–50 and (c) 2071–2100 in the RCP4.5 scenario, and (d) 2021–50 and</w:t>
      </w:r>
      <w:r>
        <w:rPr>
          <w:rFonts w:ascii="Times New Roman" w:eastAsia="Times New Roman" w:hAnsi="Times New Roman" w:cs="Times New Roman"/>
          <w:lang w:val="en-US" w:eastAsia="pl-PL"/>
        </w:rPr>
        <w:t xml:space="preserve"> </w:t>
      </w:r>
      <w:r w:rsidRPr="000F1739">
        <w:rPr>
          <w:rFonts w:ascii="Times New Roman" w:eastAsia="Times New Roman" w:hAnsi="Times New Roman" w:cs="Times New Roman"/>
          <w:sz w:val="14"/>
          <w:szCs w:val="14"/>
          <w:lang w:val="en-US" w:eastAsia="pl-PL"/>
        </w:rPr>
        <w:t>(e) 2071–2100 in the RCP8.5 scenario. Black dots are plotted where the ensemble mean change with</w:t>
      </w:r>
      <w:r>
        <w:rPr>
          <w:rFonts w:ascii="Times New Roman" w:eastAsia="Times New Roman" w:hAnsi="Times New Roman" w:cs="Times New Roman"/>
          <w:lang w:val="en-US" w:eastAsia="pl-PL"/>
        </w:rPr>
        <w:t xml:space="preserve"> </w:t>
      </w:r>
      <w:r w:rsidRPr="000F1739">
        <w:rPr>
          <w:rFonts w:ascii="Times New Roman" w:eastAsia="Times New Roman" w:hAnsi="Times New Roman" w:cs="Times New Roman"/>
          <w:sz w:val="14"/>
          <w:szCs w:val="14"/>
          <w:lang w:val="en-US" w:eastAsia="pl-PL"/>
        </w:rPr>
        <w:t>respect to the historical period exceeds twice the standard deviation of the ensemble spread</w:t>
      </w:r>
      <w:r>
        <w:rPr>
          <w:rFonts w:ascii="Times New Roman" w:eastAsia="Times New Roman" w:hAnsi="Times New Roman" w:cs="Times New Roman"/>
          <w:sz w:val="14"/>
          <w:szCs w:val="14"/>
          <w:lang w:val="en-US" w:eastAsia="pl-PL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14"/>
          <w:szCs w:val="14"/>
          <w:lang w:val="en-US" w:eastAsia="pl-PL"/>
        </w:rPr>
        <w:t>Pucik</w:t>
      </w:r>
      <w:proofErr w:type="spellEnd"/>
      <w:r>
        <w:rPr>
          <w:rFonts w:ascii="Times New Roman" w:eastAsia="Times New Roman" w:hAnsi="Times New Roman" w:cs="Times New Roman"/>
          <w:sz w:val="14"/>
          <w:szCs w:val="14"/>
          <w:lang w:val="en-US" w:eastAsia="pl-PL"/>
        </w:rPr>
        <w:t xml:space="preserve"> et al. 2017,</w:t>
      </w:r>
      <w:r w:rsidRPr="000F1739">
        <w:rPr>
          <w:rFonts w:ascii="Times New Roman" w:eastAsia="Times New Roman" w:hAnsi="Times New Roman" w:cs="Times New Roman"/>
          <w:sz w:val="2"/>
          <w:szCs w:val="14"/>
          <w:lang w:val="en-US" w:eastAsia="pl-PL"/>
        </w:rPr>
        <w:t xml:space="preserve"> </w:t>
      </w:r>
      <w:r w:rsidRPr="000F1739">
        <w:rPr>
          <w:rFonts w:ascii="Times New Roman" w:hAnsi="Times New Roman" w:cs="Times New Roman"/>
          <w:sz w:val="13"/>
          <w:lang w:val="en-US"/>
        </w:rPr>
        <w:t xml:space="preserve">Journal of Climate 30, 17; </w:t>
      </w:r>
      <w:hyperlink r:id="rId10" w:history="1">
        <w:r w:rsidRPr="000F1739">
          <w:rPr>
            <w:rStyle w:val="Hipercze"/>
            <w:rFonts w:ascii="Times New Roman" w:hAnsi="Times New Roman" w:cs="Times New Roman"/>
            <w:sz w:val="13"/>
            <w:lang w:val="en-US"/>
          </w:rPr>
          <w:t>10.1175/JCLI-D-16-0777.1</w:t>
        </w:r>
      </w:hyperlink>
    </w:p>
    <w:sectPr w:rsidR="000F6BC6" w:rsidRPr="005100FD" w:rsidSect="008737C3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9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739"/>
    <w:rsid w:val="000F1739"/>
    <w:rsid w:val="000F6BC6"/>
    <w:rsid w:val="002655B2"/>
    <w:rsid w:val="005100FD"/>
    <w:rsid w:val="007D7B4D"/>
    <w:rsid w:val="008737C3"/>
    <w:rsid w:val="00957648"/>
    <w:rsid w:val="00B21726"/>
    <w:rsid w:val="00D36CC9"/>
    <w:rsid w:val="00E14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B349463"/>
  <w15:chartTrackingRefBased/>
  <w15:docId w15:val="{F87CAF48-E75F-4447-BE1D-69BA5E136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callout">
    <w:name w:val="callout"/>
    <w:basedOn w:val="Normalny"/>
    <w:rsid w:val="000F173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pl-PL"/>
    </w:rPr>
  </w:style>
  <w:style w:type="character" w:styleId="Pogrubienie">
    <w:name w:val="Strong"/>
    <w:basedOn w:val="Domylnaczcionkaakapitu"/>
    <w:uiPriority w:val="22"/>
    <w:qFormat/>
    <w:rsid w:val="000F1739"/>
    <w:rPr>
      <w:b/>
      <w:bCs/>
    </w:rPr>
  </w:style>
  <w:style w:type="paragraph" w:customStyle="1" w:styleId="citation">
    <w:name w:val="citation"/>
    <w:basedOn w:val="Normalny"/>
    <w:rsid w:val="000F173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pl-PL"/>
    </w:rPr>
  </w:style>
  <w:style w:type="character" w:styleId="Hipercze">
    <w:name w:val="Hyperlink"/>
    <w:basedOn w:val="Domylnaczcionkaakapitu"/>
    <w:uiPriority w:val="99"/>
    <w:semiHidden/>
    <w:unhideWhenUsed/>
    <w:rsid w:val="000F173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98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0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3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6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gi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doi.org/10.1175/JCLI-D-16-0777.1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434</Words>
  <Characters>2609</Characters>
  <Application>Microsoft Office Word</Application>
  <DocSecurity>0</DocSecurity>
  <Lines>21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Bartosz Czernecki</dc:creator>
  <cp:keywords/>
  <dc:description/>
  <cp:lastModifiedBy>Bartosz Czernecki</cp:lastModifiedBy>
  <cp:revision>3</cp:revision>
  <dcterms:created xsi:type="dcterms:W3CDTF">2022-06-06T17:39:00Z</dcterms:created>
  <dcterms:modified xsi:type="dcterms:W3CDTF">2022-06-06T18:05:00Z</dcterms:modified>
</cp:coreProperties>
</file>